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65" w:rsidRPr="00331B25" w:rsidRDefault="00681665" w:rsidP="00331B25">
      <w:pPr>
        <w:widowControl w:val="0"/>
        <w:jc w:val="both"/>
      </w:pPr>
    </w:p>
    <w:p w:rsidR="00AE0229" w:rsidRPr="00221DDD" w:rsidRDefault="00AE0229" w:rsidP="008813B3">
      <w:pPr>
        <w:pStyle w:val="1"/>
        <w:keepLines w:val="0"/>
        <w:tabs>
          <w:tab w:val="num" w:pos="0"/>
        </w:tabs>
        <w:suppressAutoHyphens/>
        <w:spacing w:before="0"/>
        <w:ind w:left="432" w:hanging="432"/>
        <w:jc w:val="both"/>
        <w:rPr>
          <w:rFonts w:eastAsia="Calibri"/>
          <w:bCs w:val="0"/>
          <w:color w:val="auto"/>
          <w:sz w:val="24"/>
          <w:szCs w:val="24"/>
        </w:rPr>
      </w:pPr>
    </w:p>
    <w:p w:rsidR="00221DDD" w:rsidRDefault="00221DDD" w:rsidP="00221DDD">
      <w:pPr>
        <w:widowControl w:val="0"/>
        <w:jc w:val="center"/>
        <w:rPr>
          <w:rFonts w:eastAsia="Calibri"/>
          <w:b/>
          <w:color w:val="auto"/>
          <w:sz w:val="24"/>
          <w:szCs w:val="24"/>
        </w:rPr>
      </w:pPr>
      <w:r w:rsidRPr="00221DDD">
        <w:rPr>
          <w:rFonts w:eastAsia="Calibri"/>
          <w:b/>
          <w:color w:val="auto"/>
          <w:sz w:val="24"/>
          <w:szCs w:val="24"/>
        </w:rPr>
        <w:t>П</w:t>
      </w:r>
      <w:r>
        <w:rPr>
          <w:rFonts w:eastAsia="Calibri"/>
          <w:b/>
          <w:color w:val="auto"/>
          <w:sz w:val="24"/>
          <w:szCs w:val="24"/>
        </w:rPr>
        <w:t>РОГРАММА</w:t>
      </w:r>
    </w:p>
    <w:p w:rsidR="00221DDD" w:rsidRPr="00221DDD" w:rsidRDefault="00221DDD" w:rsidP="005E0F45">
      <w:pPr>
        <w:widowControl w:val="0"/>
        <w:jc w:val="center"/>
        <w:rPr>
          <w:b/>
          <w:sz w:val="24"/>
          <w:szCs w:val="24"/>
          <w:highlight w:val="yellow"/>
        </w:rPr>
      </w:pPr>
      <w:r w:rsidRPr="00221DDD">
        <w:rPr>
          <w:rFonts w:eastAsia="Calibri"/>
          <w:b/>
          <w:color w:val="auto"/>
          <w:sz w:val="24"/>
          <w:szCs w:val="24"/>
        </w:rPr>
        <w:t xml:space="preserve"> </w:t>
      </w:r>
      <w:r w:rsidRPr="00221DDD">
        <w:rPr>
          <w:rFonts w:eastAsia="Calibri"/>
          <w:color w:val="auto"/>
          <w:sz w:val="24"/>
          <w:szCs w:val="24"/>
        </w:rPr>
        <w:t>профилактики рисков причинения вреда (ущерба) охраняемым  законом ценностям по муниципал</w:t>
      </w:r>
      <w:r w:rsidR="00563745">
        <w:rPr>
          <w:rFonts w:eastAsia="Calibri"/>
          <w:color w:val="auto"/>
          <w:sz w:val="24"/>
          <w:szCs w:val="24"/>
        </w:rPr>
        <w:t>ьному жилищному контролю на 2025</w:t>
      </w:r>
      <w:r w:rsidRPr="00221DDD">
        <w:rPr>
          <w:rFonts w:eastAsia="Calibri"/>
          <w:color w:val="auto"/>
          <w:sz w:val="24"/>
          <w:szCs w:val="24"/>
        </w:rPr>
        <w:t xml:space="preserve"> год</w:t>
      </w:r>
    </w:p>
    <w:p w:rsidR="00221DDD" w:rsidRPr="00221DDD" w:rsidRDefault="00221DDD" w:rsidP="00221DDD">
      <w:pPr>
        <w:pStyle w:val="ConsPlusNormal"/>
        <w:jc w:val="center"/>
        <w:rPr>
          <w:b w:val="0"/>
          <w:highlight w:val="yellow"/>
        </w:rPr>
      </w:pPr>
    </w:p>
    <w:p w:rsidR="00221DDD" w:rsidRPr="00221DDD" w:rsidRDefault="00221DDD" w:rsidP="002F3DF2">
      <w:pPr>
        <w:pStyle w:val="a4"/>
        <w:numPr>
          <w:ilvl w:val="0"/>
          <w:numId w:val="6"/>
        </w:numPr>
        <w:autoSpaceDE w:val="0"/>
        <w:autoSpaceDN w:val="0"/>
        <w:adjustRightInd w:val="0"/>
        <w:rPr>
          <w:b/>
          <w:color w:val="auto"/>
          <w:sz w:val="24"/>
          <w:szCs w:val="24"/>
        </w:rPr>
      </w:pPr>
      <w:r w:rsidRPr="00221DDD">
        <w:rPr>
          <w:b/>
          <w:color w:val="auto"/>
          <w:sz w:val="24"/>
          <w:szCs w:val="24"/>
        </w:rPr>
        <w:t>Общие положения</w:t>
      </w:r>
    </w:p>
    <w:p w:rsidR="00221DDD" w:rsidRPr="00221DDD" w:rsidRDefault="00221DDD" w:rsidP="00221DDD">
      <w:pPr>
        <w:pStyle w:val="a4"/>
        <w:autoSpaceDE w:val="0"/>
        <w:autoSpaceDN w:val="0"/>
        <w:adjustRightInd w:val="0"/>
        <w:ind w:left="1429"/>
        <w:rPr>
          <w:b/>
          <w:color w:val="auto"/>
          <w:sz w:val="24"/>
          <w:szCs w:val="24"/>
        </w:rPr>
      </w:pPr>
    </w:p>
    <w:p w:rsidR="00221DDD" w:rsidRPr="00221DDD" w:rsidRDefault="00221DDD" w:rsidP="00221DDD">
      <w:pPr>
        <w:autoSpaceDE w:val="0"/>
        <w:autoSpaceDN w:val="0"/>
        <w:adjustRightInd w:val="0"/>
        <w:ind w:firstLine="709"/>
        <w:jc w:val="both"/>
        <w:rPr>
          <w:sz w:val="24"/>
          <w:szCs w:val="24"/>
        </w:rPr>
      </w:pPr>
      <w:proofErr w:type="gramStart"/>
      <w:r w:rsidRPr="00221DDD">
        <w:rPr>
          <w:sz w:val="24"/>
          <w:szCs w:val="24"/>
        </w:rPr>
        <w:t>Программа профилактики рисков причинения вреда (ущерба) охраняемым законом ценностям по муниципал</w:t>
      </w:r>
      <w:r w:rsidR="00563745">
        <w:rPr>
          <w:sz w:val="24"/>
          <w:szCs w:val="24"/>
        </w:rPr>
        <w:t>ьному жилищному контролю на 2025</w:t>
      </w:r>
      <w:r w:rsidRPr="00221DDD">
        <w:rPr>
          <w:sz w:val="24"/>
          <w:szCs w:val="24"/>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w:t>
      </w:r>
      <w:proofErr w:type="gramEnd"/>
      <w:r w:rsidRPr="00221DDD">
        <w:rPr>
          <w:sz w:val="24"/>
          <w:szCs w:val="24"/>
        </w:rPr>
        <w:t xml:space="preserve"> </w:t>
      </w:r>
      <w:proofErr w:type="gramStart"/>
      <w:r w:rsidRPr="00221DDD">
        <w:rPr>
          <w:sz w:val="24"/>
          <w:szCs w:val="24"/>
        </w:rPr>
        <w:t xml:space="preserve">Правительства </w:t>
      </w:r>
      <w:r w:rsidRPr="00634C5F">
        <w:rPr>
          <w:sz w:val="24"/>
          <w:szCs w:val="24"/>
        </w:rPr>
        <w:t>Р</w:t>
      </w:r>
      <w:r w:rsidR="00352C70" w:rsidRPr="00634C5F">
        <w:rPr>
          <w:sz w:val="24"/>
          <w:szCs w:val="24"/>
        </w:rPr>
        <w:t>оссийской</w:t>
      </w:r>
      <w:r w:rsidR="00634C5F" w:rsidRPr="00634C5F">
        <w:rPr>
          <w:sz w:val="24"/>
          <w:szCs w:val="24"/>
        </w:rPr>
        <w:t xml:space="preserve"> </w:t>
      </w:r>
      <w:r w:rsidRPr="00634C5F">
        <w:rPr>
          <w:sz w:val="24"/>
          <w:szCs w:val="24"/>
        </w:rPr>
        <w:t>Ф</w:t>
      </w:r>
      <w:r w:rsidR="00634C5F" w:rsidRPr="00634C5F">
        <w:rPr>
          <w:sz w:val="24"/>
          <w:szCs w:val="24"/>
        </w:rPr>
        <w:t>едерации</w:t>
      </w:r>
      <w:r w:rsidRPr="00221DDD">
        <w:rPr>
          <w:sz w:val="24"/>
          <w:szCs w:val="24"/>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Печенгского муниципального округа</w:t>
      </w:r>
      <w:r w:rsidR="00352C70">
        <w:rPr>
          <w:sz w:val="24"/>
          <w:szCs w:val="24"/>
        </w:rPr>
        <w:t xml:space="preserve">, </w:t>
      </w:r>
      <w:r w:rsidR="00634C5F">
        <w:rPr>
          <w:sz w:val="24"/>
          <w:szCs w:val="24"/>
        </w:rPr>
        <w:t>Р</w:t>
      </w:r>
      <w:r w:rsidR="00352C70" w:rsidRPr="00634C5F">
        <w:rPr>
          <w:sz w:val="24"/>
          <w:szCs w:val="24"/>
        </w:rPr>
        <w:t>ешением</w:t>
      </w:r>
      <w:r w:rsidR="00634C5F">
        <w:rPr>
          <w:sz w:val="24"/>
          <w:szCs w:val="24"/>
        </w:rPr>
        <w:t xml:space="preserve"> Совета депутатов Печенгского муниципального округа Мурманской области №</w:t>
      </w:r>
      <w:r w:rsidR="006667BB">
        <w:rPr>
          <w:sz w:val="24"/>
          <w:szCs w:val="24"/>
        </w:rPr>
        <w:t xml:space="preserve"> </w:t>
      </w:r>
      <w:r w:rsidR="00634C5F">
        <w:rPr>
          <w:sz w:val="24"/>
          <w:szCs w:val="24"/>
        </w:rPr>
        <w:t xml:space="preserve">241 от 19.11.2021 </w:t>
      </w:r>
      <w:r w:rsidR="006667BB">
        <w:rPr>
          <w:sz w:val="24"/>
          <w:szCs w:val="24"/>
        </w:rPr>
        <w:t>«</w:t>
      </w:r>
      <w:r w:rsidR="006667BB" w:rsidRPr="006667BB">
        <w:rPr>
          <w:bCs/>
          <w:sz w:val="24"/>
          <w:szCs w:val="24"/>
        </w:rPr>
        <w:t>Об утверждении Положения о муниципальном жилищном контроле,  осуществляемом на территории Печенгского муниципального округа</w:t>
      </w:r>
      <w:r w:rsidR="006667BB">
        <w:rPr>
          <w:bCs/>
          <w:sz w:val="24"/>
          <w:szCs w:val="24"/>
        </w:rPr>
        <w:t>».</w:t>
      </w:r>
      <w:r w:rsidR="006667BB" w:rsidRPr="006667BB">
        <w:rPr>
          <w:bCs/>
          <w:sz w:val="24"/>
          <w:szCs w:val="24"/>
        </w:rPr>
        <w:t xml:space="preserve"> </w:t>
      </w:r>
      <w:proofErr w:type="gramEnd"/>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Программа профилактики рисков причинения вреда утверждается ежегодно и состоит из следующих разделов: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221DDD" w:rsidRPr="00221DDD" w:rsidRDefault="00221DDD" w:rsidP="006667BB">
      <w:pPr>
        <w:autoSpaceDE w:val="0"/>
        <w:autoSpaceDN w:val="0"/>
        <w:adjustRightInd w:val="0"/>
        <w:ind w:firstLine="709"/>
        <w:jc w:val="both"/>
        <w:rPr>
          <w:sz w:val="24"/>
          <w:szCs w:val="24"/>
        </w:rPr>
      </w:pPr>
      <w:r w:rsidRPr="00221DDD">
        <w:rPr>
          <w:sz w:val="24"/>
          <w:szCs w:val="24"/>
        </w:rPr>
        <w:t xml:space="preserve">2) цели и задачи </w:t>
      </w:r>
      <w:proofErr w:type="gramStart"/>
      <w:r w:rsidRPr="00221DDD">
        <w:rPr>
          <w:sz w:val="24"/>
          <w:szCs w:val="24"/>
        </w:rPr>
        <w:t>реализации программы профилактики рисков причинения вреда</w:t>
      </w:r>
      <w:proofErr w:type="gramEnd"/>
      <w:r w:rsidRPr="00221DDD">
        <w:rPr>
          <w:sz w:val="24"/>
          <w:szCs w:val="24"/>
        </w:rPr>
        <w:t xml:space="preserve">;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3) перечень профилактических мероприятий, сроки (периодичность) их проведения;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4) показатели результативности и эффективности </w:t>
      </w:r>
      <w:proofErr w:type="gramStart"/>
      <w:r w:rsidRPr="00221DDD">
        <w:rPr>
          <w:sz w:val="24"/>
          <w:szCs w:val="24"/>
        </w:rPr>
        <w:t>программы профилактики рисков причинения вреда</w:t>
      </w:r>
      <w:proofErr w:type="gramEnd"/>
      <w:r w:rsidRPr="00221DDD">
        <w:rPr>
          <w:sz w:val="24"/>
          <w:szCs w:val="24"/>
        </w:rPr>
        <w:t xml:space="preserve">.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Программа профилактики рисков причинения вреда предусматривает ее общественное обсуждение. </w:t>
      </w:r>
    </w:p>
    <w:p w:rsidR="00221DDD" w:rsidRPr="00221DDD" w:rsidRDefault="00221DDD" w:rsidP="00221DDD">
      <w:pPr>
        <w:autoSpaceDE w:val="0"/>
        <w:autoSpaceDN w:val="0"/>
        <w:adjustRightInd w:val="0"/>
        <w:ind w:firstLine="709"/>
        <w:jc w:val="both"/>
        <w:rPr>
          <w:rStyle w:val="a6"/>
          <w:rFonts w:eastAsia="Calibri"/>
          <w:color w:val="auto"/>
          <w:sz w:val="24"/>
          <w:szCs w:val="24"/>
        </w:rPr>
      </w:pPr>
      <w:r w:rsidRPr="00221DDD">
        <w:rPr>
          <w:sz w:val="24"/>
          <w:szCs w:val="24"/>
        </w:rPr>
        <w:t xml:space="preserve">Утвержденная программа профилактики рисков причинения вреда размещается на сайте </w:t>
      </w:r>
      <w:r w:rsidRPr="00221DDD">
        <w:rPr>
          <w:color w:val="auto"/>
          <w:sz w:val="24"/>
          <w:szCs w:val="24"/>
        </w:rPr>
        <w:t xml:space="preserve">Печенгского муниципального округа </w:t>
      </w:r>
      <w:hyperlink r:id="rId7" w:history="1">
        <w:r w:rsidRPr="00221DDD">
          <w:rPr>
            <w:rStyle w:val="a6"/>
            <w:rFonts w:eastAsia="Calibri"/>
            <w:color w:val="auto"/>
            <w:sz w:val="24"/>
            <w:szCs w:val="24"/>
          </w:rPr>
          <w:t>http://pechengamr.gov-murman.ru/</w:t>
        </w:r>
      </w:hyperlink>
      <w:r w:rsidRPr="00221DDD">
        <w:rPr>
          <w:rStyle w:val="a6"/>
          <w:rFonts w:eastAsia="Calibri"/>
          <w:color w:val="auto"/>
          <w:sz w:val="24"/>
          <w:szCs w:val="24"/>
        </w:rPr>
        <w:t>.</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221DDD" w:rsidRPr="00221DDD" w:rsidRDefault="00221DDD" w:rsidP="00221DDD">
      <w:pPr>
        <w:autoSpaceDE w:val="0"/>
        <w:autoSpaceDN w:val="0"/>
        <w:adjustRightInd w:val="0"/>
        <w:ind w:firstLine="709"/>
        <w:jc w:val="both"/>
        <w:rPr>
          <w:sz w:val="24"/>
          <w:szCs w:val="24"/>
        </w:rPr>
      </w:pPr>
      <w:r w:rsidRPr="00221DDD">
        <w:rPr>
          <w:sz w:val="24"/>
          <w:szCs w:val="24"/>
        </w:rPr>
        <w:t>Контрольный орган может проводить профилактические мероприятия, не предусмотренные программой профилактики рисков причинения вреда.</w:t>
      </w:r>
    </w:p>
    <w:p w:rsidR="00221DDD" w:rsidRPr="00221DDD" w:rsidRDefault="00221DDD" w:rsidP="002F3DF2">
      <w:pPr>
        <w:autoSpaceDE w:val="0"/>
        <w:autoSpaceDN w:val="0"/>
        <w:adjustRightInd w:val="0"/>
        <w:ind w:firstLine="709"/>
        <w:jc w:val="both"/>
        <w:rPr>
          <w:sz w:val="24"/>
          <w:szCs w:val="24"/>
        </w:rPr>
      </w:pPr>
    </w:p>
    <w:p w:rsidR="00221DDD" w:rsidRPr="00221DDD" w:rsidRDefault="00221DDD" w:rsidP="002F3DF2">
      <w:pPr>
        <w:pStyle w:val="a4"/>
        <w:numPr>
          <w:ilvl w:val="0"/>
          <w:numId w:val="6"/>
        </w:numPr>
        <w:autoSpaceDE w:val="0"/>
        <w:autoSpaceDN w:val="0"/>
        <w:adjustRightInd w:val="0"/>
        <w:ind w:left="0" w:firstLine="709"/>
        <w:jc w:val="both"/>
        <w:rPr>
          <w:b/>
          <w:sz w:val="24"/>
          <w:szCs w:val="24"/>
        </w:rPr>
      </w:pPr>
      <w:r w:rsidRPr="00221DDD">
        <w:rPr>
          <w:b/>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221DDD" w:rsidRPr="00221DDD" w:rsidRDefault="00221DDD" w:rsidP="00221DDD">
      <w:pPr>
        <w:autoSpaceDE w:val="0"/>
        <w:autoSpaceDN w:val="0"/>
        <w:adjustRightInd w:val="0"/>
        <w:ind w:left="709"/>
        <w:rPr>
          <w:b/>
          <w:sz w:val="24"/>
          <w:szCs w:val="24"/>
        </w:rPr>
      </w:pPr>
    </w:p>
    <w:p w:rsidR="00524D6D" w:rsidRDefault="00221DDD" w:rsidP="00221DDD">
      <w:pPr>
        <w:autoSpaceDE w:val="0"/>
        <w:autoSpaceDN w:val="0"/>
        <w:adjustRightInd w:val="0"/>
        <w:ind w:firstLine="709"/>
        <w:jc w:val="both"/>
        <w:rPr>
          <w:color w:val="auto"/>
          <w:sz w:val="24"/>
          <w:szCs w:val="24"/>
        </w:rPr>
      </w:pPr>
      <w:proofErr w:type="gramStart"/>
      <w:r w:rsidRPr="006667BB">
        <w:rPr>
          <w:sz w:val="24"/>
          <w:szCs w:val="24"/>
        </w:rPr>
        <w:t xml:space="preserve">Муниципальный жилищный контроль 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Жилищного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w:t>
      </w:r>
      <w:r w:rsidR="00524D6D" w:rsidRPr="006667BB">
        <w:rPr>
          <w:sz w:val="24"/>
          <w:szCs w:val="24"/>
        </w:rPr>
        <w:t>з</w:t>
      </w:r>
      <w:r w:rsidRPr="006667BB">
        <w:rPr>
          <w:sz w:val="24"/>
          <w:szCs w:val="24"/>
        </w:rPr>
        <w:t>аконом Мурманской области от 24.04.2020 №</w:t>
      </w:r>
      <w:r w:rsidR="00563745">
        <w:rPr>
          <w:sz w:val="24"/>
          <w:szCs w:val="24"/>
        </w:rPr>
        <w:t xml:space="preserve"> </w:t>
      </w:r>
      <w:r w:rsidRPr="006667BB">
        <w:rPr>
          <w:sz w:val="24"/>
          <w:szCs w:val="24"/>
        </w:rPr>
        <w:t>2482-</w:t>
      </w:r>
      <w:r w:rsidRPr="006667BB">
        <w:rPr>
          <w:sz w:val="24"/>
          <w:szCs w:val="24"/>
        </w:rPr>
        <w:lastRenderedPageBreak/>
        <w:t xml:space="preserve">01-ЗМО «Об образовании муниципального </w:t>
      </w:r>
      <w:r w:rsidRPr="006667BB">
        <w:rPr>
          <w:color w:val="auto"/>
          <w:sz w:val="24"/>
          <w:szCs w:val="24"/>
        </w:rPr>
        <w:t xml:space="preserve">образования </w:t>
      </w:r>
      <w:proofErr w:type="spellStart"/>
      <w:r w:rsidRPr="006667BB">
        <w:rPr>
          <w:color w:val="auto"/>
          <w:sz w:val="24"/>
          <w:szCs w:val="24"/>
        </w:rPr>
        <w:t>Печенгский</w:t>
      </w:r>
      <w:proofErr w:type="spellEnd"/>
      <w:r w:rsidRPr="006667BB">
        <w:rPr>
          <w:color w:val="auto"/>
          <w:sz w:val="24"/>
          <w:szCs w:val="24"/>
        </w:rPr>
        <w:t xml:space="preserve"> муниципальный округ Мурманской области»</w:t>
      </w:r>
      <w:r w:rsidR="00524D6D" w:rsidRPr="006667BB">
        <w:rPr>
          <w:color w:val="auto"/>
          <w:sz w:val="24"/>
          <w:szCs w:val="24"/>
        </w:rPr>
        <w:t>,</w:t>
      </w:r>
      <w:r w:rsidR="00524D6D" w:rsidRPr="006667BB">
        <w:rPr>
          <w:sz w:val="24"/>
          <w:szCs w:val="24"/>
        </w:rPr>
        <w:t xml:space="preserve"> </w:t>
      </w:r>
      <w:r w:rsidR="00524D6D" w:rsidRPr="006667BB">
        <w:rPr>
          <w:color w:val="auto"/>
          <w:sz w:val="24"/>
          <w:szCs w:val="24"/>
        </w:rPr>
        <w:t>Устава</w:t>
      </w:r>
      <w:proofErr w:type="gramEnd"/>
      <w:r w:rsidR="00524D6D" w:rsidRPr="006667BB">
        <w:rPr>
          <w:color w:val="auto"/>
          <w:sz w:val="24"/>
          <w:szCs w:val="24"/>
        </w:rPr>
        <w:t xml:space="preserve">  Печенгского муниципального округа.</w:t>
      </w:r>
      <w:r w:rsidRPr="00221DDD">
        <w:rPr>
          <w:color w:val="auto"/>
          <w:sz w:val="24"/>
          <w:szCs w:val="24"/>
        </w:rPr>
        <w:t xml:space="preserve"> </w:t>
      </w:r>
    </w:p>
    <w:p w:rsidR="00221DDD" w:rsidRPr="00221DDD" w:rsidRDefault="00563745" w:rsidP="00221DDD">
      <w:pPr>
        <w:autoSpaceDE w:val="0"/>
        <w:autoSpaceDN w:val="0"/>
        <w:adjustRightInd w:val="0"/>
        <w:ind w:firstLine="709"/>
        <w:jc w:val="both"/>
        <w:rPr>
          <w:sz w:val="24"/>
          <w:szCs w:val="24"/>
        </w:rPr>
      </w:pPr>
      <w:r>
        <w:rPr>
          <w:sz w:val="24"/>
          <w:szCs w:val="24"/>
        </w:rPr>
        <w:t>В 2024</w:t>
      </w:r>
      <w:r w:rsidR="00221DDD" w:rsidRPr="00221DDD">
        <w:rPr>
          <w:sz w:val="24"/>
          <w:szCs w:val="24"/>
        </w:rPr>
        <w:t xml:space="preserve"> году, муниципальный жилищный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31.07.2020 № 248-ФЗ «О государственном контроле (надзоре) и муниципальном контроле в Российской Федерации».</w:t>
      </w:r>
    </w:p>
    <w:p w:rsidR="00221DDD" w:rsidRPr="00221DDD" w:rsidRDefault="00FF6C89" w:rsidP="00221DDD">
      <w:pPr>
        <w:autoSpaceDE w:val="0"/>
        <w:autoSpaceDN w:val="0"/>
        <w:adjustRightInd w:val="0"/>
        <w:ind w:firstLine="709"/>
        <w:jc w:val="both"/>
        <w:rPr>
          <w:sz w:val="24"/>
          <w:szCs w:val="24"/>
          <w:highlight w:val="yellow"/>
        </w:rPr>
      </w:pPr>
      <w:r>
        <w:rPr>
          <w:sz w:val="24"/>
          <w:szCs w:val="24"/>
        </w:rPr>
        <w:t>В 2024</w:t>
      </w:r>
      <w:r w:rsidR="00221DDD" w:rsidRPr="00221DDD">
        <w:rPr>
          <w:sz w:val="24"/>
          <w:szCs w:val="24"/>
        </w:rPr>
        <w:t xml:space="preserve"> году в рамках осуществления муниципального жилищного контроля проверки не проводились в соответствии с </w:t>
      </w:r>
      <w:r w:rsidR="00221DDD" w:rsidRPr="00221DDD">
        <w:rPr>
          <w:bCs/>
          <w:sz w:val="24"/>
          <w:szCs w:val="24"/>
        </w:rPr>
        <w:t>Постановление</w:t>
      </w:r>
      <w:r w:rsidR="00221DDD" w:rsidRPr="00221DDD">
        <w:rPr>
          <w:sz w:val="24"/>
          <w:szCs w:val="24"/>
        </w:rPr>
        <w:t xml:space="preserve">м Правительства </w:t>
      </w:r>
      <w:r w:rsidR="00221DDD" w:rsidRPr="006667BB">
        <w:rPr>
          <w:sz w:val="24"/>
          <w:szCs w:val="24"/>
        </w:rPr>
        <w:t>Р</w:t>
      </w:r>
      <w:r w:rsidR="006667BB" w:rsidRPr="006667BB">
        <w:rPr>
          <w:sz w:val="24"/>
          <w:szCs w:val="24"/>
        </w:rPr>
        <w:t xml:space="preserve">оссийской </w:t>
      </w:r>
      <w:r w:rsidR="00221DDD" w:rsidRPr="006667BB">
        <w:rPr>
          <w:sz w:val="24"/>
          <w:szCs w:val="24"/>
        </w:rPr>
        <w:t>Ф</w:t>
      </w:r>
      <w:r w:rsidR="006667BB">
        <w:rPr>
          <w:sz w:val="24"/>
          <w:szCs w:val="24"/>
        </w:rPr>
        <w:t>едерации</w:t>
      </w:r>
      <w:r w:rsidR="00221DDD" w:rsidRPr="00221DDD">
        <w:rPr>
          <w:sz w:val="24"/>
          <w:szCs w:val="24"/>
        </w:rPr>
        <w:t xml:space="preserve"> от 10</w:t>
      </w:r>
      <w:r w:rsidR="00524D6D">
        <w:rPr>
          <w:sz w:val="24"/>
          <w:szCs w:val="24"/>
        </w:rPr>
        <w:t>.03.</w:t>
      </w:r>
      <w:r w:rsidR="00221DDD" w:rsidRPr="00221DDD">
        <w:rPr>
          <w:sz w:val="24"/>
          <w:szCs w:val="24"/>
        </w:rPr>
        <w:t> </w:t>
      </w:r>
      <w:r w:rsidR="00221DDD" w:rsidRPr="00221DDD">
        <w:rPr>
          <w:bCs/>
          <w:sz w:val="24"/>
          <w:szCs w:val="24"/>
        </w:rPr>
        <w:t>2022</w:t>
      </w:r>
      <w:r w:rsidR="00524D6D">
        <w:rPr>
          <w:sz w:val="24"/>
          <w:szCs w:val="24"/>
        </w:rPr>
        <w:t> </w:t>
      </w:r>
      <w:r w:rsidR="00221DDD" w:rsidRPr="00221DDD">
        <w:rPr>
          <w:sz w:val="24"/>
          <w:szCs w:val="24"/>
        </w:rPr>
        <w:t xml:space="preserve"> № 336 «Об особенностях организации и осуществления государственного </w:t>
      </w:r>
      <w:r w:rsidR="00221DDD" w:rsidRPr="00221DDD">
        <w:rPr>
          <w:bCs/>
          <w:sz w:val="24"/>
          <w:szCs w:val="24"/>
        </w:rPr>
        <w:t>контроля</w:t>
      </w:r>
      <w:r w:rsidR="00221DDD" w:rsidRPr="00221DDD">
        <w:rPr>
          <w:sz w:val="24"/>
          <w:szCs w:val="24"/>
        </w:rPr>
        <w:t> (надзора), муниципального </w:t>
      </w:r>
      <w:r w:rsidR="00221DDD" w:rsidRPr="00221DDD">
        <w:rPr>
          <w:bCs/>
          <w:sz w:val="24"/>
          <w:szCs w:val="24"/>
        </w:rPr>
        <w:t>контроля»</w:t>
      </w:r>
      <w:r w:rsidR="00221DDD" w:rsidRPr="00221DDD">
        <w:rPr>
          <w:sz w:val="24"/>
          <w:szCs w:val="24"/>
        </w:rPr>
        <w:t xml:space="preserve">. </w:t>
      </w:r>
    </w:p>
    <w:p w:rsidR="00221DDD" w:rsidRPr="00221DDD" w:rsidRDefault="00221DDD" w:rsidP="00221DDD">
      <w:pPr>
        <w:autoSpaceDE w:val="0"/>
        <w:autoSpaceDN w:val="0"/>
        <w:adjustRightInd w:val="0"/>
        <w:ind w:firstLine="709"/>
        <w:jc w:val="both"/>
        <w:rPr>
          <w:sz w:val="24"/>
          <w:szCs w:val="24"/>
        </w:rPr>
      </w:pPr>
      <w:r w:rsidRPr="00221DDD">
        <w:rPr>
          <w:sz w:val="24"/>
          <w:szCs w:val="24"/>
        </w:rPr>
        <w:t>Программа профилактики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установленных муницип</w:t>
      </w:r>
      <w:r w:rsidR="00FF6C89">
        <w:rPr>
          <w:sz w:val="24"/>
          <w:szCs w:val="24"/>
        </w:rPr>
        <w:t>альными правовыми актами на 2024</w:t>
      </w:r>
      <w:r w:rsidRPr="00221DDD">
        <w:rPr>
          <w:sz w:val="24"/>
          <w:szCs w:val="24"/>
        </w:rPr>
        <w:t xml:space="preserve"> год, не утверждалась. </w:t>
      </w:r>
    </w:p>
    <w:p w:rsidR="00221DDD" w:rsidRPr="00221DDD" w:rsidRDefault="00FF6C89" w:rsidP="00221DDD">
      <w:pPr>
        <w:autoSpaceDE w:val="0"/>
        <w:autoSpaceDN w:val="0"/>
        <w:adjustRightInd w:val="0"/>
        <w:ind w:firstLine="708"/>
        <w:jc w:val="both"/>
        <w:rPr>
          <w:sz w:val="24"/>
          <w:szCs w:val="24"/>
        </w:rPr>
      </w:pPr>
      <w:r>
        <w:rPr>
          <w:sz w:val="24"/>
          <w:szCs w:val="24"/>
        </w:rPr>
        <w:t>В 2024</w:t>
      </w:r>
      <w:r w:rsidR="00221DDD" w:rsidRPr="00221DDD">
        <w:rPr>
          <w:sz w:val="24"/>
          <w:szCs w:val="24"/>
        </w:rPr>
        <w:t xml:space="preserve"> году выполнялись мероприятия по профилактике нарушений, проведение которых предусмотрено пп.1,2  части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DDD" w:rsidRPr="00221DDD" w:rsidRDefault="00221DDD" w:rsidP="002F3DF2">
      <w:pPr>
        <w:autoSpaceDE w:val="0"/>
        <w:autoSpaceDN w:val="0"/>
        <w:adjustRightInd w:val="0"/>
        <w:ind w:firstLine="708"/>
        <w:rPr>
          <w:sz w:val="24"/>
          <w:szCs w:val="24"/>
        </w:rPr>
      </w:pPr>
    </w:p>
    <w:p w:rsidR="00221DDD" w:rsidRPr="00221DDD" w:rsidRDefault="00221DDD" w:rsidP="002F3DF2">
      <w:pPr>
        <w:pStyle w:val="a4"/>
        <w:numPr>
          <w:ilvl w:val="0"/>
          <w:numId w:val="6"/>
        </w:numPr>
        <w:autoSpaceDE w:val="0"/>
        <w:autoSpaceDN w:val="0"/>
        <w:adjustRightInd w:val="0"/>
        <w:ind w:left="0" w:firstLine="709"/>
        <w:jc w:val="both"/>
        <w:rPr>
          <w:b/>
          <w:sz w:val="24"/>
          <w:szCs w:val="24"/>
        </w:rPr>
      </w:pPr>
      <w:r w:rsidRPr="00221DDD">
        <w:rPr>
          <w:b/>
          <w:sz w:val="24"/>
          <w:szCs w:val="24"/>
        </w:rPr>
        <w:t xml:space="preserve">Цели и задачи </w:t>
      </w:r>
      <w:proofErr w:type="gramStart"/>
      <w:r w:rsidRPr="00221DDD">
        <w:rPr>
          <w:b/>
          <w:sz w:val="24"/>
          <w:szCs w:val="24"/>
        </w:rPr>
        <w:t>реализации программы профилактики рисков причинения вреда</w:t>
      </w:r>
      <w:proofErr w:type="gramEnd"/>
    </w:p>
    <w:p w:rsidR="00221DDD" w:rsidRPr="00221DDD" w:rsidRDefault="00221DDD" w:rsidP="00221DDD">
      <w:pPr>
        <w:pStyle w:val="a4"/>
        <w:autoSpaceDE w:val="0"/>
        <w:autoSpaceDN w:val="0"/>
        <w:adjustRightInd w:val="0"/>
        <w:ind w:left="1429"/>
        <w:rPr>
          <w:b/>
          <w:sz w:val="24"/>
          <w:szCs w:val="24"/>
        </w:rPr>
      </w:pP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Программа профилактики рисков причинения вреда направлена на достижение следующих основных целей: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стимулирование добросовестного соблюдения обязательных требований всеми контролируемыми лицами;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Задачами </w:t>
      </w:r>
      <w:proofErr w:type="gramStart"/>
      <w:r w:rsidRPr="00221DDD">
        <w:rPr>
          <w:sz w:val="24"/>
          <w:szCs w:val="24"/>
        </w:rPr>
        <w:t>программы профилактики рисков причинения вреда</w:t>
      </w:r>
      <w:proofErr w:type="gramEnd"/>
      <w:r w:rsidRPr="00221DDD">
        <w:rPr>
          <w:sz w:val="24"/>
          <w:szCs w:val="24"/>
        </w:rPr>
        <w:t xml:space="preserve"> являются: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укрепление </w:t>
      </w:r>
      <w:proofErr w:type="gramStart"/>
      <w:r w:rsidRPr="00221DDD">
        <w:rPr>
          <w:sz w:val="24"/>
          <w:szCs w:val="24"/>
        </w:rPr>
        <w:t>системы профилактики нарушений рисков причинения</w:t>
      </w:r>
      <w:proofErr w:type="gramEnd"/>
      <w:r w:rsidRPr="00221DDD">
        <w:rPr>
          <w:sz w:val="24"/>
          <w:szCs w:val="24"/>
        </w:rPr>
        <w:t xml:space="preserve">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p>
    <w:p w:rsidR="00221DDD" w:rsidRPr="00221DDD" w:rsidRDefault="00221DDD" w:rsidP="00221DDD">
      <w:pPr>
        <w:autoSpaceDE w:val="0"/>
        <w:autoSpaceDN w:val="0"/>
        <w:adjustRightInd w:val="0"/>
        <w:ind w:firstLine="709"/>
        <w:jc w:val="both"/>
        <w:rPr>
          <w:sz w:val="24"/>
          <w:szCs w:val="24"/>
        </w:rPr>
      </w:pPr>
      <w:r w:rsidRPr="00221DDD">
        <w:rPr>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221DDD" w:rsidRPr="00221DDD" w:rsidRDefault="00221DDD" w:rsidP="00221DDD">
      <w:pPr>
        <w:autoSpaceDE w:val="0"/>
        <w:autoSpaceDN w:val="0"/>
        <w:adjustRightInd w:val="0"/>
        <w:ind w:firstLine="709"/>
        <w:jc w:val="both"/>
        <w:rPr>
          <w:sz w:val="24"/>
          <w:szCs w:val="24"/>
        </w:rPr>
      </w:pPr>
      <w:r w:rsidRPr="00221DDD">
        <w:rPr>
          <w:sz w:val="24"/>
          <w:szCs w:val="24"/>
        </w:rPr>
        <w:t>6) развитие межведомственного взаимодействия по вопросам профилактики рисков причинения вреда охраняемым законом ценностям.</w:t>
      </w:r>
    </w:p>
    <w:p w:rsidR="00221DDD" w:rsidRPr="00221DDD" w:rsidRDefault="00221DDD" w:rsidP="00221DDD">
      <w:pPr>
        <w:autoSpaceDE w:val="0"/>
        <w:autoSpaceDN w:val="0"/>
        <w:adjustRightInd w:val="0"/>
        <w:ind w:firstLine="709"/>
        <w:jc w:val="both"/>
        <w:rPr>
          <w:sz w:val="24"/>
          <w:szCs w:val="24"/>
        </w:rPr>
      </w:pPr>
    </w:p>
    <w:p w:rsidR="00221DDD" w:rsidRPr="00221DDD" w:rsidRDefault="00221DDD" w:rsidP="002F3DF2">
      <w:pPr>
        <w:pStyle w:val="a4"/>
        <w:numPr>
          <w:ilvl w:val="0"/>
          <w:numId w:val="6"/>
        </w:numPr>
        <w:autoSpaceDE w:val="0"/>
        <w:autoSpaceDN w:val="0"/>
        <w:adjustRightInd w:val="0"/>
        <w:ind w:left="0" w:firstLine="709"/>
        <w:jc w:val="both"/>
        <w:rPr>
          <w:b/>
          <w:sz w:val="24"/>
          <w:szCs w:val="24"/>
        </w:rPr>
      </w:pPr>
      <w:r w:rsidRPr="00221DDD">
        <w:rPr>
          <w:b/>
          <w:sz w:val="24"/>
          <w:szCs w:val="24"/>
        </w:rPr>
        <w:lastRenderedPageBreak/>
        <w:t>Перечень профилактических мероприятий, сроки (периодичность) их проведения</w:t>
      </w:r>
    </w:p>
    <w:p w:rsidR="00221DDD" w:rsidRPr="00221DDD" w:rsidRDefault="00221DDD" w:rsidP="00221DDD">
      <w:pPr>
        <w:pStyle w:val="a4"/>
        <w:autoSpaceDE w:val="0"/>
        <w:autoSpaceDN w:val="0"/>
        <w:adjustRightInd w:val="0"/>
        <w:ind w:left="1429"/>
        <w:rPr>
          <w:b/>
          <w:sz w:val="24"/>
          <w:szCs w:val="24"/>
        </w:rPr>
      </w:pPr>
    </w:p>
    <w:tbl>
      <w:tblPr>
        <w:tblStyle w:val="aa"/>
        <w:tblW w:w="0" w:type="auto"/>
        <w:tblLook w:val="04A0" w:firstRow="1" w:lastRow="0" w:firstColumn="1" w:lastColumn="0" w:noHBand="0" w:noVBand="1"/>
      </w:tblPr>
      <w:tblGrid>
        <w:gridCol w:w="567"/>
        <w:gridCol w:w="2654"/>
        <w:gridCol w:w="2685"/>
        <w:gridCol w:w="3665"/>
      </w:tblGrid>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 xml:space="preserve">№ </w:t>
            </w:r>
            <w:proofErr w:type="gramStart"/>
            <w:r w:rsidRPr="00221DDD">
              <w:rPr>
                <w:sz w:val="24"/>
                <w:szCs w:val="24"/>
                <w:lang w:eastAsia="en-US"/>
              </w:rPr>
              <w:t>п</w:t>
            </w:r>
            <w:proofErr w:type="gramEnd"/>
            <w:r w:rsidRPr="00221DDD">
              <w:rPr>
                <w:sz w:val="24"/>
                <w:szCs w:val="24"/>
                <w:lang w:eastAsia="en-US"/>
              </w:rPr>
              <w:t>/п</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Наименование</w:t>
            </w:r>
          </w:p>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Срок исполнения</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Структурное подразделение, ответственное за реализацию</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1.</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Информирование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Постоянно</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ind w:firstLine="709"/>
              <w:jc w:val="center"/>
              <w:rPr>
                <w:sz w:val="24"/>
                <w:szCs w:val="24"/>
                <w:lang w:eastAsia="en-US"/>
              </w:rPr>
            </w:pPr>
            <w:r w:rsidRPr="00221DDD">
              <w:rPr>
                <w:sz w:val="24"/>
                <w:szCs w:val="24"/>
                <w:lang w:eastAsia="en-US"/>
              </w:rPr>
              <w:t>22.</w:t>
            </w:r>
          </w:p>
          <w:p w:rsidR="00221DDD" w:rsidRPr="00221DDD" w:rsidRDefault="00221DDD" w:rsidP="005E0F45">
            <w:pPr>
              <w:autoSpaceDE w:val="0"/>
              <w:autoSpaceDN w:val="0"/>
              <w:adjustRightInd w:val="0"/>
              <w:jc w:val="center"/>
              <w:rPr>
                <w:b/>
                <w:sz w:val="24"/>
                <w:szCs w:val="24"/>
                <w:lang w:eastAsia="en-US"/>
              </w:rPr>
            </w:pPr>
          </w:p>
        </w:tc>
        <w:tc>
          <w:tcPr>
            <w:tcW w:w="2660"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Объявление предостережений</w:t>
            </w:r>
          </w:p>
          <w:p w:rsidR="00221DDD" w:rsidRPr="00221DDD" w:rsidRDefault="00221DDD" w:rsidP="005E0F45">
            <w:pPr>
              <w:autoSpaceDE w:val="0"/>
              <w:autoSpaceDN w:val="0"/>
              <w:adjustRightInd w:val="0"/>
              <w:jc w:val="center"/>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3.</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обращения подконтрольных субъектов</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4.</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Профилактический визит</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необходимости в соответствии со ст</w:t>
            </w:r>
            <w:r w:rsidR="00524D6D">
              <w:rPr>
                <w:sz w:val="24"/>
                <w:szCs w:val="24"/>
                <w:lang w:eastAsia="en-US"/>
              </w:rPr>
              <w:t>атьей</w:t>
            </w:r>
            <w:r w:rsidRPr="00221DDD">
              <w:rPr>
                <w:sz w:val="24"/>
                <w:szCs w:val="24"/>
                <w:lang w:eastAsia="en-US"/>
              </w:rPr>
              <w:t xml:space="preserve"> 52</w:t>
            </w:r>
          </w:p>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Федерального закона от 31.07.2020 № 248ФЗ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sz w:val="24"/>
                <w:szCs w:val="24"/>
                <w:lang w:eastAsia="en-US"/>
              </w:rPr>
            </w:pPr>
          </w:p>
        </w:tc>
      </w:tr>
    </w:tbl>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FF6C89">
      <w:pPr>
        <w:ind w:firstLine="709"/>
        <w:jc w:val="both"/>
        <w:rPr>
          <w:sz w:val="24"/>
          <w:szCs w:val="24"/>
        </w:rPr>
      </w:pPr>
      <w:r w:rsidRPr="00221DDD">
        <w:rPr>
          <w:sz w:val="24"/>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жилищного контроля: </w:t>
      </w:r>
    </w:p>
    <w:p w:rsidR="00221DDD" w:rsidRPr="00221DDD" w:rsidRDefault="00221DDD" w:rsidP="00FF6C89">
      <w:pPr>
        <w:ind w:firstLine="709"/>
        <w:jc w:val="both"/>
        <w:rPr>
          <w:sz w:val="24"/>
          <w:szCs w:val="24"/>
        </w:rPr>
      </w:pPr>
      <w:r w:rsidRPr="00221DDD">
        <w:rPr>
          <w:sz w:val="24"/>
          <w:szCs w:val="24"/>
        </w:rPr>
        <w:t xml:space="preserve">1) порядка проведения контрольных мероприятий; </w:t>
      </w:r>
    </w:p>
    <w:p w:rsidR="00221DDD" w:rsidRPr="00221DDD" w:rsidRDefault="00221DDD" w:rsidP="00FF6C89">
      <w:pPr>
        <w:ind w:firstLine="709"/>
        <w:jc w:val="both"/>
        <w:rPr>
          <w:sz w:val="24"/>
          <w:szCs w:val="24"/>
        </w:rPr>
      </w:pPr>
      <w:r w:rsidRPr="00221DDD">
        <w:rPr>
          <w:sz w:val="24"/>
          <w:szCs w:val="24"/>
        </w:rPr>
        <w:t xml:space="preserve">2) периодичности проведения контрольных мероприятий; </w:t>
      </w:r>
    </w:p>
    <w:p w:rsidR="00221DDD" w:rsidRPr="00221DDD" w:rsidRDefault="00221DDD" w:rsidP="00FF6C89">
      <w:pPr>
        <w:ind w:firstLine="709"/>
        <w:jc w:val="both"/>
        <w:rPr>
          <w:sz w:val="24"/>
          <w:szCs w:val="24"/>
        </w:rPr>
      </w:pPr>
      <w:r w:rsidRPr="00221DDD">
        <w:rPr>
          <w:sz w:val="24"/>
          <w:szCs w:val="24"/>
        </w:rPr>
        <w:t xml:space="preserve">3) порядка принятия решений по итогам контрольных мероприятий; </w:t>
      </w:r>
    </w:p>
    <w:p w:rsidR="00221DDD" w:rsidRPr="00221DDD" w:rsidRDefault="00221DDD" w:rsidP="00FF6C89">
      <w:pPr>
        <w:ind w:firstLine="709"/>
        <w:jc w:val="both"/>
        <w:rPr>
          <w:sz w:val="24"/>
          <w:szCs w:val="24"/>
        </w:rPr>
      </w:pPr>
      <w:r w:rsidRPr="00221DDD">
        <w:rPr>
          <w:sz w:val="24"/>
          <w:szCs w:val="24"/>
        </w:rPr>
        <w:t xml:space="preserve">4) порядка обжалования решений контрольного органа; </w:t>
      </w:r>
    </w:p>
    <w:p w:rsidR="00221DDD" w:rsidRPr="00221DDD" w:rsidRDefault="00221DDD" w:rsidP="00FF6C89">
      <w:pPr>
        <w:ind w:firstLine="709"/>
        <w:jc w:val="both"/>
        <w:rPr>
          <w:sz w:val="24"/>
          <w:szCs w:val="24"/>
        </w:rPr>
      </w:pPr>
      <w:r w:rsidRPr="00221DDD">
        <w:rPr>
          <w:sz w:val="24"/>
          <w:szCs w:val="24"/>
        </w:rPr>
        <w:t xml:space="preserve">5) соблюдения обязательных требований.  </w:t>
      </w:r>
    </w:p>
    <w:p w:rsidR="00221DDD" w:rsidRPr="00221DDD" w:rsidRDefault="00221DDD" w:rsidP="00FF6C89">
      <w:pPr>
        <w:ind w:firstLine="709"/>
        <w:jc w:val="both"/>
        <w:rPr>
          <w:sz w:val="24"/>
          <w:szCs w:val="24"/>
        </w:rPr>
      </w:pPr>
      <w:r w:rsidRPr="00221DDD">
        <w:rPr>
          <w:sz w:val="24"/>
          <w:szCs w:val="24"/>
        </w:rPr>
        <w:t xml:space="preserve">Консультирование контролируемых лиц и их представителей осуществляют должностные лица, уполномоченные осуществлять муниципальный жилищный контроль: </w:t>
      </w:r>
    </w:p>
    <w:p w:rsidR="00221DDD" w:rsidRPr="00221DDD" w:rsidRDefault="00221DDD" w:rsidP="00FF6C89">
      <w:pPr>
        <w:ind w:firstLine="709"/>
        <w:jc w:val="both"/>
        <w:rPr>
          <w:sz w:val="24"/>
          <w:szCs w:val="24"/>
        </w:rPr>
      </w:pPr>
      <w:r w:rsidRPr="00221DDD">
        <w:rPr>
          <w:sz w:val="24"/>
          <w:szCs w:val="24"/>
        </w:rPr>
        <w:lastRenderedPageBreak/>
        <w:t xml:space="preserve">1) в виде устных разъяснений по телефону, посредством </w:t>
      </w:r>
      <w:proofErr w:type="spellStart"/>
      <w:r w:rsidRPr="00221DDD">
        <w:rPr>
          <w:sz w:val="24"/>
          <w:szCs w:val="24"/>
        </w:rPr>
        <w:t>видеоконференц</w:t>
      </w:r>
      <w:proofErr w:type="spellEnd"/>
      <w:r w:rsidRPr="00221DDD">
        <w:rPr>
          <w:sz w:val="24"/>
          <w:szCs w:val="24"/>
        </w:rPr>
        <w:t xml:space="preserve">-связи, на личном приеме либо в ходе проведения профилактического мероприятия, контрольного мероприятия; </w:t>
      </w:r>
    </w:p>
    <w:p w:rsidR="00221DDD" w:rsidRPr="00221DDD" w:rsidRDefault="00221DDD" w:rsidP="00FF6C89">
      <w:pPr>
        <w:ind w:firstLine="709"/>
        <w:jc w:val="both"/>
        <w:rPr>
          <w:sz w:val="24"/>
          <w:szCs w:val="24"/>
        </w:rPr>
      </w:pPr>
      <w:r w:rsidRPr="00221DDD">
        <w:rPr>
          <w:sz w:val="24"/>
          <w:szCs w:val="24"/>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221DDD" w:rsidRPr="00221DDD" w:rsidRDefault="00221DDD" w:rsidP="00FF6C89">
      <w:pPr>
        <w:ind w:firstLine="709"/>
        <w:jc w:val="both"/>
        <w:rPr>
          <w:sz w:val="24"/>
          <w:szCs w:val="24"/>
        </w:rPr>
      </w:pPr>
      <w:r w:rsidRPr="00221DDD">
        <w:rPr>
          <w:sz w:val="24"/>
          <w:szCs w:val="24"/>
        </w:rPr>
        <w:t xml:space="preserve">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p>
    <w:p w:rsidR="00221DDD" w:rsidRPr="00221DDD" w:rsidRDefault="00221DDD" w:rsidP="00FF6C89">
      <w:pPr>
        <w:ind w:firstLine="709"/>
        <w:jc w:val="both"/>
        <w:rPr>
          <w:sz w:val="24"/>
          <w:szCs w:val="24"/>
        </w:rPr>
      </w:pPr>
      <w:r w:rsidRPr="00221DDD">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21DDD" w:rsidRPr="00221DDD" w:rsidRDefault="00221DDD" w:rsidP="00FF6C89">
      <w:pPr>
        <w:ind w:firstLine="709"/>
        <w:jc w:val="both"/>
        <w:rPr>
          <w:sz w:val="24"/>
          <w:szCs w:val="24"/>
        </w:rPr>
      </w:pPr>
      <w:r w:rsidRPr="00221DDD">
        <w:rPr>
          <w:sz w:val="24"/>
          <w:szCs w:val="24"/>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221DDD">
        <w:rPr>
          <w:sz w:val="24"/>
          <w:szCs w:val="24"/>
        </w:rPr>
        <w:t>органа</w:t>
      </w:r>
      <w:proofErr w:type="gramEnd"/>
      <w:r w:rsidRPr="00221DDD">
        <w:rPr>
          <w:sz w:val="24"/>
          <w:szCs w:val="24"/>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21DDD" w:rsidRPr="00221DDD" w:rsidRDefault="00221DDD" w:rsidP="00FF6C89">
      <w:pPr>
        <w:ind w:firstLine="709"/>
        <w:jc w:val="both"/>
        <w:rPr>
          <w:b/>
          <w:sz w:val="24"/>
          <w:szCs w:val="24"/>
        </w:rPr>
      </w:pPr>
    </w:p>
    <w:p w:rsidR="00221DDD" w:rsidRPr="00221DDD" w:rsidRDefault="00221DDD" w:rsidP="00FF6C89">
      <w:pPr>
        <w:ind w:firstLine="709"/>
        <w:jc w:val="both"/>
        <w:rPr>
          <w:b/>
          <w:sz w:val="24"/>
          <w:szCs w:val="24"/>
        </w:rPr>
      </w:pPr>
      <w:r w:rsidRPr="00221DDD">
        <w:rPr>
          <w:b/>
          <w:sz w:val="24"/>
          <w:szCs w:val="24"/>
        </w:rPr>
        <w:t xml:space="preserve">V. Показатели результативности и эффективности </w:t>
      </w:r>
      <w:proofErr w:type="gramStart"/>
      <w:r w:rsidRPr="00221DDD">
        <w:rPr>
          <w:b/>
          <w:sz w:val="24"/>
          <w:szCs w:val="24"/>
        </w:rPr>
        <w:t>программы профилактики рисков причинения вреда</w:t>
      </w:r>
      <w:proofErr w:type="gramEnd"/>
    </w:p>
    <w:p w:rsidR="00221DDD" w:rsidRPr="00221DDD" w:rsidRDefault="00221DDD" w:rsidP="00221DDD">
      <w:pPr>
        <w:jc w:val="both"/>
        <w:rPr>
          <w:b/>
          <w:sz w:val="24"/>
          <w:szCs w:val="24"/>
        </w:rPr>
      </w:pPr>
    </w:p>
    <w:tbl>
      <w:tblPr>
        <w:tblStyle w:val="aa"/>
        <w:tblW w:w="0" w:type="auto"/>
        <w:tblLook w:val="04A0" w:firstRow="1" w:lastRow="0" w:firstColumn="1" w:lastColumn="0" w:noHBand="0" w:noVBand="1"/>
      </w:tblPr>
      <w:tblGrid>
        <w:gridCol w:w="809"/>
        <w:gridCol w:w="3788"/>
        <w:gridCol w:w="4974"/>
      </w:tblGrid>
      <w:tr w:rsidR="00221DDD" w:rsidRPr="00221DDD" w:rsidTr="00221DDD">
        <w:tc>
          <w:tcPr>
            <w:tcW w:w="817"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jc w:val="center"/>
              <w:rPr>
                <w:sz w:val="24"/>
                <w:szCs w:val="24"/>
                <w:lang w:eastAsia="en-US"/>
              </w:rPr>
            </w:pPr>
            <w:r w:rsidRPr="00221DDD">
              <w:rPr>
                <w:sz w:val="24"/>
                <w:szCs w:val="24"/>
                <w:lang w:eastAsia="en-US"/>
              </w:rPr>
              <w:t xml:space="preserve">№ </w:t>
            </w:r>
            <w:proofErr w:type="gramStart"/>
            <w:r w:rsidRPr="00221DDD">
              <w:rPr>
                <w:sz w:val="24"/>
                <w:szCs w:val="24"/>
                <w:lang w:eastAsia="en-US"/>
              </w:rPr>
              <w:t>п</w:t>
            </w:r>
            <w:proofErr w:type="gramEnd"/>
            <w:r w:rsidRPr="00221DDD">
              <w:rPr>
                <w:sz w:val="24"/>
                <w:szCs w:val="24"/>
                <w:lang w:eastAsia="en-US"/>
              </w:rPr>
              <w:t>/п</w:t>
            </w:r>
          </w:p>
          <w:p w:rsidR="00221DDD" w:rsidRPr="00221DDD" w:rsidRDefault="00221DDD" w:rsidP="005E0F45">
            <w:pPr>
              <w:jc w:val="center"/>
              <w:rPr>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jc w:val="center"/>
              <w:rPr>
                <w:b/>
                <w:sz w:val="24"/>
                <w:szCs w:val="24"/>
                <w:lang w:eastAsia="en-US"/>
              </w:rPr>
            </w:pPr>
            <w:r w:rsidRPr="00221DDD">
              <w:rPr>
                <w:sz w:val="24"/>
                <w:szCs w:val="24"/>
                <w:lang w:eastAsia="en-US"/>
              </w:rPr>
              <w:t>Наименование показателя</w:t>
            </w:r>
          </w:p>
        </w:tc>
        <w:tc>
          <w:tcPr>
            <w:tcW w:w="5070"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ind w:firstLine="708"/>
              <w:jc w:val="center"/>
              <w:rPr>
                <w:sz w:val="24"/>
                <w:szCs w:val="24"/>
                <w:lang w:eastAsia="en-US"/>
              </w:rPr>
            </w:pPr>
            <w:r w:rsidRPr="00221DDD">
              <w:rPr>
                <w:sz w:val="24"/>
                <w:szCs w:val="24"/>
                <w:lang w:eastAsia="en-US"/>
              </w:rPr>
              <w:t>Значение показателя</w:t>
            </w:r>
          </w:p>
          <w:p w:rsidR="00221DDD" w:rsidRPr="00221DDD" w:rsidRDefault="00221DDD" w:rsidP="005E0F45">
            <w:pPr>
              <w:jc w:val="center"/>
              <w:rPr>
                <w:b/>
                <w:sz w:val="24"/>
                <w:szCs w:val="24"/>
                <w:lang w:eastAsia="en-US"/>
              </w:rPr>
            </w:pPr>
          </w:p>
        </w:tc>
      </w:tr>
      <w:tr w:rsidR="00221DDD" w:rsidRPr="00221DDD" w:rsidTr="00772678">
        <w:trPr>
          <w:trHeight w:val="3182"/>
        </w:trPr>
        <w:tc>
          <w:tcPr>
            <w:tcW w:w="81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jc w:val="center"/>
              <w:rPr>
                <w:b/>
                <w:sz w:val="24"/>
                <w:szCs w:val="24"/>
                <w:lang w:eastAsia="en-US"/>
              </w:rPr>
            </w:pPr>
            <w:r w:rsidRPr="00221DDD">
              <w:rPr>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tcPr>
          <w:p w:rsidR="00221DDD" w:rsidRPr="00221DDD" w:rsidRDefault="00221DDD" w:rsidP="00634C5F">
            <w:pPr>
              <w:jc w:val="center"/>
              <w:rPr>
                <w:b/>
                <w:sz w:val="24"/>
                <w:szCs w:val="24"/>
                <w:lang w:eastAsia="en-US"/>
              </w:rPr>
            </w:pPr>
            <w:r w:rsidRPr="00221DDD">
              <w:rPr>
                <w:sz w:val="24"/>
                <w:szCs w:val="24"/>
                <w:lang w:eastAsia="en-US"/>
              </w:rPr>
              <w:t xml:space="preserve">Полнота информации, размещенной на сайте Печенгского муниципального округа  </w:t>
            </w:r>
            <w:hyperlink r:id="rId8" w:history="1">
              <w:r w:rsidRPr="00221DDD">
                <w:rPr>
                  <w:rStyle w:val="a6"/>
                  <w:rFonts w:eastAsia="Calibri"/>
                  <w:color w:val="auto"/>
                  <w:sz w:val="24"/>
                  <w:szCs w:val="24"/>
                  <w:lang w:eastAsia="en-US"/>
                </w:rPr>
                <w:t>http://pechengamr.gov-murman.ru/</w:t>
              </w:r>
            </w:hyperlink>
            <w:r w:rsidRPr="00221DDD">
              <w:rPr>
                <w:rStyle w:val="a6"/>
                <w:rFonts w:eastAsia="Calibri"/>
                <w:color w:val="auto"/>
                <w:sz w:val="24"/>
                <w:szCs w:val="24"/>
                <w:lang w:eastAsia="en-US"/>
              </w:rPr>
              <w:t xml:space="preserve"> </w:t>
            </w:r>
            <w:r w:rsidRPr="00221DDD">
              <w:rPr>
                <w:sz w:val="24"/>
                <w:szCs w:val="24"/>
                <w:lang w:eastAsia="en-US"/>
              </w:rPr>
              <w:t>в соответствии с частью 3 статьи 46 Федерального закона от 31</w:t>
            </w:r>
            <w:r w:rsidR="00634C5F">
              <w:rPr>
                <w:sz w:val="24"/>
                <w:szCs w:val="24"/>
                <w:lang w:eastAsia="en-US"/>
              </w:rPr>
              <w:t>.07.</w:t>
            </w:r>
            <w:r w:rsidRPr="00221DDD">
              <w:rPr>
                <w:sz w:val="24"/>
                <w:szCs w:val="24"/>
                <w:lang w:eastAsia="en-US"/>
              </w:rPr>
              <w:t xml:space="preserve"> 202</w:t>
            </w:r>
            <w:r w:rsidR="00634C5F">
              <w:rPr>
                <w:sz w:val="24"/>
                <w:szCs w:val="24"/>
                <w:lang w:eastAsia="en-US"/>
              </w:rPr>
              <w:t>0</w:t>
            </w:r>
            <w:r w:rsidRPr="00221DDD">
              <w:rPr>
                <w:sz w:val="24"/>
                <w:szCs w:val="24"/>
                <w:lang w:eastAsia="en-US"/>
              </w:rPr>
              <w:t xml:space="preserve"> № 248-ФЗ «О государственном контроле (надзоре) и муниципальном контроле в Российской Федерации»</w:t>
            </w:r>
          </w:p>
        </w:tc>
        <w:tc>
          <w:tcPr>
            <w:tcW w:w="5070" w:type="dxa"/>
            <w:tcBorders>
              <w:top w:val="single" w:sz="4" w:space="0" w:color="auto"/>
              <w:left w:val="single" w:sz="4" w:space="0" w:color="auto"/>
              <w:bottom w:val="single" w:sz="4" w:space="0" w:color="auto"/>
              <w:right w:val="single" w:sz="4" w:space="0" w:color="auto"/>
            </w:tcBorders>
          </w:tcPr>
          <w:p w:rsidR="002F3DF2" w:rsidRDefault="002F3DF2" w:rsidP="005E0F45">
            <w:pPr>
              <w:ind w:firstLine="708"/>
              <w:jc w:val="center"/>
              <w:rPr>
                <w:sz w:val="24"/>
                <w:szCs w:val="24"/>
                <w:lang w:eastAsia="en-US"/>
              </w:rPr>
            </w:pPr>
          </w:p>
          <w:p w:rsidR="002F3DF2" w:rsidRDefault="002F3DF2" w:rsidP="005E0F45">
            <w:pPr>
              <w:ind w:firstLine="708"/>
              <w:jc w:val="center"/>
              <w:rPr>
                <w:sz w:val="24"/>
                <w:szCs w:val="24"/>
                <w:lang w:eastAsia="en-US"/>
              </w:rPr>
            </w:pPr>
          </w:p>
          <w:p w:rsidR="002F3DF2" w:rsidRDefault="002F3DF2" w:rsidP="005E0F45">
            <w:pPr>
              <w:ind w:firstLine="708"/>
              <w:jc w:val="center"/>
              <w:rPr>
                <w:sz w:val="24"/>
                <w:szCs w:val="24"/>
                <w:lang w:eastAsia="en-US"/>
              </w:rPr>
            </w:pPr>
          </w:p>
          <w:p w:rsidR="002F3DF2" w:rsidRDefault="002F3DF2" w:rsidP="005E0F45">
            <w:pPr>
              <w:ind w:firstLine="708"/>
              <w:jc w:val="center"/>
              <w:rPr>
                <w:sz w:val="24"/>
                <w:szCs w:val="24"/>
                <w:lang w:eastAsia="en-US"/>
              </w:rPr>
            </w:pPr>
          </w:p>
          <w:p w:rsidR="002F3DF2" w:rsidRDefault="002F3DF2" w:rsidP="005E0F45">
            <w:pPr>
              <w:ind w:firstLine="708"/>
              <w:jc w:val="center"/>
              <w:rPr>
                <w:sz w:val="24"/>
                <w:szCs w:val="24"/>
                <w:lang w:eastAsia="en-US"/>
              </w:rPr>
            </w:pPr>
          </w:p>
          <w:p w:rsidR="00221DDD" w:rsidRPr="00221DDD" w:rsidRDefault="00221DDD" w:rsidP="005E0F45">
            <w:pPr>
              <w:ind w:firstLine="708"/>
              <w:jc w:val="center"/>
              <w:rPr>
                <w:sz w:val="24"/>
                <w:szCs w:val="24"/>
                <w:lang w:eastAsia="en-US"/>
              </w:rPr>
            </w:pPr>
            <w:r w:rsidRPr="00221DDD">
              <w:rPr>
                <w:sz w:val="24"/>
                <w:szCs w:val="24"/>
                <w:lang w:eastAsia="en-US"/>
              </w:rPr>
              <w:t>100 %</w:t>
            </w:r>
          </w:p>
          <w:p w:rsidR="00221DDD" w:rsidRPr="00221DDD" w:rsidRDefault="00221DDD" w:rsidP="005E0F45">
            <w:pPr>
              <w:jc w:val="center"/>
              <w:rPr>
                <w:b/>
                <w:sz w:val="24"/>
                <w:szCs w:val="24"/>
                <w:lang w:eastAsia="en-US"/>
              </w:rPr>
            </w:pPr>
          </w:p>
        </w:tc>
      </w:tr>
      <w:tr w:rsidR="00221DDD" w:rsidRPr="00221DDD" w:rsidTr="00221DDD">
        <w:tc>
          <w:tcPr>
            <w:tcW w:w="81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jc w:val="center"/>
              <w:rPr>
                <w:b/>
                <w:sz w:val="24"/>
                <w:szCs w:val="24"/>
                <w:lang w:eastAsia="en-US"/>
              </w:rPr>
            </w:pPr>
            <w:r w:rsidRPr="00221DDD">
              <w:rPr>
                <w:sz w:val="24"/>
                <w:szCs w:val="24"/>
                <w:lang w:eastAsia="en-US"/>
              </w:rPr>
              <w:t>2.</w:t>
            </w:r>
          </w:p>
        </w:tc>
        <w:tc>
          <w:tcPr>
            <w:tcW w:w="3827" w:type="dxa"/>
            <w:tcBorders>
              <w:top w:val="single" w:sz="4" w:space="0" w:color="auto"/>
              <w:left w:val="single" w:sz="4" w:space="0" w:color="auto"/>
              <w:bottom w:val="single" w:sz="4" w:space="0" w:color="auto"/>
              <w:right w:val="single" w:sz="4" w:space="0" w:color="auto"/>
            </w:tcBorders>
          </w:tcPr>
          <w:p w:rsidR="00221DDD" w:rsidRDefault="00221DDD" w:rsidP="001B3B03">
            <w:pPr>
              <w:jc w:val="center"/>
              <w:rPr>
                <w:sz w:val="24"/>
                <w:szCs w:val="24"/>
                <w:lang w:eastAsia="en-US"/>
              </w:rPr>
            </w:pPr>
            <w:r w:rsidRPr="00221DDD">
              <w:rPr>
                <w:sz w:val="24"/>
                <w:szCs w:val="24"/>
                <w:lang w:eastAsia="en-US"/>
              </w:rPr>
              <w:t>Удовлетворенность контролируемых лиц и их представителями консультированием</w:t>
            </w:r>
          </w:p>
          <w:p w:rsidR="001B3B03" w:rsidRPr="00221DDD" w:rsidRDefault="001B3B03" w:rsidP="001B3B03">
            <w:pPr>
              <w:jc w:val="center"/>
              <w:rPr>
                <w:b/>
                <w:sz w:val="24"/>
                <w:szCs w:val="24"/>
                <w:lang w:eastAsia="en-US"/>
              </w:rPr>
            </w:pPr>
          </w:p>
        </w:tc>
        <w:tc>
          <w:tcPr>
            <w:tcW w:w="5070" w:type="dxa"/>
            <w:tcBorders>
              <w:top w:val="single" w:sz="4" w:space="0" w:color="auto"/>
              <w:left w:val="single" w:sz="4" w:space="0" w:color="auto"/>
              <w:bottom w:val="single" w:sz="4" w:space="0" w:color="auto"/>
              <w:right w:val="single" w:sz="4" w:space="0" w:color="auto"/>
            </w:tcBorders>
            <w:hideMark/>
          </w:tcPr>
          <w:p w:rsidR="002F3DF2" w:rsidRDefault="002F3DF2" w:rsidP="005E0F45">
            <w:pPr>
              <w:jc w:val="center"/>
              <w:rPr>
                <w:sz w:val="24"/>
                <w:szCs w:val="24"/>
                <w:lang w:eastAsia="en-US"/>
              </w:rPr>
            </w:pPr>
          </w:p>
          <w:p w:rsidR="002F3DF2" w:rsidRDefault="002F3DF2" w:rsidP="005E0F45">
            <w:pPr>
              <w:jc w:val="center"/>
              <w:rPr>
                <w:sz w:val="24"/>
                <w:szCs w:val="24"/>
                <w:lang w:eastAsia="en-US"/>
              </w:rPr>
            </w:pPr>
          </w:p>
          <w:p w:rsidR="00221DDD" w:rsidRPr="00221DDD" w:rsidRDefault="00221DDD" w:rsidP="005E0F45">
            <w:pPr>
              <w:jc w:val="center"/>
              <w:rPr>
                <w:b/>
                <w:sz w:val="24"/>
                <w:szCs w:val="24"/>
                <w:lang w:eastAsia="en-US"/>
              </w:rPr>
            </w:pPr>
            <w:r w:rsidRPr="00221DDD">
              <w:rPr>
                <w:sz w:val="24"/>
                <w:szCs w:val="24"/>
                <w:lang w:eastAsia="en-US"/>
              </w:rPr>
              <w:t xml:space="preserve">100 % от числа </w:t>
            </w:r>
            <w:proofErr w:type="gramStart"/>
            <w:r w:rsidRPr="00221DDD">
              <w:rPr>
                <w:sz w:val="24"/>
                <w:szCs w:val="24"/>
                <w:lang w:eastAsia="en-US"/>
              </w:rPr>
              <w:t>обратившихся</w:t>
            </w:r>
            <w:proofErr w:type="gramEnd"/>
          </w:p>
        </w:tc>
      </w:tr>
      <w:tr w:rsidR="00221DDD" w:rsidRPr="00221DDD" w:rsidTr="00221DDD">
        <w:tc>
          <w:tcPr>
            <w:tcW w:w="81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jc w:val="center"/>
              <w:rPr>
                <w:b/>
                <w:sz w:val="24"/>
                <w:szCs w:val="24"/>
                <w:lang w:eastAsia="en-US"/>
              </w:rPr>
            </w:pPr>
            <w:r w:rsidRPr="00221DDD">
              <w:rPr>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tcPr>
          <w:p w:rsidR="00221DDD" w:rsidRPr="00221DDD" w:rsidRDefault="00221DDD" w:rsidP="001B3B03">
            <w:pPr>
              <w:jc w:val="center"/>
              <w:rPr>
                <w:b/>
                <w:sz w:val="24"/>
                <w:szCs w:val="24"/>
                <w:lang w:eastAsia="en-US"/>
              </w:rPr>
            </w:pPr>
            <w:r w:rsidRPr="00221DDD">
              <w:rPr>
                <w:sz w:val="24"/>
                <w:szCs w:val="24"/>
                <w:lang w:eastAsia="en-US"/>
              </w:rPr>
              <w:t>Количество проведенных профилактических мероприятий</w:t>
            </w:r>
          </w:p>
        </w:tc>
        <w:tc>
          <w:tcPr>
            <w:tcW w:w="5070"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ind w:firstLine="708"/>
              <w:jc w:val="center"/>
              <w:rPr>
                <w:sz w:val="24"/>
                <w:szCs w:val="24"/>
                <w:lang w:eastAsia="en-US"/>
              </w:rPr>
            </w:pPr>
            <w:r w:rsidRPr="00221DDD">
              <w:rPr>
                <w:sz w:val="24"/>
                <w:szCs w:val="24"/>
                <w:lang w:eastAsia="en-US"/>
              </w:rPr>
              <w:t>не менее 10 мероприятий, проведенных контрольным органом</w:t>
            </w:r>
          </w:p>
          <w:p w:rsidR="00221DDD" w:rsidRPr="00221DDD" w:rsidRDefault="00221DDD" w:rsidP="005E0F45">
            <w:pPr>
              <w:jc w:val="center"/>
              <w:rPr>
                <w:b/>
                <w:sz w:val="24"/>
                <w:szCs w:val="24"/>
                <w:lang w:eastAsia="en-US"/>
              </w:rPr>
            </w:pPr>
          </w:p>
        </w:tc>
      </w:tr>
    </w:tbl>
    <w:p w:rsidR="001B3B03" w:rsidRDefault="001B3B03" w:rsidP="0037406D">
      <w:pPr>
        <w:jc w:val="center"/>
        <w:rPr>
          <w:b/>
          <w:color w:val="auto"/>
          <w:sz w:val="24"/>
          <w:szCs w:val="24"/>
        </w:rPr>
      </w:pPr>
    </w:p>
    <w:p w:rsidR="001B3B03" w:rsidRDefault="001B3B03" w:rsidP="0037406D">
      <w:pPr>
        <w:jc w:val="center"/>
        <w:rPr>
          <w:b/>
          <w:color w:val="auto"/>
          <w:sz w:val="24"/>
          <w:szCs w:val="24"/>
        </w:rPr>
      </w:pPr>
    </w:p>
    <w:p w:rsidR="001B3B03" w:rsidRDefault="001B3B03" w:rsidP="0037406D">
      <w:pPr>
        <w:jc w:val="center"/>
        <w:rPr>
          <w:b/>
          <w:color w:val="auto"/>
          <w:sz w:val="24"/>
          <w:szCs w:val="24"/>
        </w:rPr>
      </w:pPr>
    </w:p>
    <w:p w:rsidR="001B3B03" w:rsidRDefault="001B3B03" w:rsidP="0037406D">
      <w:pPr>
        <w:jc w:val="center"/>
        <w:rPr>
          <w:b/>
          <w:color w:val="auto"/>
          <w:sz w:val="24"/>
          <w:szCs w:val="24"/>
        </w:rPr>
      </w:pPr>
    </w:p>
    <w:p w:rsidR="00634C5F" w:rsidRDefault="00634C5F" w:rsidP="00A62337">
      <w:pPr>
        <w:rPr>
          <w:b/>
          <w:color w:val="auto"/>
          <w:sz w:val="24"/>
          <w:szCs w:val="24"/>
        </w:rPr>
      </w:pPr>
    </w:p>
    <w:p w:rsidR="00A62337" w:rsidRDefault="00A62337" w:rsidP="00A62337">
      <w:pPr>
        <w:rPr>
          <w:b/>
          <w:color w:val="auto"/>
          <w:sz w:val="24"/>
          <w:szCs w:val="24"/>
        </w:rPr>
      </w:pPr>
      <w:bookmarkStart w:id="0" w:name="_GoBack"/>
      <w:bookmarkEnd w:id="0"/>
    </w:p>
    <w:sectPr w:rsidR="00A62337" w:rsidSect="00FC5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6B8"/>
    <w:multiLevelType w:val="hybridMultilevel"/>
    <w:tmpl w:val="7774100C"/>
    <w:lvl w:ilvl="0" w:tplc="FCDC2BE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9724C"/>
    <w:multiLevelType w:val="hybridMultilevel"/>
    <w:tmpl w:val="033429D4"/>
    <w:lvl w:ilvl="0" w:tplc="619ACB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7281"/>
    <w:rsid w:val="000209D9"/>
    <w:rsid w:val="00025C41"/>
    <w:rsid w:val="00025FDB"/>
    <w:rsid w:val="0006630C"/>
    <w:rsid w:val="0007688F"/>
    <w:rsid w:val="00086C96"/>
    <w:rsid w:val="00094B00"/>
    <w:rsid w:val="00095735"/>
    <w:rsid w:val="000C1907"/>
    <w:rsid w:val="000C1BEC"/>
    <w:rsid w:val="000E21D6"/>
    <w:rsid w:val="000F2AFE"/>
    <w:rsid w:val="00100983"/>
    <w:rsid w:val="00125BB5"/>
    <w:rsid w:val="00142DEB"/>
    <w:rsid w:val="00156981"/>
    <w:rsid w:val="001749C8"/>
    <w:rsid w:val="001A41D3"/>
    <w:rsid w:val="001B3B03"/>
    <w:rsid w:val="001B7097"/>
    <w:rsid w:val="001D3BA2"/>
    <w:rsid w:val="001D6917"/>
    <w:rsid w:val="001E2FE5"/>
    <w:rsid w:val="001F37EF"/>
    <w:rsid w:val="00204966"/>
    <w:rsid w:val="00206364"/>
    <w:rsid w:val="00221DDD"/>
    <w:rsid w:val="00245C38"/>
    <w:rsid w:val="00254241"/>
    <w:rsid w:val="002609AD"/>
    <w:rsid w:val="00282105"/>
    <w:rsid w:val="002D0097"/>
    <w:rsid w:val="002D5134"/>
    <w:rsid w:val="002F3DF2"/>
    <w:rsid w:val="00304D62"/>
    <w:rsid w:val="00307F8B"/>
    <w:rsid w:val="00316CB8"/>
    <w:rsid w:val="003174C0"/>
    <w:rsid w:val="003249AE"/>
    <w:rsid w:val="00331B25"/>
    <w:rsid w:val="00341409"/>
    <w:rsid w:val="003453D9"/>
    <w:rsid w:val="00352C70"/>
    <w:rsid w:val="003550E2"/>
    <w:rsid w:val="00373232"/>
    <w:rsid w:val="0037406D"/>
    <w:rsid w:val="003849A6"/>
    <w:rsid w:val="00386C1A"/>
    <w:rsid w:val="00394BD7"/>
    <w:rsid w:val="003C6080"/>
    <w:rsid w:val="003E5BB0"/>
    <w:rsid w:val="003F04FB"/>
    <w:rsid w:val="003F36AC"/>
    <w:rsid w:val="00403B7B"/>
    <w:rsid w:val="00406D46"/>
    <w:rsid w:val="0041195C"/>
    <w:rsid w:val="004121E5"/>
    <w:rsid w:val="0043762A"/>
    <w:rsid w:val="0045464F"/>
    <w:rsid w:val="00482229"/>
    <w:rsid w:val="004877E2"/>
    <w:rsid w:val="00487C54"/>
    <w:rsid w:val="004A045D"/>
    <w:rsid w:val="004A34E1"/>
    <w:rsid w:val="004E3C2E"/>
    <w:rsid w:val="004E5ED2"/>
    <w:rsid w:val="004F7DE7"/>
    <w:rsid w:val="00511E79"/>
    <w:rsid w:val="00513623"/>
    <w:rsid w:val="00524D6D"/>
    <w:rsid w:val="0054026D"/>
    <w:rsid w:val="005512A5"/>
    <w:rsid w:val="00557338"/>
    <w:rsid w:val="00563745"/>
    <w:rsid w:val="005953F5"/>
    <w:rsid w:val="005A3538"/>
    <w:rsid w:val="005A5AF0"/>
    <w:rsid w:val="005C7E34"/>
    <w:rsid w:val="005E0F45"/>
    <w:rsid w:val="005E168C"/>
    <w:rsid w:val="005F142D"/>
    <w:rsid w:val="00606099"/>
    <w:rsid w:val="00606432"/>
    <w:rsid w:val="00634C5F"/>
    <w:rsid w:val="0064079A"/>
    <w:rsid w:val="00643E94"/>
    <w:rsid w:val="00644325"/>
    <w:rsid w:val="006638BB"/>
    <w:rsid w:val="006667BB"/>
    <w:rsid w:val="0067456A"/>
    <w:rsid w:val="006745AF"/>
    <w:rsid w:val="00681665"/>
    <w:rsid w:val="00696298"/>
    <w:rsid w:val="006A4381"/>
    <w:rsid w:val="006B22F4"/>
    <w:rsid w:val="006F077C"/>
    <w:rsid w:val="00714C69"/>
    <w:rsid w:val="007445E6"/>
    <w:rsid w:val="00762675"/>
    <w:rsid w:val="007630BE"/>
    <w:rsid w:val="00772678"/>
    <w:rsid w:val="00777D49"/>
    <w:rsid w:val="007C0095"/>
    <w:rsid w:val="008036F7"/>
    <w:rsid w:val="008233F7"/>
    <w:rsid w:val="00850544"/>
    <w:rsid w:val="0085651D"/>
    <w:rsid w:val="0085655A"/>
    <w:rsid w:val="008813B3"/>
    <w:rsid w:val="0088226B"/>
    <w:rsid w:val="008906BB"/>
    <w:rsid w:val="008A3B08"/>
    <w:rsid w:val="008A6BDC"/>
    <w:rsid w:val="008A741E"/>
    <w:rsid w:val="008B4DF1"/>
    <w:rsid w:val="008C4EAD"/>
    <w:rsid w:val="00910B31"/>
    <w:rsid w:val="009134FB"/>
    <w:rsid w:val="009156D8"/>
    <w:rsid w:val="009237C5"/>
    <w:rsid w:val="00932CEE"/>
    <w:rsid w:val="009374F6"/>
    <w:rsid w:val="009749C7"/>
    <w:rsid w:val="009827FA"/>
    <w:rsid w:val="0098295F"/>
    <w:rsid w:val="009C15ED"/>
    <w:rsid w:val="00A00998"/>
    <w:rsid w:val="00A17822"/>
    <w:rsid w:val="00A22B0D"/>
    <w:rsid w:val="00A322B5"/>
    <w:rsid w:val="00A41321"/>
    <w:rsid w:val="00A414C8"/>
    <w:rsid w:val="00A47A58"/>
    <w:rsid w:val="00A62337"/>
    <w:rsid w:val="00A62ED4"/>
    <w:rsid w:val="00AB7EE5"/>
    <w:rsid w:val="00AC2F3D"/>
    <w:rsid w:val="00AD1966"/>
    <w:rsid w:val="00AE0132"/>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F5C58"/>
    <w:rsid w:val="00C13F46"/>
    <w:rsid w:val="00C220D6"/>
    <w:rsid w:val="00C361DE"/>
    <w:rsid w:val="00C64D2F"/>
    <w:rsid w:val="00C66012"/>
    <w:rsid w:val="00C74907"/>
    <w:rsid w:val="00C80E58"/>
    <w:rsid w:val="00C87F75"/>
    <w:rsid w:val="00CB5BC3"/>
    <w:rsid w:val="00D00314"/>
    <w:rsid w:val="00D15674"/>
    <w:rsid w:val="00D25FAE"/>
    <w:rsid w:val="00D47953"/>
    <w:rsid w:val="00D6237D"/>
    <w:rsid w:val="00D81A2F"/>
    <w:rsid w:val="00DB0F09"/>
    <w:rsid w:val="00DC1694"/>
    <w:rsid w:val="00DD0B5E"/>
    <w:rsid w:val="00DD0CA9"/>
    <w:rsid w:val="00DD466B"/>
    <w:rsid w:val="00DD5691"/>
    <w:rsid w:val="00DF0820"/>
    <w:rsid w:val="00DF1449"/>
    <w:rsid w:val="00E04E8B"/>
    <w:rsid w:val="00E55162"/>
    <w:rsid w:val="00E745C6"/>
    <w:rsid w:val="00E82333"/>
    <w:rsid w:val="00E9697A"/>
    <w:rsid w:val="00EA354E"/>
    <w:rsid w:val="00EB27BA"/>
    <w:rsid w:val="00EE0E32"/>
    <w:rsid w:val="00EE51D6"/>
    <w:rsid w:val="00EE6B1A"/>
    <w:rsid w:val="00EF0417"/>
    <w:rsid w:val="00F14272"/>
    <w:rsid w:val="00F3167A"/>
    <w:rsid w:val="00F34007"/>
    <w:rsid w:val="00F35A7C"/>
    <w:rsid w:val="00F563EF"/>
    <w:rsid w:val="00F64CF0"/>
    <w:rsid w:val="00F77DC0"/>
    <w:rsid w:val="00F81D45"/>
    <w:rsid w:val="00FA0E58"/>
    <w:rsid w:val="00FB5E74"/>
    <w:rsid w:val="00FC56A6"/>
    <w:rsid w:val="00FD2A89"/>
    <w:rsid w:val="00FD7038"/>
    <w:rsid w:val="00FF035C"/>
    <w:rsid w:val="00FF3F6C"/>
    <w:rsid w:val="00FF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90374">
      <w:bodyDiv w:val="1"/>
      <w:marLeft w:val="0"/>
      <w:marRight w:val="0"/>
      <w:marTop w:val="0"/>
      <w:marBottom w:val="0"/>
      <w:divBdr>
        <w:top w:val="none" w:sz="0" w:space="0" w:color="auto"/>
        <w:left w:val="none" w:sz="0" w:space="0" w:color="auto"/>
        <w:bottom w:val="none" w:sz="0" w:space="0" w:color="auto"/>
        <w:right w:val="none" w:sz="0" w:space="0" w:color="auto"/>
      </w:divBdr>
    </w:div>
    <w:div w:id="1394157231">
      <w:bodyDiv w:val="1"/>
      <w:marLeft w:val="0"/>
      <w:marRight w:val="0"/>
      <w:marTop w:val="0"/>
      <w:marBottom w:val="0"/>
      <w:divBdr>
        <w:top w:val="none" w:sz="0" w:space="0" w:color="auto"/>
        <w:left w:val="none" w:sz="0" w:space="0" w:color="auto"/>
        <w:bottom w:val="none" w:sz="0" w:space="0" w:color="auto"/>
        <w:right w:val="none" w:sz="0" w:space="0" w:color="auto"/>
      </w:divBdr>
    </w:div>
    <w:div w:id="15830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hyperlink" Target="http://pechengam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3327-E2AD-4073-9000-7D4C3CEC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Синицкая Галина Федоровна</cp:lastModifiedBy>
  <cp:revision>2</cp:revision>
  <cp:lastPrinted>2024-09-30T12:09:00Z</cp:lastPrinted>
  <dcterms:created xsi:type="dcterms:W3CDTF">2024-10-01T12:16:00Z</dcterms:created>
  <dcterms:modified xsi:type="dcterms:W3CDTF">2024-10-01T12:16:00Z</dcterms:modified>
</cp:coreProperties>
</file>