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96" w:rsidRPr="00813396" w:rsidRDefault="00813396" w:rsidP="00813396">
      <w:pPr>
        <w:jc w:val="center"/>
        <w:rPr>
          <w:b/>
          <w:bCs/>
          <w:color w:val="auto"/>
          <w:sz w:val="24"/>
          <w:szCs w:val="24"/>
        </w:rPr>
      </w:pPr>
      <w:r w:rsidRPr="00813396">
        <w:rPr>
          <w:b/>
          <w:bCs/>
          <w:color w:val="auto"/>
          <w:sz w:val="24"/>
          <w:szCs w:val="24"/>
        </w:rPr>
        <w:t>Информация</w:t>
      </w:r>
    </w:p>
    <w:p w:rsidR="00813396" w:rsidRPr="00813396" w:rsidRDefault="00813396" w:rsidP="00813396">
      <w:pPr>
        <w:jc w:val="center"/>
        <w:rPr>
          <w:b/>
          <w:bCs/>
          <w:color w:val="auto"/>
          <w:sz w:val="24"/>
          <w:szCs w:val="24"/>
        </w:rPr>
      </w:pPr>
      <w:r w:rsidRPr="00813396">
        <w:rPr>
          <w:b/>
          <w:bCs/>
          <w:color w:val="auto"/>
          <w:sz w:val="24"/>
          <w:szCs w:val="24"/>
        </w:rPr>
        <w:t>по результатам плановой ревизии</w:t>
      </w:r>
      <w:r w:rsidRPr="00813396">
        <w:rPr>
          <w:b/>
          <w:color w:val="auto"/>
          <w:sz w:val="24"/>
          <w:szCs w:val="24"/>
        </w:rPr>
        <w:t xml:space="preserve"> </w:t>
      </w:r>
      <w:r w:rsidRPr="00813396">
        <w:rPr>
          <w:b/>
          <w:bCs/>
          <w:color w:val="auto"/>
          <w:sz w:val="24"/>
          <w:szCs w:val="24"/>
        </w:rPr>
        <w:t>финансово-хозяйственной</w:t>
      </w:r>
    </w:p>
    <w:p w:rsidR="00813396" w:rsidRPr="00813396" w:rsidRDefault="00813396" w:rsidP="00813396">
      <w:pPr>
        <w:jc w:val="center"/>
        <w:rPr>
          <w:b/>
          <w:bCs/>
          <w:color w:val="auto"/>
          <w:sz w:val="24"/>
          <w:szCs w:val="24"/>
        </w:rPr>
      </w:pPr>
      <w:r w:rsidRPr="00813396">
        <w:rPr>
          <w:b/>
          <w:bCs/>
          <w:color w:val="auto"/>
          <w:sz w:val="24"/>
          <w:szCs w:val="24"/>
        </w:rPr>
        <w:t>деятельности муниципального бюджетного учреждения «</w:t>
      </w:r>
      <w:proofErr w:type="spellStart"/>
      <w:r w:rsidRPr="00813396">
        <w:rPr>
          <w:b/>
          <w:bCs/>
          <w:color w:val="auto"/>
          <w:sz w:val="24"/>
          <w:szCs w:val="24"/>
        </w:rPr>
        <w:t>Никельская</w:t>
      </w:r>
      <w:proofErr w:type="spellEnd"/>
      <w:r w:rsidRPr="00813396">
        <w:rPr>
          <w:b/>
          <w:bCs/>
          <w:color w:val="auto"/>
          <w:sz w:val="24"/>
          <w:szCs w:val="24"/>
        </w:rPr>
        <w:t xml:space="preserve"> дорожная служба» (далее – МБУ «НДС»)</w:t>
      </w:r>
    </w:p>
    <w:p w:rsidR="005F5712" w:rsidRPr="00707D02" w:rsidRDefault="005F5712">
      <w:pPr>
        <w:rPr>
          <w:highlight w:val="lightGray"/>
        </w:rPr>
      </w:pPr>
    </w:p>
    <w:p w:rsidR="00DF070F" w:rsidRPr="00707D02" w:rsidRDefault="00CE4B07" w:rsidP="00226705">
      <w:pPr>
        <w:ind w:firstLine="851"/>
        <w:jc w:val="both"/>
        <w:rPr>
          <w:sz w:val="24"/>
          <w:szCs w:val="24"/>
        </w:rPr>
      </w:pPr>
      <w:r w:rsidRPr="00707D02">
        <w:rPr>
          <w:sz w:val="24"/>
          <w:szCs w:val="24"/>
        </w:rPr>
        <w:t xml:space="preserve">Контрольно-ревизионным отделом администрации </w:t>
      </w:r>
      <w:proofErr w:type="spellStart"/>
      <w:r w:rsidRPr="00707D02">
        <w:rPr>
          <w:sz w:val="24"/>
          <w:szCs w:val="24"/>
        </w:rPr>
        <w:t>Печенгского</w:t>
      </w:r>
      <w:proofErr w:type="spellEnd"/>
      <w:r w:rsidRPr="00707D02">
        <w:rPr>
          <w:sz w:val="24"/>
          <w:szCs w:val="24"/>
        </w:rPr>
        <w:t xml:space="preserve"> муниципального округа</w:t>
      </w:r>
      <w:r w:rsidR="005E3F4E" w:rsidRPr="00707D02">
        <w:rPr>
          <w:sz w:val="24"/>
          <w:szCs w:val="24"/>
        </w:rPr>
        <w:t xml:space="preserve"> в соответствии с распоряжения</w:t>
      </w:r>
      <w:r w:rsidR="00DF070F" w:rsidRPr="00707D02">
        <w:rPr>
          <w:sz w:val="24"/>
          <w:szCs w:val="24"/>
        </w:rPr>
        <w:t>м</w:t>
      </w:r>
      <w:r w:rsidR="005E3F4E" w:rsidRPr="00707D02">
        <w:rPr>
          <w:sz w:val="24"/>
          <w:szCs w:val="24"/>
        </w:rPr>
        <w:t>и</w:t>
      </w:r>
      <w:r w:rsidR="00DF070F" w:rsidRPr="00707D02">
        <w:rPr>
          <w:sz w:val="24"/>
          <w:szCs w:val="24"/>
        </w:rPr>
        <w:t xml:space="preserve"> администрации Печенгского муниципального округа </w:t>
      </w:r>
      <w:r w:rsidR="00707D02" w:rsidRPr="00707D02">
        <w:rPr>
          <w:sz w:val="24"/>
          <w:szCs w:val="24"/>
        </w:rPr>
        <w:t xml:space="preserve">от 02.12.2021 № 146, от 27.01.2022 № 4 </w:t>
      </w:r>
      <w:r w:rsidR="00DF070F" w:rsidRPr="00707D02">
        <w:rPr>
          <w:sz w:val="24"/>
          <w:szCs w:val="24"/>
        </w:rPr>
        <w:t xml:space="preserve">и на основании плана работы КРО на 2021 год в период с </w:t>
      </w:r>
      <w:r w:rsidR="00707D02" w:rsidRPr="00707D02">
        <w:rPr>
          <w:sz w:val="24"/>
          <w:szCs w:val="24"/>
        </w:rPr>
        <w:t>06</w:t>
      </w:r>
      <w:r w:rsidR="00DF070F" w:rsidRPr="00707D02">
        <w:rPr>
          <w:sz w:val="24"/>
          <w:szCs w:val="24"/>
        </w:rPr>
        <w:t>.</w:t>
      </w:r>
      <w:r w:rsidR="00707D02" w:rsidRPr="00707D02">
        <w:rPr>
          <w:sz w:val="24"/>
          <w:szCs w:val="24"/>
        </w:rPr>
        <w:t>12</w:t>
      </w:r>
      <w:r w:rsidR="00DF070F" w:rsidRPr="00707D02">
        <w:rPr>
          <w:sz w:val="24"/>
          <w:szCs w:val="24"/>
        </w:rPr>
        <w:t xml:space="preserve">.2021 по </w:t>
      </w:r>
      <w:r w:rsidR="00707D02" w:rsidRPr="00707D02">
        <w:rPr>
          <w:sz w:val="24"/>
          <w:szCs w:val="24"/>
        </w:rPr>
        <w:t>16</w:t>
      </w:r>
      <w:r w:rsidR="00DF070F" w:rsidRPr="00707D02">
        <w:rPr>
          <w:sz w:val="24"/>
          <w:szCs w:val="24"/>
        </w:rPr>
        <w:t>.</w:t>
      </w:r>
      <w:r w:rsidR="00707D02" w:rsidRPr="00707D02">
        <w:rPr>
          <w:sz w:val="24"/>
          <w:szCs w:val="24"/>
        </w:rPr>
        <w:t>02</w:t>
      </w:r>
      <w:r w:rsidR="00DF070F" w:rsidRPr="00707D02">
        <w:rPr>
          <w:sz w:val="24"/>
          <w:szCs w:val="24"/>
        </w:rPr>
        <w:t>.202</w:t>
      </w:r>
      <w:r w:rsidR="00707D02" w:rsidRPr="00707D02">
        <w:rPr>
          <w:sz w:val="24"/>
          <w:szCs w:val="24"/>
        </w:rPr>
        <w:t>2</w:t>
      </w:r>
      <w:r w:rsidR="00DF070F" w:rsidRPr="00707D02">
        <w:rPr>
          <w:sz w:val="24"/>
          <w:szCs w:val="24"/>
        </w:rPr>
        <w:t xml:space="preserve"> в отношении </w:t>
      </w:r>
      <w:r w:rsidR="000469D6" w:rsidRPr="00707D02">
        <w:rPr>
          <w:sz w:val="24"/>
          <w:szCs w:val="24"/>
        </w:rPr>
        <w:t>М</w:t>
      </w:r>
      <w:r w:rsidR="00707D02" w:rsidRPr="00707D02">
        <w:rPr>
          <w:sz w:val="24"/>
          <w:szCs w:val="24"/>
        </w:rPr>
        <w:t>Б</w:t>
      </w:r>
      <w:r w:rsidR="000469D6" w:rsidRPr="00707D02">
        <w:rPr>
          <w:sz w:val="24"/>
          <w:szCs w:val="24"/>
        </w:rPr>
        <w:t>У «</w:t>
      </w:r>
      <w:r w:rsidR="00707D02" w:rsidRPr="00707D02">
        <w:rPr>
          <w:sz w:val="24"/>
          <w:szCs w:val="24"/>
        </w:rPr>
        <w:t>НДС</w:t>
      </w:r>
      <w:r w:rsidR="000469D6" w:rsidRPr="00707D02">
        <w:rPr>
          <w:sz w:val="24"/>
          <w:szCs w:val="24"/>
        </w:rPr>
        <w:t xml:space="preserve">» </w:t>
      </w:r>
      <w:r w:rsidR="00DF070F" w:rsidRPr="00707D02">
        <w:rPr>
          <w:sz w:val="24"/>
          <w:szCs w:val="24"/>
        </w:rPr>
        <w:t>проведена ревизия финансово-хозяйственной деятельности.</w:t>
      </w:r>
    </w:p>
    <w:p w:rsidR="00DF070F" w:rsidRPr="00707D02" w:rsidRDefault="00DF070F" w:rsidP="00226705">
      <w:pPr>
        <w:ind w:firstLine="851"/>
        <w:jc w:val="both"/>
        <w:rPr>
          <w:sz w:val="24"/>
          <w:szCs w:val="24"/>
        </w:rPr>
      </w:pPr>
      <w:r w:rsidRPr="00707D02">
        <w:rPr>
          <w:sz w:val="24"/>
          <w:szCs w:val="24"/>
        </w:rPr>
        <w:t>Проверенный период с 01.01.20</w:t>
      </w:r>
      <w:r w:rsidR="00707D02" w:rsidRPr="00707D02">
        <w:rPr>
          <w:sz w:val="24"/>
          <w:szCs w:val="24"/>
        </w:rPr>
        <w:t>20</w:t>
      </w:r>
      <w:r w:rsidRPr="00707D02">
        <w:rPr>
          <w:sz w:val="24"/>
          <w:szCs w:val="24"/>
        </w:rPr>
        <w:t xml:space="preserve"> по 3</w:t>
      </w:r>
      <w:r w:rsidR="000469D6" w:rsidRPr="00707D02">
        <w:rPr>
          <w:sz w:val="24"/>
          <w:szCs w:val="24"/>
        </w:rPr>
        <w:t>0</w:t>
      </w:r>
      <w:r w:rsidRPr="00707D02">
        <w:rPr>
          <w:sz w:val="24"/>
          <w:szCs w:val="24"/>
        </w:rPr>
        <w:t>.</w:t>
      </w:r>
      <w:r w:rsidR="00707D02" w:rsidRPr="00707D02">
        <w:rPr>
          <w:sz w:val="24"/>
          <w:szCs w:val="24"/>
        </w:rPr>
        <w:t>11</w:t>
      </w:r>
      <w:r w:rsidRPr="00707D02">
        <w:rPr>
          <w:sz w:val="24"/>
          <w:szCs w:val="24"/>
        </w:rPr>
        <w:t>.2021.</w:t>
      </w:r>
    </w:p>
    <w:p w:rsidR="005F2774" w:rsidRPr="005F2774" w:rsidRDefault="005F2774" w:rsidP="005F2774">
      <w:pPr>
        <w:ind w:firstLine="851"/>
        <w:jc w:val="both"/>
        <w:rPr>
          <w:sz w:val="24"/>
          <w:szCs w:val="24"/>
        </w:rPr>
      </w:pPr>
      <w:r w:rsidRPr="005F2774">
        <w:rPr>
          <w:sz w:val="24"/>
          <w:szCs w:val="24"/>
        </w:rPr>
        <w:t xml:space="preserve">Учредителем и собственником Учреждения являлось муниципальное образование городское поселение Никель </w:t>
      </w:r>
      <w:proofErr w:type="spellStart"/>
      <w:r w:rsidRPr="005F2774">
        <w:rPr>
          <w:sz w:val="24"/>
          <w:szCs w:val="24"/>
        </w:rPr>
        <w:t>Печенгского</w:t>
      </w:r>
      <w:proofErr w:type="spellEnd"/>
      <w:r w:rsidRPr="005F2774">
        <w:rPr>
          <w:sz w:val="24"/>
          <w:szCs w:val="24"/>
        </w:rPr>
        <w:t xml:space="preserve"> района, с 13.04.2021 муниципальное образование </w:t>
      </w:r>
      <w:proofErr w:type="spellStart"/>
      <w:r w:rsidRPr="005F2774">
        <w:rPr>
          <w:sz w:val="24"/>
          <w:szCs w:val="24"/>
        </w:rPr>
        <w:t>Печенгский</w:t>
      </w:r>
      <w:proofErr w:type="spellEnd"/>
      <w:r w:rsidRPr="005F2774">
        <w:rPr>
          <w:sz w:val="24"/>
          <w:szCs w:val="24"/>
        </w:rPr>
        <w:t xml:space="preserve"> муниципальный округ. </w:t>
      </w:r>
    </w:p>
    <w:p w:rsidR="005F2774" w:rsidRPr="005F2774" w:rsidRDefault="005F2774" w:rsidP="005F2774">
      <w:pPr>
        <w:ind w:firstLine="851"/>
        <w:jc w:val="both"/>
        <w:rPr>
          <w:sz w:val="24"/>
          <w:szCs w:val="24"/>
        </w:rPr>
      </w:pPr>
      <w:r w:rsidRPr="005F2774">
        <w:rPr>
          <w:sz w:val="24"/>
          <w:szCs w:val="24"/>
        </w:rPr>
        <w:t xml:space="preserve">Функции и полномочия учредителя Учреждения от имени муниципального образования городское поселение Никель </w:t>
      </w:r>
      <w:proofErr w:type="spellStart"/>
      <w:r w:rsidRPr="005F2774">
        <w:rPr>
          <w:sz w:val="24"/>
          <w:szCs w:val="24"/>
        </w:rPr>
        <w:t>Печенгского</w:t>
      </w:r>
      <w:proofErr w:type="spellEnd"/>
      <w:r w:rsidRPr="005F2774">
        <w:rPr>
          <w:sz w:val="24"/>
          <w:szCs w:val="24"/>
        </w:rPr>
        <w:t xml:space="preserve"> района осуществляли администрация </w:t>
      </w:r>
      <w:proofErr w:type="spellStart"/>
      <w:r w:rsidRPr="005F2774">
        <w:rPr>
          <w:sz w:val="24"/>
          <w:szCs w:val="24"/>
        </w:rPr>
        <w:t>Печенгского</w:t>
      </w:r>
      <w:proofErr w:type="spellEnd"/>
      <w:r w:rsidRPr="005F2774">
        <w:rPr>
          <w:sz w:val="24"/>
          <w:szCs w:val="24"/>
        </w:rPr>
        <w:t xml:space="preserve"> района, с 13.04.2021 администрация </w:t>
      </w:r>
      <w:proofErr w:type="spellStart"/>
      <w:r w:rsidRPr="005F2774">
        <w:rPr>
          <w:sz w:val="24"/>
          <w:szCs w:val="24"/>
        </w:rPr>
        <w:t>Печенгского</w:t>
      </w:r>
      <w:proofErr w:type="spellEnd"/>
      <w:r w:rsidRPr="005F2774">
        <w:rPr>
          <w:sz w:val="24"/>
          <w:szCs w:val="24"/>
        </w:rPr>
        <w:t xml:space="preserve"> муниципального округа. </w:t>
      </w:r>
    </w:p>
    <w:p w:rsidR="0090313F" w:rsidRPr="002E2A9D" w:rsidRDefault="00DF070F" w:rsidP="00226705">
      <w:pPr>
        <w:ind w:firstLine="851"/>
        <w:jc w:val="both"/>
        <w:rPr>
          <w:b/>
          <w:sz w:val="24"/>
          <w:szCs w:val="24"/>
        </w:rPr>
      </w:pPr>
      <w:r w:rsidRPr="002E2A9D">
        <w:rPr>
          <w:b/>
          <w:sz w:val="24"/>
          <w:szCs w:val="24"/>
        </w:rPr>
        <w:t>В ходе контрольного мероприятия выявлены следующие нарушения:</w:t>
      </w:r>
    </w:p>
    <w:p w:rsidR="00990CE5" w:rsidRPr="00990CE5" w:rsidRDefault="00990CE5" w:rsidP="00990CE5">
      <w:pPr>
        <w:tabs>
          <w:tab w:val="left" w:pos="851"/>
        </w:tabs>
        <w:ind w:firstLine="851"/>
        <w:jc w:val="both"/>
        <w:rPr>
          <w:color w:val="auto"/>
          <w:sz w:val="24"/>
          <w:szCs w:val="24"/>
        </w:rPr>
      </w:pPr>
      <w:r w:rsidRPr="00990CE5">
        <w:rPr>
          <w:color w:val="auto"/>
          <w:sz w:val="24"/>
          <w:szCs w:val="24"/>
        </w:rPr>
        <w:t>В нарушение п. 4 ст. 69.2 Бюджетного кодекса Российской Федерации от 31.07.1998 № 145-ФЗ (ред. от 29.11.2021) значения нормативных затрат на оказание муниципальных услуг (работ), оказываемые (выполняемые) муниципальным бюджетным учреждением «Никельская дорожная служба» на 2020 год не утверждены.</w:t>
      </w:r>
    </w:p>
    <w:p w:rsidR="00990CE5" w:rsidRPr="00BA6DC6" w:rsidRDefault="00990CE5" w:rsidP="00990CE5">
      <w:pPr>
        <w:tabs>
          <w:tab w:val="left" w:pos="851"/>
        </w:tabs>
        <w:ind w:firstLine="851"/>
        <w:jc w:val="both"/>
        <w:rPr>
          <w:color w:val="auto"/>
          <w:sz w:val="24"/>
          <w:szCs w:val="24"/>
        </w:rPr>
      </w:pPr>
      <w:r w:rsidRPr="00BA6DC6">
        <w:rPr>
          <w:color w:val="auto"/>
          <w:sz w:val="24"/>
          <w:szCs w:val="24"/>
        </w:rPr>
        <w:t xml:space="preserve">В нарушение п. 2.9. Учетной политике от 07.05.2020 № 43, </w:t>
      </w:r>
      <w:r w:rsidRPr="00BA6DC6">
        <w:rPr>
          <w:bCs/>
          <w:color w:val="auto"/>
          <w:sz w:val="24"/>
          <w:szCs w:val="24"/>
        </w:rPr>
        <w:t>Приложения № 4 к приказу Минфина Россий</w:t>
      </w:r>
      <w:bookmarkStart w:id="0" w:name="_GoBack"/>
      <w:bookmarkEnd w:id="0"/>
      <w:r w:rsidRPr="00BA6DC6">
        <w:rPr>
          <w:bCs/>
          <w:color w:val="auto"/>
          <w:sz w:val="24"/>
          <w:szCs w:val="24"/>
        </w:rPr>
        <w:t>ской Федерации от 30.03.2015 № 52н</w:t>
      </w:r>
      <w:r w:rsidRPr="00BA6DC6">
        <w:rPr>
          <w:color w:val="auto"/>
          <w:sz w:val="24"/>
          <w:szCs w:val="24"/>
        </w:rPr>
        <w:t xml:space="preserve">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Инструкция № 52н) регистры бухгалтерского учета по балансовым и забалансовым счетам (оборотные ведомости по нефинансовым активам, форма по ОКУД 0504035, оборотная ведомость форма по ОКУД 0504036) за  2020 год не сформированы ежемесячно на бумажных носителях или в электронном виде, проверке не представлены.</w:t>
      </w:r>
    </w:p>
    <w:p w:rsidR="00990CE5" w:rsidRPr="00BA6DC6" w:rsidRDefault="00990CE5" w:rsidP="00990CE5">
      <w:pPr>
        <w:tabs>
          <w:tab w:val="left" w:pos="851"/>
        </w:tabs>
        <w:ind w:firstLine="851"/>
        <w:jc w:val="both"/>
        <w:rPr>
          <w:color w:val="auto"/>
          <w:sz w:val="24"/>
          <w:szCs w:val="24"/>
        </w:rPr>
      </w:pPr>
      <w:r w:rsidRPr="00BA6DC6">
        <w:rPr>
          <w:color w:val="auto"/>
          <w:sz w:val="24"/>
          <w:szCs w:val="24"/>
        </w:rPr>
        <w:t>В нарушение п.</w:t>
      </w:r>
      <w:r w:rsidR="00356192">
        <w:rPr>
          <w:color w:val="auto"/>
          <w:sz w:val="24"/>
          <w:szCs w:val="24"/>
        </w:rPr>
        <w:t xml:space="preserve"> </w:t>
      </w:r>
      <w:r w:rsidRPr="00BA6DC6">
        <w:rPr>
          <w:color w:val="auto"/>
          <w:sz w:val="24"/>
          <w:szCs w:val="24"/>
        </w:rPr>
        <w:t xml:space="preserve">3.2. Постановления от 01.04.2021 № 261 «Об утверждении Порядка о списании муниципального имущества Печенгского муниципального округа» при списании муниципального имущества в состав постоянно действующей комиссии по списанию не включен главный бухгалтер (либо лицо его замещающее) весь проверяемый период. </w:t>
      </w:r>
    </w:p>
    <w:p w:rsidR="001F1A8C" w:rsidRDefault="00990CE5" w:rsidP="00990CE5">
      <w:pPr>
        <w:tabs>
          <w:tab w:val="left" w:pos="851"/>
        </w:tabs>
        <w:ind w:firstLine="851"/>
        <w:jc w:val="both"/>
        <w:rPr>
          <w:color w:val="auto"/>
          <w:sz w:val="24"/>
          <w:szCs w:val="24"/>
        </w:rPr>
      </w:pPr>
      <w:r w:rsidRPr="00BA6DC6">
        <w:rPr>
          <w:color w:val="auto"/>
          <w:sz w:val="24"/>
          <w:szCs w:val="24"/>
        </w:rPr>
        <w:t>В нарушение п.</w:t>
      </w:r>
      <w:r w:rsidR="00356192">
        <w:rPr>
          <w:color w:val="auto"/>
          <w:sz w:val="24"/>
          <w:szCs w:val="24"/>
        </w:rPr>
        <w:t xml:space="preserve"> </w:t>
      </w:r>
      <w:r w:rsidRPr="00BA6DC6">
        <w:rPr>
          <w:color w:val="auto"/>
          <w:sz w:val="24"/>
          <w:szCs w:val="24"/>
        </w:rPr>
        <w:t>335 Приложения № 2 к приказу Минфина РФ от 01.12.2010 №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имущество, в отношении которого принято решение о списании (прекращении эксплуатации), не учитывалось на счете 02 «Материальные ценности, принятые на хранение»</w:t>
      </w:r>
      <w:r w:rsidR="001F1A8C">
        <w:rPr>
          <w:color w:val="auto"/>
          <w:sz w:val="24"/>
          <w:szCs w:val="24"/>
        </w:rPr>
        <w:t xml:space="preserve"> </w:t>
      </w:r>
      <w:r w:rsidRPr="00BA6DC6">
        <w:rPr>
          <w:color w:val="auto"/>
          <w:sz w:val="24"/>
          <w:szCs w:val="24"/>
        </w:rPr>
        <w:t>до момента утилизации, уничтожении</w:t>
      </w:r>
      <w:r w:rsidR="001F1A8C">
        <w:rPr>
          <w:color w:val="auto"/>
          <w:sz w:val="24"/>
          <w:szCs w:val="24"/>
        </w:rPr>
        <w:t>.</w:t>
      </w:r>
      <w:r w:rsidRPr="00BA6DC6">
        <w:rPr>
          <w:color w:val="auto"/>
          <w:sz w:val="24"/>
          <w:szCs w:val="24"/>
        </w:rPr>
        <w:t xml:space="preserve"> </w:t>
      </w:r>
    </w:p>
    <w:p w:rsidR="00990CE5" w:rsidRPr="00BA6DC6" w:rsidRDefault="00990CE5" w:rsidP="00990CE5">
      <w:pPr>
        <w:tabs>
          <w:tab w:val="left" w:pos="851"/>
        </w:tabs>
        <w:ind w:firstLine="851"/>
        <w:jc w:val="both"/>
        <w:rPr>
          <w:color w:val="auto"/>
          <w:sz w:val="24"/>
          <w:szCs w:val="24"/>
        </w:rPr>
      </w:pPr>
      <w:proofErr w:type="gramStart"/>
      <w:r w:rsidRPr="00BA6DC6">
        <w:rPr>
          <w:color w:val="auto"/>
          <w:sz w:val="24"/>
          <w:szCs w:val="24"/>
        </w:rPr>
        <w:t>В нарушение п. 335 Инструкция № 157н, п. 36 Приказа Минфина России от 31.12.2016 № 256н (ред. от 30.06.2020)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Федеральный стандарт  № 256н) объекты нефинансовых активов</w:t>
      </w:r>
      <w:r w:rsidR="005F2774">
        <w:rPr>
          <w:color w:val="auto"/>
          <w:sz w:val="24"/>
          <w:szCs w:val="24"/>
        </w:rPr>
        <w:t>,</w:t>
      </w:r>
      <w:r w:rsidRPr="00BA6DC6">
        <w:rPr>
          <w:color w:val="auto"/>
          <w:sz w:val="24"/>
          <w:szCs w:val="24"/>
        </w:rPr>
        <w:t xml:space="preserve"> которые </w:t>
      </w:r>
      <w:r w:rsidRPr="00BA6DC6">
        <w:rPr>
          <w:color w:val="auto"/>
          <w:sz w:val="24"/>
          <w:szCs w:val="24"/>
        </w:rPr>
        <w:lastRenderedPageBreak/>
        <w:t xml:space="preserve">соответствуют критериям признания активов, учитываются на 02.3 забалансовом счете «Основные </w:t>
      </w:r>
      <w:r w:rsidR="00BA6DC6" w:rsidRPr="00BA6DC6">
        <w:rPr>
          <w:color w:val="auto"/>
          <w:sz w:val="24"/>
          <w:szCs w:val="24"/>
        </w:rPr>
        <w:t>средства признанные не активом».</w:t>
      </w:r>
      <w:r w:rsidRPr="00BA6DC6">
        <w:rPr>
          <w:color w:val="auto"/>
          <w:sz w:val="24"/>
          <w:szCs w:val="24"/>
        </w:rPr>
        <w:t xml:space="preserve"> </w:t>
      </w:r>
      <w:proofErr w:type="gramEnd"/>
    </w:p>
    <w:p w:rsidR="00990CE5" w:rsidRPr="00BA6DC6" w:rsidRDefault="00990CE5" w:rsidP="00990CE5">
      <w:pPr>
        <w:tabs>
          <w:tab w:val="left" w:pos="851"/>
        </w:tabs>
        <w:ind w:firstLine="851"/>
        <w:jc w:val="both"/>
        <w:rPr>
          <w:color w:val="auto"/>
          <w:sz w:val="24"/>
          <w:szCs w:val="24"/>
        </w:rPr>
      </w:pPr>
      <w:r w:rsidRPr="00BA6DC6">
        <w:rPr>
          <w:color w:val="auto"/>
          <w:sz w:val="24"/>
          <w:szCs w:val="24"/>
        </w:rPr>
        <w:t xml:space="preserve">В нарушение требований, установленных ч. 1, 2 ст. 9  ФЗ от 06.12.2011 № 402-ФЗ « О бухгалтерском учете», п. 20, 25 Федерального стандарта № 256н </w:t>
      </w:r>
      <w:r w:rsidR="003527EF" w:rsidRPr="003527EF">
        <w:rPr>
          <w:bCs/>
          <w:color w:val="auto"/>
          <w:sz w:val="24"/>
          <w:szCs w:val="24"/>
        </w:rPr>
        <w:t>Приложением № 5 к приказу Министерства финансов РФ от 30.03.2015 № 52н</w:t>
      </w:r>
      <w:r w:rsidR="003527EF" w:rsidRPr="003527EF">
        <w:rPr>
          <w:color w:val="auto"/>
          <w:sz w:val="24"/>
          <w:szCs w:val="24"/>
        </w:rPr>
        <w:t xml:space="preserve"> «</w:t>
      </w:r>
      <w:r w:rsidR="003527EF" w:rsidRPr="003527EF">
        <w:rPr>
          <w:bCs/>
          <w:color w:val="auto"/>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527EF">
        <w:rPr>
          <w:bCs/>
          <w:color w:val="auto"/>
          <w:sz w:val="24"/>
          <w:szCs w:val="24"/>
        </w:rPr>
        <w:t xml:space="preserve"> </w:t>
      </w:r>
      <w:r w:rsidRPr="00BA6DC6">
        <w:rPr>
          <w:color w:val="auto"/>
          <w:sz w:val="24"/>
          <w:szCs w:val="24"/>
        </w:rPr>
        <w:t>приняты к учету первичные учетные документы при отсутствии обязательных реквизитов (подписи лиц, с указанием их фамилий, инициалов либо иных реквизитов, необходи</w:t>
      </w:r>
      <w:r w:rsidR="00BA6DC6" w:rsidRPr="00BA6DC6">
        <w:rPr>
          <w:color w:val="auto"/>
          <w:sz w:val="24"/>
          <w:szCs w:val="24"/>
        </w:rPr>
        <w:t>мых для идентификации этих лиц</w:t>
      </w:r>
      <w:r w:rsidR="003527EF">
        <w:rPr>
          <w:color w:val="auto"/>
          <w:sz w:val="24"/>
          <w:szCs w:val="24"/>
        </w:rPr>
        <w:t>, причин списания</w:t>
      </w:r>
      <w:r w:rsidR="00B60C52">
        <w:rPr>
          <w:color w:val="auto"/>
          <w:sz w:val="24"/>
          <w:szCs w:val="24"/>
        </w:rPr>
        <w:t>, сумм выданного аванса</w:t>
      </w:r>
      <w:r w:rsidR="00BA6DC6" w:rsidRPr="00BA6DC6">
        <w:rPr>
          <w:color w:val="auto"/>
          <w:sz w:val="24"/>
          <w:szCs w:val="24"/>
        </w:rPr>
        <w:t>).</w:t>
      </w:r>
    </w:p>
    <w:p w:rsidR="00990CE5" w:rsidRPr="009F3676" w:rsidRDefault="00990CE5" w:rsidP="00990CE5">
      <w:pPr>
        <w:tabs>
          <w:tab w:val="left" w:pos="851"/>
        </w:tabs>
        <w:ind w:firstLine="851"/>
        <w:jc w:val="both"/>
        <w:rPr>
          <w:color w:val="auto"/>
          <w:sz w:val="24"/>
          <w:szCs w:val="24"/>
        </w:rPr>
      </w:pPr>
      <w:r w:rsidRPr="009F3676">
        <w:rPr>
          <w:color w:val="auto"/>
          <w:sz w:val="24"/>
          <w:szCs w:val="24"/>
        </w:rPr>
        <w:t>В нарушение требований, установленных п. 38 Инструкции № 157н, п. 5.2. Учетной политики, в проверяемом периоде, учитывались объекты основных сре</w:t>
      </w:r>
      <w:proofErr w:type="gramStart"/>
      <w:r w:rsidRPr="009F3676">
        <w:rPr>
          <w:color w:val="auto"/>
          <w:sz w:val="24"/>
          <w:szCs w:val="24"/>
        </w:rPr>
        <w:t>дств сч</w:t>
      </w:r>
      <w:proofErr w:type="gramEnd"/>
      <w:r w:rsidRPr="009F3676">
        <w:rPr>
          <w:color w:val="auto"/>
          <w:sz w:val="24"/>
          <w:szCs w:val="24"/>
        </w:rPr>
        <w:t>ете 10536 "Прочие материальные запасы", вместо предусмотренного счета 10100 "Основные средства ".</w:t>
      </w:r>
    </w:p>
    <w:p w:rsidR="00990CE5" w:rsidRPr="009F3676" w:rsidRDefault="00990CE5" w:rsidP="00990CE5">
      <w:pPr>
        <w:tabs>
          <w:tab w:val="left" w:pos="851"/>
        </w:tabs>
        <w:ind w:firstLine="851"/>
        <w:jc w:val="both"/>
        <w:rPr>
          <w:iCs/>
          <w:color w:val="auto"/>
          <w:sz w:val="24"/>
          <w:szCs w:val="24"/>
        </w:rPr>
      </w:pPr>
      <w:r w:rsidRPr="009F3676">
        <w:rPr>
          <w:iCs/>
          <w:color w:val="auto"/>
          <w:sz w:val="24"/>
          <w:szCs w:val="24"/>
        </w:rPr>
        <w:t xml:space="preserve">В нарушение п.6.21 </w:t>
      </w:r>
      <w:r w:rsidRPr="00FB20F0">
        <w:rPr>
          <w:iCs/>
          <w:color w:val="auto"/>
          <w:sz w:val="24"/>
          <w:szCs w:val="24"/>
        </w:rPr>
        <w:t>Учетной политик</w:t>
      </w:r>
      <w:r w:rsidR="00FB20F0" w:rsidRPr="00FB20F0">
        <w:rPr>
          <w:iCs/>
          <w:color w:val="auto"/>
          <w:sz w:val="24"/>
          <w:szCs w:val="24"/>
        </w:rPr>
        <w:t>и</w:t>
      </w:r>
      <w:r w:rsidRPr="00FB20F0">
        <w:rPr>
          <w:iCs/>
          <w:color w:val="auto"/>
          <w:sz w:val="24"/>
          <w:szCs w:val="24"/>
        </w:rPr>
        <w:t xml:space="preserve"> от 07.05.2020</w:t>
      </w:r>
      <w:r w:rsidRPr="009F3676">
        <w:rPr>
          <w:iCs/>
          <w:color w:val="auto"/>
          <w:sz w:val="24"/>
          <w:szCs w:val="24"/>
        </w:rPr>
        <w:t xml:space="preserve"> № 43 не отражены на забалансовом счете 09 "Запасные части к транспортным средствам, выданные взамен </w:t>
      </w:r>
      <w:proofErr w:type="gramStart"/>
      <w:r w:rsidRPr="009F3676">
        <w:rPr>
          <w:iCs/>
          <w:color w:val="auto"/>
          <w:sz w:val="24"/>
          <w:szCs w:val="24"/>
        </w:rPr>
        <w:t>изношенных</w:t>
      </w:r>
      <w:proofErr w:type="gramEnd"/>
      <w:r w:rsidRPr="009F3676">
        <w:rPr>
          <w:iCs/>
          <w:color w:val="auto"/>
          <w:sz w:val="24"/>
          <w:szCs w:val="24"/>
        </w:rPr>
        <w:t>" запасные части, установленные на автотранспортные средства в 2020 году</w:t>
      </w:r>
      <w:r w:rsidR="00A4321C">
        <w:rPr>
          <w:iCs/>
          <w:color w:val="auto"/>
          <w:sz w:val="24"/>
          <w:szCs w:val="24"/>
        </w:rPr>
        <w:t>.</w:t>
      </w:r>
    </w:p>
    <w:p w:rsidR="00990CE5" w:rsidRPr="00650BB4" w:rsidRDefault="00990CE5" w:rsidP="00990CE5">
      <w:pPr>
        <w:tabs>
          <w:tab w:val="left" w:pos="851"/>
        </w:tabs>
        <w:ind w:firstLine="851"/>
        <w:jc w:val="both"/>
        <w:rPr>
          <w:iCs/>
          <w:color w:val="auto"/>
          <w:sz w:val="24"/>
          <w:szCs w:val="24"/>
        </w:rPr>
      </w:pPr>
      <w:proofErr w:type="gramStart"/>
      <w:r w:rsidRPr="00650BB4">
        <w:rPr>
          <w:iCs/>
          <w:color w:val="auto"/>
          <w:sz w:val="24"/>
          <w:szCs w:val="24"/>
        </w:rPr>
        <w:t xml:space="preserve">В нарушение требований, установленных ч. 1 ст. 13 ФЗ № 402-ФЗ, п. </w:t>
      </w:r>
      <w:r w:rsidRPr="00650BB4">
        <w:rPr>
          <w:color w:val="auto"/>
          <w:sz w:val="24"/>
          <w:szCs w:val="24"/>
        </w:rPr>
        <w:t>349</w:t>
      </w:r>
      <w:r w:rsidRPr="00650BB4">
        <w:rPr>
          <w:iCs/>
          <w:color w:val="auto"/>
          <w:sz w:val="24"/>
          <w:szCs w:val="24"/>
        </w:rPr>
        <w:t xml:space="preserve"> Инструкции № 157н, п. 20 приказа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материальные ценности, выданные на транспортные средства взамен изношенных, не учитывались на забалансовом счете 09 "Запасные</w:t>
      </w:r>
      <w:proofErr w:type="gramEnd"/>
      <w:r w:rsidRPr="00650BB4">
        <w:rPr>
          <w:iCs/>
          <w:color w:val="auto"/>
          <w:sz w:val="24"/>
          <w:szCs w:val="24"/>
        </w:rPr>
        <w:t xml:space="preserve"> части к транспортным средствам, выданные взамен изношенных", что привело к искажению данных бухгалтерского учета - Справки о наличии имущества и обязательств на забалансовых счетах в составе форм Баланса (ф. 0503730) на 01.01.2021 по забалансовому счету 09.</w:t>
      </w:r>
    </w:p>
    <w:p w:rsidR="00990CE5" w:rsidRPr="00650BB4" w:rsidRDefault="00990CE5" w:rsidP="00990CE5">
      <w:pPr>
        <w:tabs>
          <w:tab w:val="left" w:pos="851"/>
        </w:tabs>
        <w:ind w:firstLine="851"/>
        <w:jc w:val="both"/>
        <w:rPr>
          <w:color w:val="auto"/>
          <w:sz w:val="24"/>
          <w:szCs w:val="24"/>
        </w:rPr>
      </w:pPr>
      <w:r w:rsidRPr="00650BB4">
        <w:rPr>
          <w:color w:val="auto"/>
          <w:sz w:val="24"/>
          <w:szCs w:val="24"/>
        </w:rPr>
        <w:t>В нарушение п. 3.1.Положения от 10.08.2015 № 32 выдача работнику и сдача им средств индивидуальной защиты не фиксировалась записью в Карточке (книге) учета выдачи имущества в пользование (форма по ОКУД 0504206) с июня по декабрь 2020 года.</w:t>
      </w:r>
    </w:p>
    <w:p w:rsidR="00990CE5" w:rsidRPr="00650BB4" w:rsidRDefault="00990CE5" w:rsidP="00990CE5">
      <w:pPr>
        <w:tabs>
          <w:tab w:val="left" w:pos="851"/>
        </w:tabs>
        <w:ind w:firstLine="851"/>
        <w:jc w:val="both"/>
        <w:rPr>
          <w:color w:val="auto"/>
          <w:sz w:val="24"/>
          <w:szCs w:val="24"/>
        </w:rPr>
      </w:pPr>
      <w:r w:rsidRPr="00650BB4">
        <w:rPr>
          <w:color w:val="auto"/>
          <w:sz w:val="24"/>
          <w:szCs w:val="24"/>
        </w:rPr>
        <w:t>В нарушение п. 385 Инструкции № 157н, п. 6.23. Учетной политики от 07.05.2020 № 43 весь проверяемый период материальные запасы, выданные в личное пользование работникам для выполнения ими служебных (должностных) обязанностей (специальной одежды и обуви) не учитывались на счете 27 «Материальные ценности, выданные в личное пользование работникам (сотрудникам)», что не обеспечивает надлежащий учет, контроль за сохранностью, контроль за соблюдением сроков носки специальной одежды, правомерность списания с учета.</w:t>
      </w:r>
    </w:p>
    <w:p w:rsidR="00990CE5" w:rsidRPr="00650BB4" w:rsidRDefault="00990CE5" w:rsidP="00990CE5">
      <w:pPr>
        <w:tabs>
          <w:tab w:val="left" w:pos="851"/>
        </w:tabs>
        <w:ind w:firstLine="851"/>
        <w:jc w:val="both"/>
        <w:rPr>
          <w:color w:val="auto"/>
          <w:sz w:val="24"/>
          <w:szCs w:val="24"/>
        </w:rPr>
      </w:pPr>
      <w:r w:rsidRPr="00650BB4">
        <w:rPr>
          <w:color w:val="auto"/>
          <w:sz w:val="24"/>
          <w:szCs w:val="24"/>
        </w:rPr>
        <w:t>В нарушение п. 385 Инструкции № 157н объекты нефинансовых активов  учитывались на счете 27 «Материальные ценности, выданные в личное пользование работникам (сотрудникам)».</w:t>
      </w:r>
    </w:p>
    <w:p w:rsidR="00990CE5" w:rsidRPr="00724473" w:rsidRDefault="00990CE5" w:rsidP="00990CE5">
      <w:pPr>
        <w:tabs>
          <w:tab w:val="left" w:pos="851"/>
        </w:tabs>
        <w:ind w:firstLine="851"/>
        <w:jc w:val="both"/>
        <w:rPr>
          <w:color w:val="auto"/>
          <w:sz w:val="24"/>
          <w:szCs w:val="24"/>
        </w:rPr>
      </w:pPr>
      <w:r w:rsidRPr="00724473">
        <w:rPr>
          <w:color w:val="auto"/>
          <w:sz w:val="24"/>
          <w:szCs w:val="24"/>
        </w:rPr>
        <w:t>В нарушение п.118 Инструкции № 157н предметы мягкого инвентаря не промаркированы с указанием наименования учреждения, а при выдаче предметов в эксплуатацию не произведена дополнительная маркировка с указанием года и месяца выдачи их со склада</w:t>
      </w:r>
      <w:r w:rsidR="008C5588">
        <w:rPr>
          <w:color w:val="auto"/>
          <w:sz w:val="24"/>
          <w:szCs w:val="24"/>
        </w:rPr>
        <w:t xml:space="preserve"> весь проверяемый период</w:t>
      </w:r>
      <w:r w:rsidRPr="00724473">
        <w:rPr>
          <w:color w:val="auto"/>
          <w:sz w:val="24"/>
          <w:szCs w:val="24"/>
        </w:rPr>
        <w:t xml:space="preserve">. </w:t>
      </w:r>
    </w:p>
    <w:p w:rsidR="00990CE5" w:rsidRPr="00724473" w:rsidRDefault="00990CE5" w:rsidP="00990CE5">
      <w:pPr>
        <w:tabs>
          <w:tab w:val="left" w:pos="851"/>
        </w:tabs>
        <w:ind w:firstLine="851"/>
        <w:jc w:val="both"/>
        <w:rPr>
          <w:color w:val="auto"/>
          <w:sz w:val="24"/>
          <w:szCs w:val="24"/>
        </w:rPr>
      </w:pPr>
      <w:proofErr w:type="gramStart"/>
      <w:r w:rsidRPr="00724473">
        <w:rPr>
          <w:color w:val="auto"/>
          <w:sz w:val="24"/>
          <w:szCs w:val="24"/>
        </w:rPr>
        <w:t>В нар</w:t>
      </w:r>
      <w:r w:rsidR="00BA6DC6" w:rsidRPr="00724473">
        <w:rPr>
          <w:color w:val="auto"/>
          <w:sz w:val="24"/>
          <w:szCs w:val="24"/>
        </w:rPr>
        <w:t>ушение требований, установленных ч. 2</w:t>
      </w:r>
      <w:r w:rsidRPr="00724473">
        <w:rPr>
          <w:color w:val="auto"/>
          <w:sz w:val="24"/>
          <w:szCs w:val="24"/>
        </w:rPr>
        <w:t xml:space="preserve"> </w:t>
      </w:r>
      <w:hyperlink r:id="rId6" w:history="1">
        <w:r w:rsidRPr="00724473">
          <w:rPr>
            <w:rStyle w:val="a9"/>
            <w:color w:val="auto"/>
            <w:sz w:val="24"/>
            <w:szCs w:val="24"/>
            <w:u w:val="none"/>
          </w:rPr>
          <w:t xml:space="preserve"> </w:t>
        </w:r>
      </w:hyperlink>
      <w:r w:rsidR="00BA6DC6" w:rsidRPr="00724473">
        <w:rPr>
          <w:rStyle w:val="a9"/>
          <w:color w:val="auto"/>
          <w:sz w:val="24"/>
          <w:szCs w:val="24"/>
          <w:u w:val="none"/>
        </w:rPr>
        <w:t xml:space="preserve">ст. 9 </w:t>
      </w:r>
      <w:r w:rsidRPr="00724473">
        <w:rPr>
          <w:color w:val="auto"/>
          <w:sz w:val="24"/>
          <w:szCs w:val="24"/>
        </w:rPr>
        <w:t>Федерального закона № 402-ФЗ, п</w:t>
      </w:r>
      <w:r w:rsidR="00B60C52">
        <w:rPr>
          <w:color w:val="auto"/>
          <w:sz w:val="24"/>
          <w:szCs w:val="24"/>
        </w:rPr>
        <w:t>.</w:t>
      </w:r>
      <w:r w:rsidRPr="00724473">
        <w:rPr>
          <w:color w:val="auto"/>
          <w:sz w:val="24"/>
          <w:szCs w:val="24"/>
        </w:rPr>
        <w:t xml:space="preserve"> 6 приказа Министерства транспорта Российской Федерации от 18.09.2008 № 152, от 11.09.2020 № 368 "Об утверждении обязательных реквизитов и порядка заполнения путевых листов", учреждением приняты к учету первичные учетные документы (путевые листы легкового автомобиля, путевые листы грузового автомобиля), служащие </w:t>
      </w:r>
      <w:r w:rsidRPr="00724473">
        <w:rPr>
          <w:color w:val="auto"/>
          <w:sz w:val="24"/>
          <w:szCs w:val="24"/>
        </w:rPr>
        <w:lastRenderedPageBreak/>
        <w:t>основанием для списания ГСМ, не соответствующие требованиям к оформлению фактов хозяйственной</w:t>
      </w:r>
      <w:proofErr w:type="gramEnd"/>
      <w:r w:rsidRPr="00724473">
        <w:rPr>
          <w:color w:val="auto"/>
          <w:sz w:val="24"/>
          <w:szCs w:val="24"/>
        </w:rPr>
        <w:t xml:space="preserve"> жизни первичными учетными документами. </w:t>
      </w:r>
    </w:p>
    <w:p w:rsidR="00990CE5" w:rsidRPr="008C5588" w:rsidRDefault="00990CE5" w:rsidP="00990CE5">
      <w:pPr>
        <w:tabs>
          <w:tab w:val="left" w:pos="851"/>
        </w:tabs>
        <w:ind w:firstLine="851"/>
        <w:jc w:val="both"/>
        <w:rPr>
          <w:color w:val="auto"/>
          <w:sz w:val="24"/>
          <w:szCs w:val="24"/>
        </w:rPr>
      </w:pPr>
      <w:r w:rsidRPr="008C5588">
        <w:rPr>
          <w:color w:val="auto"/>
          <w:sz w:val="24"/>
          <w:szCs w:val="24"/>
        </w:rPr>
        <w:t>В нарушение Постановления администрации Печенгского муниципального округа от 09.06.2021 № 540 «Об изъятии закрепленного на праве оперативного управления движимого имущества у МБУ «ОДОМС МО г.п. Печенга» и закрепление его на праве оперативного управления за МБУ «НДС» движимое имущество не закреплено на праве опера</w:t>
      </w:r>
      <w:r w:rsidR="008C5588">
        <w:rPr>
          <w:color w:val="auto"/>
          <w:sz w:val="24"/>
          <w:szCs w:val="24"/>
        </w:rPr>
        <w:t>тивного управления за МБУ «НДС».</w:t>
      </w:r>
    </w:p>
    <w:p w:rsidR="00D66CE5" w:rsidRDefault="00990CE5" w:rsidP="00990CE5">
      <w:pPr>
        <w:tabs>
          <w:tab w:val="left" w:pos="851"/>
        </w:tabs>
        <w:ind w:firstLine="851"/>
        <w:jc w:val="both"/>
        <w:rPr>
          <w:color w:val="auto"/>
          <w:sz w:val="24"/>
          <w:szCs w:val="24"/>
        </w:rPr>
      </w:pPr>
      <w:r w:rsidRPr="00D66CE5">
        <w:rPr>
          <w:color w:val="auto"/>
          <w:sz w:val="24"/>
          <w:szCs w:val="24"/>
        </w:rPr>
        <w:t>В нарушение п. 6.3. Постановления от 07.09.2006 № 11 производился не правильный расчет средней стоимости одного литра израсходованного топлива по предоставленным чекам АЗС при проезде к месту использования отпуска и обратно на личном автотранспорте</w:t>
      </w:r>
      <w:r w:rsidR="00D66CE5">
        <w:rPr>
          <w:color w:val="auto"/>
          <w:sz w:val="24"/>
          <w:szCs w:val="24"/>
        </w:rPr>
        <w:t>.</w:t>
      </w:r>
    </w:p>
    <w:p w:rsidR="00990CE5" w:rsidRPr="00F81400" w:rsidRDefault="00990CE5" w:rsidP="00990CE5">
      <w:pPr>
        <w:tabs>
          <w:tab w:val="left" w:pos="851"/>
        </w:tabs>
        <w:ind w:firstLine="851"/>
        <w:jc w:val="both"/>
        <w:rPr>
          <w:color w:val="auto"/>
          <w:sz w:val="24"/>
          <w:szCs w:val="24"/>
        </w:rPr>
      </w:pPr>
      <w:r w:rsidRPr="00F81400">
        <w:rPr>
          <w:color w:val="auto"/>
          <w:sz w:val="24"/>
          <w:szCs w:val="24"/>
        </w:rPr>
        <w:t>В нарушение п. 8.6 Приказа «Об утверждении учетной политики для бухгалтерского и налогового учета» от 07.05.2020 № 43, от 23.03.2021 № 7 принимались к учету авансовые отчеты по приобретенным материальным ценностям за личные средства сотрудников учреждения.</w:t>
      </w:r>
    </w:p>
    <w:p w:rsidR="00990CE5" w:rsidRPr="00137584" w:rsidRDefault="00990CE5" w:rsidP="00990CE5">
      <w:pPr>
        <w:tabs>
          <w:tab w:val="left" w:pos="851"/>
        </w:tabs>
        <w:ind w:firstLine="851"/>
        <w:jc w:val="both"/>
        <w:rPr>
          <w:color w:val="auto"/>
          <w:sz w:val="24"/>
          <w:szCs w:val="24"/>
        </w:rPr>
      </w:pPr>
      <w:r w:rsidRPr="00137584">
        <w:rPr>
          <w:color w:val="auto"/>
          <w:sz w:val="24"/>
          <w:szCs w:val="24"/>
        </w:rPr>
        <w:t xml:space="preserve">В нарушение п. 2.1.2. Договора </w:t>
      </w:r>
      <w:r w:rsidR="00137584" w:rsidRPr="00137584">
        <w:rPr>
          <w:color w:val="auto"/>
          <w:sz w:val="24"/>
          <w:szCs w:val="24"/>
        </w:rPr>
        <w:t xml:space="preserve">от 21.01.2020 без номера с Куликовой Е.Н. на сумму 51800,00 на оказание бухгалтерских услуг по составлению и сдачи годового отчета на основании данных «Заказчика» (МБУ «НДС») </w:t>
      </w:r>
      <w:r w:rsidRPr="00137584">
        <w:rPr>
          <w:color w:val="auto"/>
          <w:sz w:val="24"/>
          <w:szCs w:val="24"/>
        </w:rPr>
        <w:t xml:space="preserve">Акт оказанных услуг Заказчику не представлен. </w:t>
      </w:r>
    </w:p>
    <w:p w:rsidR="00990CE5" w:rsidRPr="00915FCD" w:rsidRDefault="00990CE5" w:rsidP="00990CE5">
      <w:pPr>
        <w:tabs>
          <w:tab w:val="left" w:pos="851"/>
        </w:tabs>
        <w:ind w:firstLine="851"/>
        <w:jc w:val="both"/>
        <w:rPr>
          <w:color w:val="auto"/>
          <w:sz w:val="24"/>
          <w:szCs w:val="24"/>
        </w:rPr>
      </w:pPr>
      <w:r w:rsidRPr="00915FCD">
        <w:rPr>
          <w:color w:val="auto"/>
          <w:sz w:val="24"/>
          <w:szCs w:val="24"/>
        </w:rPr>
        <w:t>В нарушение п.4.9. Договора</w:t>
      </w:r>
      <w:r w:rsidR="00915FCD" w:rsidRPr="00915FCD">
        <w:rPr>
          <w:color w:val="auto"/>
          <w:sz w:val="24"/>
          <w:szCs w:val="24"/>
        </w:rPr>
        <w:t xml:space="preserve"> от 21.05.2020 № 6-20 с ООО «Рекламная компания «Идея» на сумму 350000,00 руб. на выполнение работ по нанесению дорожной разметки в пгт. Никель,</w:t>
      </w:r>
      <w:r w:rsidRPr="00915FCD">
        <w:rPr>
          <w:color w:val="auto"/>
          <w:sz w:val="24"/>
          <w:szCs w:val="24"/>
        </w:rPr>
        <w:t xml:space="preserve"> при приемке выполненных работ</w:t>
      </w:r>
      <w:r w:rsidR="00915FCD" w:rsidRPr="00915FCD">
        <w:rPr>
          <w:color w:val="auto"/>
          <w:sz w:val="24"/>
          <w:szCs w:val="24"/>
        </w:rPr>
        <w:t>,</w:t>
      </w:r>
      <w:r w:rsidRPr="00915FCD">
        <w:rPr>
          <w:color w:val="auto"/>
          <w:sz w:val="24"/>
          <w:szCs w:val="24"/>
        </w:rPr>
        <w:t xml:space="preserve"> Подрядчиком не представлены акт о приемке выполненных работ (ф. № КС-2) и справка о стоимости выполненных работ и затрат (ф. КС-3).</w:t>
      </w:r>
    </w:p>
    <w:p w:rsidR="002036CF" w:rsidRPr="002036CF" w:rsidRDefault="00990CE5" w:rsidP="002036CF">
      <w:pPr>
        <w:tabs>
          <w:tab w:val="left" w:pos="851"/>
        </w:tabs>
        <w:ind w:firstLine="851"/>
        <w:jc w:val="both"/>
        <w:rPr>
          <w:color w:val="auto"/>
          <w:sz w:val="24"/>
          <w:szCs w:val="24"/>
        </w:rPr>
      </w:pPr>
      <w:r w:rsidRPr="002036CF">
        <w:rPr>
          <w:color w:val="auto"/>
          <w:sz w:val="24"/>
          <w:szCs w:val="24"/>
        </w:rPr>
        <w:t xml:space="preserve">В нарушение п. 6.4 </w:t>
      </w:r>
      <w:r w:rsidR="00915FCD" w:rsidRPr="002036CF">
        <w:rPr>
          <w:color w:val="auto"/>
          <w:sz w:val="24"/>
          <w:szCs w:val="24"/>
        </w:rPr>
        <w:t>гражданско-правового договора от 09.08.2021 № 01492000023210046040001 с ИП «Харитонов М.Н.» на сумму 925389,09 руб. на выполнение работ по устройству тротуаров в пгт. Никель</w:t>
      </w:r>
      <w:r w:rsidR="002036CF" w:rsidRPr="002036CF">
        <w:rPr>
          <w:color w:val="auto"/>
          <w:sz w:val="24"/>
          <w:szCs w:val="24"/>
        </w:rPr>
        <w:t>,</w:t>
      </w:r>
      <w:r w:rsidRPr="002036CF">
        <w:rPr>
          <w:color w:val="auto"/>
          <w:sz w:val="24"/>
          <w:szCs w:val="24"/>
        </w:rPr>
        <w:t xml:space="preserve"> </w:t>
      </w:r>
      <w:r w:rsidR="002036CF" w:rsidRPr="002036CF">
        <w:rPr>
          <w:color w:val="auto"/>
          <w:sz w:val="24"/>
          <w:szCs w:val="24"/>
        </w:rPr>
        <w:t xml:space="preserve">оплата произведена в полном объеме, без вычета суммы неустойки. Сумма неустойки составляет 2475,41 руб. </w:t>
      </w:r>
    </w:p>
    <w:p w:rsidR="00990CE5" w:rsidRPr="00C35E8D" w:rsidRDefault="00990CE5" w:rsidP="00990CE5">
      <w:pPr>
        <w:tabs>
          <w:tab w:val="left" w:pos="851"/>
        </w:tabs>
        <w:ind w:firstLine="851"/>
        <w:jc w:val="both"/>
        <w:rPr>
          <w:color w:val="auto"/>
          <w:sz w:val="24"/>
          <w:szCs w:val="24"/>
        </w:rPr>
      </w:pPr>
      <w:proofErr w:type="gramStart"/>
      <w:r w:rsidRPr="00C35E8D">
        <w:rPr>
          <w:color w:val="auto"/>
          <w:sz w:val="24"/>
          <w:szCs w:val="24"/>
        </w:rPr>
        <w:t>В нарушение требований Приказ Минфина России от 28.12.2010 № 191н (ред. от 21.12.2021)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установлено несоответствие показателей форм бухгалтерской отчетности (ф. 0503768 «Сведения о движении нефинансовых активов учреждения») за 2020 год остаткам и оборотам по счетам, отраженным в Главной книге (ф. 0504072</w:t>
      </w:r>
      <w:proofErr w:type="gramEnd"/>
      <w:r w:rsidRPr="00C35E8D">
        <w:rPr>
          <w:color w:val="auto"/>
          <w:sz w:val="24"/>
          <w:szCs w:val="24"/>
        </w:rPr>
        <w:t>) за 2020 год.</w:t>
      </w:r>
    </w:p>
    <w:p w:rsidR="00990CE5" w:rsidRPr="00C35E8D" w:rsidRDefault="00990CE5" w:rsidP="00990CE5">
      <w:pPr>
        <w:tabs>
          <w:tab w:val="left" w:pos="851"/>
        </w:tabs>
        <w:ind w:firstLine="851"/>
        <w:jc w:val="both"/>
        <w:rPr>
          <w:color w:val="auto"/>
          <w:sz w:val="24"/>
          <w:szCs w:val="24"/>
        </w:rPr>
      </w:pPr>
      <w:r w:rsidRPr="00C35E8D">
        <w:rPr>
          <w:color w:val="auto"/>
          <w:sz w:val="24"/>
          <w:szCs w:val="24"/>
        </w:rPr>
        <w:t xml:space="preserve">В нарушение п. 2. Приложение № 5 Приказа Минфина России от 30.03.2015 №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записи в Журнале операций с дебиторами по доходам (ф. 0504071) </w:t>
      </w:r>
      <w:r w:rsidR="005B04E8" w:rsidRPr="00C35E8D">
        <w:rPr>
          <w:color w:val="auto"/>
          <w:sz w:val="24"/>
          <w:szCs w:val="24"/>
        </w:rPr>
        <w:t xml:space="preserve">в 2021 году </w:t>
      </w:r>
      <w:r w:rsidRPr="00C35E8D">
        <w:rPr>
          <w:color w:val="auto"/>
          <w:sz w:val="24"/>
          <w:szCs w:val="24"/>
        </w:rPr>
        <w:t>произведены без оформления первичных (сводных) учетных документов по начислению доходов за выпол</w:t>
      </w:r>
      <w:r w:rsidR="00D90009">
        <w:rPr>
          <w:color w:val="auto"/>
          <w:sz w:val="24"/>
          <w:szCs w:val="24"/>
        </w:rPr>
        <w:t>ненные работы, оказанные услуги.</w:t>
      </w:r>
      <w:r w:rsidRPr="00C35E8D">
        <w:rPr>
          <w:color w:val="auto"/>
          <w:sz w:val="24"/>
          <w:szCs w:val="24"/>
        </w:rPr>
        <w:t xml:space="preserve"> </w:t>
      </w:r>
    </w:p>
    <w:p w:rsidR="00990CE5" w:rsidRPr="00D90009" w:rsidRDefault="00990CE5" w:rsidP="00990CE5">
      <w:pPr>
        <w:tabs>
          <w:tab w:val="left" w:pos="851"/>
        </w:tabs>
        <w:ind w:firstLine="851"/>
        <w:jc w:val="both"/>
        <w:rPr>
          <w:color w:val="auto"/>
          <w:sz w:val="24"/>
          <w:szCs w:val="24"/>
        </w:rPr>
      </w:pPr>
      <w:r w:rsidRPr="00D90009">
        <w:rPr>
          <w:color w:val="auto"/>
          <w:sz w:val="24"/>
          <w:szCs w:val="24"/>
        </w:rPr>
        <w:t xml:space="preserve">В нарушение п. 11 Инструкции № 157н регистры бухгалтерского учета </w:t>
      </w:r>
      <w:r w:rsidR="00D90009" w:rsidRPr="00D90009">
        <w:rPr>
          <w:color w:val="auto"/>
          <w:sz w:val="24"/>
          <w:szCs w:val="24"/>
        </w:rPr>
        <w:t xml:space="preserve">(Журнал операций № 5 расчетов с дебиторами по доходам,  Журнал операций № 6 расчетов по оплате труда) </w:t>
      </w:r>
      <w:r w:rsidRPr="00D90009">
        <w:rPr>
          <w:color w:val="auto"/>
          <w:sz w:val="24"/>
          <w:szCs w:val="24"/>
        </w:rPr>
        <w:t>не подписаны лицом, от</w:t>
      </w:r>
      <w:r w:rsidR="00D90009" w:rsidRPr="00D90009">
        <w:rPr>
          <w:color w:val="auto"/>
          <w:sz w:val="24"/>
          <w:szCs w:val="24"/>
        </w:rPr>
        <w:t>ветственным за его формирование.</w:t>
      </w:r>
    </w:p>
    <w:p w:rsidR="00990CE5" w:rsidRDefault="00990CE5" w:rsidP="000E4CA0">
      <w:pPr>
        <w:tabs>
          <w:tab w:val="left" w:pos="851"/>
        </w:tabs>
        <w:ind w:firstLine="851"/>
        <w:jc w:val="both"/>
        <w:rPr>
          <w:color w:val="auto"/>
          <w:sz w:val="24"/>
          <w:szCs w:val="24"/>
          <w:highlight w:val="lightGray"/>
        </w:rPr>
      </w:pPr>
    </w:p>
    <w:p w:rsidR="00D90009" w:rsidRDefault="00D90009" w:rsidP="00226705">
      <w:pPr>
        <w:ind w:firstLine="851"/>
        <w:jc w:val="both"/>
        <w:rPr>
          <w:sz w:val="24"/>
          <w:szCs w:val="24"/>
        </w:rPr>
      </w:pPr>
    </w:p>
    <w:p w:rsidR="003B79EF" w:rsidRDefault="003B79EF" w:rsidP="00226705">
      <w:pPr>
        <w:ind w:firstLine="851"/>
        <w:jc w:val="both"/>
        <w:rPr>
          <w:sz w:val="24"/>
          <w:szCs w:val="24"/>
        </w:rPr>
      </w:pPr>
    </w:p>
    <w:sectPr w:rsidR="003B79EF" w:rsidSect="003548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75"/>
    <w:rsid w:val="0001778A"/>
    <w:rsid w:val="000349B0"/>
    <w:rsid w:val="000469D6"/>
    <w:rsid w:val="00064F89"/>
    <w:rsid w:val="000E4CA0"/>
    <w:rsid w:val="00101680"/>
    <w:rsid w:val="00137584"/>
    <w:rsid w:val="00145F22"/>
    <w:rsid w:val="00164F51"/>
    <w:rsid w:val="001A3B53"/>
    <w:rsid w:val="001C178F"/>
    <w:rsid w:val="001C45F9"/>
    <w:rsid w:val="001D1064"/>
    <w:rsid w:val="001E706E"/>
    <w:rsid w:val="001F1A8C"/>
    <w:rsid w:val="0020246B"/>
    <w:rsid w:val="002036CF"/>
    <w:rsid w:val="00226705"/>
    <w:rsid w:val="002339C6"/>
    <w:rsid w:val="002433B5"/>
    <w:rsid w:val="002776B9"/>
    <w:rsid w:val="002C6845"/>
    <w:rsid w:val="002D4CCB"/>
    <w:rsid w:val="002D75E3"/>
    <w:rsid w:val="002E2A9D"/>
    <w:rsid w:val="00313734"/>
    <w:rsid w:val="003527EF"/>
    <w:rsid w:val="00354834"/>
    <w:rsid w:val="00356192"/>
    <w:rsid w:val="003918EA"/>
    <w:rsid w:val="003B79EF"/>
    <w:rsid w:val="004439B7"/>
    <w:rsid w:val="004605DA"/>
    <w:rsid w:val="004761E7"/>
    <w:rsid w:val="004906C3"/>
    <w:rsid w:val="00495028"/>
    <w:rsid w:val="004E7AD3"/>
    <w:rsid w:val="00525B69"/>
    <w:rsid w:val="005304BA"/>
    <w:rsid w:val="00556ABB"/>
    <w:rsid w:val="00557784"/>
    <w:rsid w:val="005740A8"/>
    <w:rsid w:val="005B04E8"/>
    <w:rsid w:val="005E3F4E"/>
    <w:rsid w:val="005F2774"/>
    <w:rsid w:val="005F5712"/>
    <w:rsid w:val="00650BB4"/>
    <w:rsid w:val="006634B5"/>
    <w:rsid w:val="00663B18"/>
    <w:rsid w:val="006C4E56"/>
    <w:rsid w:val="006E53EA"/>
    <w:rsid w:val="006F7E95"/>
    <w:rsid w:val="00707D02"/>
    <w:rsid w:val="007207FB"/>
    <w:rsid w:val="00724473"/>
    <w:rsid w:val="00800FA3"/>
    <w:rsid w:val="00813396"/>
    <w:rsid w:val="0085270D"/>
    <w:rsid w:val="008700EF"/>
    <w:rsid w:val="008B4066"/>
    <w:rsid w:val="008C5588"/>
    <w:rsid w:val="0090313F"/>
    <w:rsid w:val="00915FCD"/>
    <w:rsid w:val="00943909"/>
    <w:rsid w:val="00955DB6"/>
    <w:rsid w:val="00990CE5"/>
    <w:rsid w:val="009A176B"/>
    <w:rsid w:val="009A42BC"/>
    <w:rsid w:val="009B1DFF"/>
    <w:rsid w:val="009B5BD5"/>
    <w:rsid w:val="009D6C2D"/>
    <w:rsid w:val="009E35CA"/>
    <w:rsid w:val="009F3676"/>
    <w:rsid w:val="00A4321C"/>
    <w:rsid w:val="00A43D71"/>
    <w:rsid w:val="00A73786"/>
    <w:rsid w:val="00A83E0F"/>
    <w:rsid w:val="00AF0CF0"/>
    <w:rsid w:val="00B35947"/>
    <w:rsid w:val="00B44152"/>
    <w:rsid w:val="00B51502"/>
    <w:rsid w:val="00B60C52"/>
    <w:rsid w:val="00B8733B"/>
    <w:rsid w:val="00BA6DC6"/>
    <w:rsid w:val="00BC05CD"/>
    <w:rsid w:val="00C21C83"/>
    <w:rsid w:val="00C35E8D"/>
    <w:rsid w:val="00C5539A"/>
    <w:rsid w:val="00C57331"/>
    <w:rsid w:val="00CB4811"/>
    <w:rsid w:val="00CE4B07"/>
    <w:rsid w:val="00CE5FFD"/>
    <w:rsid w:val="00CF0C53"/>
    <w:rsid w:val="00D16F3E"/>
    <w:rsid w:val="00D55E39"/>
    <w:rsid w:val="00D6314E"/>
    <w:rsid w:val="00D66CE5"/>
    <w:rsid w:val="00D90009"/>
    <w:rsid w:val="00DF070F"/>
    <w:rsid w:val="00DF390B"/>
    <w:rsid w:val="00E061D7"/>
    <w:rsid w:val="00E31F9D"/>
    <w:rsid w:val="00E57501"/>
    <w:rsid w:val="00E70975"/>
    <w:rsid w:val="00E725C0"/>
    <w:rsid w:val="00EA0A72"/>
    <w:rsid w:val="00EC7A3D"/>
    <w:rsid w:val="00EF60C4"/>
    <w:rsid w:val="00F81400"/>
    <w:rsid w:val="00FB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EF"/>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990CE5"/>
    <w:pPr>
      <w:keepNext/>
      <w:spacing w:before="240" w:after="60"/>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207FB"/>
    <w:rPr>
      <w:rFonts w:ascii="Tahoma" w:hAnsi="Tahoma" w:cs="Tahoma"/>
      <w:sz w:val="16"/>
      <w:szCs w:val="16"/>
    </w:rPr>
  </w:style>
  <w:style w:type="character" w:customStyle="1" w:styleId="a4">
    <w:name w:val="Текст выноски Знак"/>
    <w:basedOn w:val="a0"/>
    <w:link w:val="a3"/>
    <w:rsid w:val="007207FB"/>
    <w:rPr>
      <w:rFonts w:ascii="Tahoma" w:eastAsia="Times New Roman" w:hAnsi="Tahoma" w:cs="Tahoma"/>
      <w:color w:val="000000"/>
      <w:sz w:val="16"/>
      <w:szCs w:val="16"/>
      <w:lang w:eastAsia="ru-RU"/>
    </w:rPr>
  </w:style>
  <w:style w:type="character" w:customStyle="1" w:styleId="10">
    <w:name w:val="Заголовок 1 Знак"/>
    <w:basedOn w:val="a0"/>
    <w:link w:val="1"/>
    <w:rsid w:val="00990CE5"/>
    <w:rPr>
      <w:rFonts w:ascii="Cambria" w:eastAsia="Times New Roman" w:hAnsi="Cambria" w:cs="Times New Roman"/>
      <w:b/>
      <w:bCs/>
      <w:kern w:val="32"/>
      <w:sz w:val="32"/>
      <w:szCs w:val="32"/>
      <w:lang w:eastAsia="ru-RU"/>
    </w:rPr>
  </w:style>
  <w:style w:type="paragraph" w:styleId="a5">
    <w:name w:val="footer"/>
    <w:basedOn w:val="a"/>
    <w:link w:val="a6"/>
    <w:rsid w:val="00990CE5"/>
    <w:pPr>
      <w:tabs>
        <w:tab w:val="center" w:pos="4677"/>
        <w:tab w:val="right" w:pos="9355"/>
      </w:tabs>
    </w:pPr>
    <w:rPr>
      <w:color w:val="auto"/>
      <w:sz w:val="24"/>
      <w:szCs w:val="24"/>
    </w:rPr>
  </w:style>
  <w:style w:type="character" w:customStyle="1" w:styleId="a6">
    <w:name w:val="Нижний колонтитул Знак"/>
    <w:basedOn w:val="a0"/>
    <w:link w:val="a5"/>
    <w:rsid w:val="00990CE5"/>
    <w:rPr>
      <w:rFonts w:ascii="Times New Roman" w:eastAsia="Times New Roman" w:hAnsi="Times New Roman" w:cs="Times New Roman"/>
      <w:sz w:val="24"/>
      <w:szCs w:val="24"/>
      <w:lang w:eastAsia="ru-RU"/>
    </w:rPr>
  </w:style>
  <w:style w:type="character" w:styleId="a7">
    <w:name w:val="page number"/>
    <w:basedOn w:val="a0"/>
    <w:rsid w:val="00990CE5"/>
  </w:style>
  <w:style w:type="character" w:customStyle="1" w:styleId="c2">
    <w:name w:val="c2"/>
    <w:rsid w:val="00990CE5"/>
  </w:style>
  <w:style w:type="table" w:styleId="a8">
    <w:name w:val="Table Grid"/>
    <w:basedOn w:val="a1"/>
    <w:rsid w:val="00990C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CE5"/>
    <w:rPr>
      <w:color w:val="0000FF"/>
      <w:u w:val="single"/>
    </w:rPr>
  </w:style>
  <w:style w:type="character" w:styleId="aa">
    <w:name w:val="Emphasis"/>
    <w:qFormat/>
    <w:rsid w:val="00990CE5"/>
    <w:rPr>
      <w:i/>
      <w:iCs/>
    </w:rPr>
  </w:style>
  <w:style w:type="paragraph" w:styleId="ab">
    <w:name w:val="Subtitle"/>
    <w:basedOn w:val="a"/>
    <w:next w:val="a"/>
    <w:link w:val="ac"/>
    <w:qFormat/>
    <w:rsid w:val="00990CE5"/>
    <w:pPr>
      <w:spacing w:after="60"/>
      <w:jc w:val="center"/>
      <w:outlineLvl w:val="1"/>
    </w:pPr>
    <w:rPr>
      <w:rFonts w:ascii="Cambria" w:hAnsi="Cambria"/>
      <w:color w:val="auto"/>
      <w:sz w:val="24"/>
      <w:szCs w:val="24"/>
    </w:rPr>
  </w:style>
  <w:style w:type="character" w:customStyle="1" w:styleId="ac">
    <w:name w:val="Подзаголовок Знак"/>
    <w:basedOn w:val="a0"/>
    <w:link w:val="ab"/>
    <w:rsid w:val="00990CE5"/>
    <w:rPr>
      <w:rFonts w:ascii="Cambria" w:eastAsia="Times New Roman" w:hAnsi="Cambria" w:cs="Times New Roman"/>
      <w:sz w:val="24"/>
      <w:szCs w:val="24"/>
      <w:lang w:eastAsia="ru-RU"/>
    </w:rPr>
  </w:style>
  <w:style w:type="paragraph" w:styleId="ad">
    <w:name w:val="header"/>
    <w:basedOn w:val="a"/>
    <w:link w:val="ae"/>
    <w:rsid w:val="00990CE5"/>
    <w:pPr>
      <w:tabs>
        <w:tab w:val="center" w:pos="4677"/>
        <w:tab w:val="right" w:pos="9355"/>
      </w:tabs>
    </w:pPr>
    <w:rPr>
      <w:color w:val="auto"/>
      <w:sz w:val="24"/>
      <w:szCs w:val="24"/>
    </w:rPr>
  </w:style>
  <w:style w:type="character" w:customStyle="1" w:styleId="ae">
    <w:name w:val="Верхний колонтитул Знак"/>
    <w:basedOn w:val="a0"/>
    <w:link w:val="ad"/>
    <w:rsid w:val="00990CE5"/>
    <w:rPr>
      <w:rFonts w:ascii="Times New Roman" w:eastAsia="Times New Roman" w:hAnsi="Times New Roman" w:cs="Times New Roman"/>
      <w:sz w:val="24"/>
      <w:szCs w:val="24"/>
      <w:lang w:eastAsia="ru-RU"/>
    </w:rPr>
  </w:style>
  <w:style w:type="paragraph" w:styleId="af">
    <w:name w:val="endnote text"/>
    <w:basedOn w:val="a"/>
    <w:link w:val="af0"/>
    <w:rsid w:val="00990CE5"/>
    <w:rPr>
      <w:color w:val="auto"/>
    </w:rPr>
  </w:style>
  <w:style w:type="character" w:customStyle="1" w:styleId="af0">
    <w:name w:val="Текст концевой сноски Знак"/>
    <w:basedOn w:val="a0"/>
    <w:link w:val="af"/>
    <w:rsid w:val="00990CE5"/>
    <w:rPr>
      <w:rFonts w:ascii="Times New Roman" w:eastAsia="Times New Roman" w:hAnsi="Times New Roman" w:cs="Times New Roman"/>
      <w:sz w:val="20"/>
      <w:szCs w:val="20"/>
      <w:lang w:eastAsia="ru-RU"/>
    </w:rPr>
  </w:style>
  <w:style w:type="character" w:styleId="af1">
    <w:name w:val="endnote reference"/>
    <w:rsid w:val="00990CE5"/>
    <w:rPr>
      <w:vertAlign w:val="superscript"/>
    </w:rPr>
  </w:style>
  <w:style w:type="paragraph" w:styleId="af2">
    <w:name w:val="Normal (Web)"/>
    <w:basedOn w:val="a"/>
    <w:uiPriority w:val="99"/>
    <w:unhideWhenUsed/>
    <w:rsid w:val="00990CE5"/>
    <w:pPr>
      <w:spacing w:before="100" w:beforeAutospacing="1" w:after="100" w:afterAutospacing="1"/>
    </w:pPr>
    <w:rPr>
      <w:color w:val="auto"/>
      <w:sz w:val="24"/>
      <w:szCs w:val="24"/>
    </w:rPr>
  </w:style>
  <w:style w:type="character" w:styleId="af3">
    <w:name w:val="Strong"/>
    <w:uiPriority w:val="22"/>
    <w:qFormat/>
    <w:rsid w:val="00990C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EF"/>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990CE5"/>
    <w:pPr>
      <w:keepNext/>
      <w:spacing w:before="240" w:after="60"/>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207FB"/>
    <w:rPr>
      <w:rFonts w:ascii="Tahoma" w:hAnsi="Tahoma" w:cs="Tahoma"/>
      <w:sz w:val="16"/>
      <w:szCs w:val="16"/>
    </w:rPr>
  </w:style>
  <w:style w:type="character" w:customStyle="1" w:styleId="a4">
    <w:name w:val="Текст выноски Знак"/>
    <w:basedOn w:val="a0"/>
    <w:link w:val="a3"/>
    <w:rsid w:val="007207FB"/>
    <w:rPr>
      <w:rFonts w:ascii="Tahoma" w:eastAsia="Times New Roman" w:hAnsi="Tahoma" w:cs="Tahoma"/>
      <w:color w:val="000000"/>
      <w:sz w:val="16"/>
      <w:szCs w:val="16"/>
      <w:lang w:eastAsia="ru-RU"/>
    </w:rPr>
  </w:style>
  <w:style w:type="character" w:customStyle="1" w:styleId="10">
    <w:name w:val="Заголовок 1 Знак"/>
    <w:basedOn w:val="a0"/>
    <w:link w:val="1"/>
    <w:rsid w:val="00990CE5"/>
    <w:rPr>
      <w:rFonts w:ascii="Cambria" w:eastAsia="Times New Roman" w:hAnsi="Cambria" w:cs="Times New Roman"/>
      <w:b/>
      <w:bCs/>
      <w:kern w:val="32"/>
      <w:sz w:val="32"/>
      <w:szCs w:val="32"/>
      <w:lang w:eastAsia="ru-RU"/>
    </w:rPr>
  </w:style>
  <w:style w:type="paragraph" w:styleId="a5">
    <w:name w:val="footer"/>
    <w:basedOn w:val="a"/>
    <w:link w:val="a6"/>
    <w:rsid w:val="00990CE5"/>
    <w:pPr>
      <w:tabs>
        <w:tab w:val="center" w:pos="4677"/>
        <w:tab w:val="right" w:pos="9355"/>
      </w:tabs>
    </w:pPr>
    <w:rPr>
      <w:color w:val="auto"/>
      <w:sz w:val="24"/>
      <w:szCs w:val="24"/>
    </w:rPr>
  </w:style>
  <w:style w:type="character" w:customStyle="1" w:styleId="a6">
    <w:name w:val="Нижний колонтитул Знак"/>
    <w:basedOn w:val="a0"/>
    <w:link w:val="a5"/>
    <w:rsid w:val="00990CE5"/>
    <w:rPr>
      <w:rFonts w:ascii="Times New Roman" w:eastAsia="Times New Roman" w:hAnsi="Times New Roman" w:cs="Times New Roman"/>
      <w:sz w:val="24"/>
      <w:szCs w:val="24"/>
      <w:lang w:eastAsia="ru-RU"/>
    </w:rPr>
  </w:style>
  <w:style w:type="character" w:styleId="a7">
    <w:name w:val="page number"/>
    <w:basedOn w:val="a0"/>
    <w:rsid w:val="00990CE5"/>
  </w:style>
  <w:style w:type="character" w:customStyle="1" w:styleId="c2">
    <w:name w:val="c2"/>
    <w:rsid w:val="00990CE5"/>
  </w:style>
  <w:style w:type="table" w:styleId="a8">
    <w:name w:val="Table Grid"/>
    <w:basedOn w:val="a1"/>
    <w:rsid w:val="00990C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CE5"/>
    <w:rPr>
      <w:color w:val="0000FF"/>
      <w:u w:val="single"/>
    </w:rPr>
  </w:style>
  <w:style w:type="character" w:styleId="aa">
    <w:name w:val="Emphasis"/>
    <w:qFormat/>
    <w:rsid w:val="00990CE5"/>
    <w:rPr>
      <w:i/>
      <w:iCs/>
    </w:rPr>
  </w:style>
  <w:style w:type="paragraph" w:styleId="ab">
    <w:name w:val="Subtitle"/>
    <w:basedOn w:val="a"/>
    <w:next w:val="a"/>
    <w:link w:val="ac"/>
    <w:qFormat/>
    <w:rsid w:val="00990CE5"/>
    <w:pPr>
      <w:spacing w:after="60"/>
      <w:jc w:val="center"/>
      <w:outlineLvl w:val="1"/>
    </w:pPr>
    <w:rPr>
      <w:rFonts w:ascii="Cambria" w:hAnsi="Cambria"/>
      <w:color w:val="auto"/>
      <w:sz w:val="24"/>
      <w:szCs w:val="24"/>
    </w:rPr>
  </w:style>
  <w:style w:type="character" w:customStyle="1" w:styleId="ac">
    <w:name w:val="Подзаголовок Знак"/>
    <w:basedOn w:val="a0"/>
    <w:link w:val="ab"/>
    <w:rsid w:val="00990CE5"/>
    <w:rPr>
      <w:rFonts w:ascii="Cambria" w:eastAsia="Times New Roman" w:hAnsi="Cambria" w:cs="Times New Roman"/>
      <w:sz w:val="24"/>
      <w:szCs w:val="24"/>
      <w:lang w:eastAsia="ru-RU"/>
    </w:rPr>
  </w:style>
  <w:style w:type="paragraph" w:styleId="ad">
    <w:name w:val="header"/>
    <w:basedOn w:val="a"/>
    <w:link w:val="ae"/>
    <w:rsid w:val="00990CE5"/>
    <w:pPr>
      <w:tabs>
        <w:tab w:val="center" w:pos="4677"/>
        <w:tab w:val="right" w:pos="9355"/>
      </w:tabs>
    </w:pPr>
    <w:rPr>
      <w:color w:val="auto"/>
      <w:sz w:val="24"/>
      <w:szCs w:val="24"/>
    </w:rPr>
  </w:style>
  <w:style w:type="character" w:customStyle="1" w:styleId="ae">
    <w:name w:val="Верхний колонтитул Знак"/>
    <w:basedOn w:val="a0"/>
    <w:link w:val="ad"/>
    <w:rsid w:val="00990CE5"/>
    <w:rPr>
      <w:rFonts w:ascii="Times New Roman" w:eastAsia="Times New Roman" w:hAnsi="Times New Roman" w:cs="Times New Roman"/>
      <w:sz w:val="24"/>
      <w:szCs w:val="24"/>
      <w:lang w:eastAsia="ru-RU"/>
    </w:rPr>
  </w:style>
  <w:style w:type="paragraph" w:styleId="af">
    <w:name w:val="endnote text"/>
    <w:basedOn w:val="a"/>
    <w:link w:val="af0"/>
    <w:rsid w:val="00990CE5"/>
    <w:rPr>
      <w:color w:val="auto"/>
    </w:rPr>
  </w:style>
  <w:style w:type="character" w:customStyle="1" w:styleId="af0">
    <w:name w:val="Текст концевой сноски Знак"/>
    <w:basedOn w:val="a0"/>
    <w:link w:val="af"/>
    <w:rsid w:val="00990CE5"/>
    <w:rPr>
      <w:rFonts w:ascii="Times New Roman" w:eastAsia="Times New Roman" w:hAnsi="Times New Roman" w:cs="Times New Roman"/>
      <w:sz w:val="20"/>
      <w:szCs w:val="20"/>
      <w:lang w:eastAsia="ru-RU"/>
    </w:rPr>
  </w:style>
  <w:style w:type="character" w:styleId="af1">
    <w:name w:val="endnote reference"/>
    <w:rsid w:val="00990CE5"/>
    <w:rPr>
      <w:vertAlign w:val="superscript"/>
    </w:rPr>
  </w:style>
  <w:style w:type="paragraph" w:styleId="af2">
    <w:name w:val="Normal (Web)"/>
    <w:basedOn w:val="a"/>
    <w:uiPriority w:val="99"/>
    <w:unhideWhenUsed/>
    <w:rsid w:val="00990CE5"/>
    <w:pPr>
      <w:spacing w:before="100" w:beforeAutospacing="1" w:after="100" w:afterAutospacing="1"/>
    </w:pPr>
    <w:rPr>
      <w:color w:val="auto"/>
      <w:sz w:val="24"/>
      <w:szCs w:val="24"/>
    </w:rPr>
  </w:style>
  <w:style w:type="character" w:styleId="af3">
    <w:name w:val="Strong"/>
    <w:uiPriority w:val="22"/>
    <w:qFormat/>
    <w:rsid w:val="00990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67F5BB9CEAF6CBA3EF4252BE21260E240183AEC4608DE6761B6C7455362287ED252A0A623A6A7C2A24F1C87A52C069C81CB0A027D346BC5tDr0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AB51-35D5-4E32-9E28-0C4AFF02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Наталья Владимировна</dc:creator>
  <cp:keywords/>
  <dc:description/>
  <cp:lastModifiedBy>Иванова Ольга Валентиновна</cp:lastModifiedBy>
  <cp:revision>32</cp:revision>
  <cp:lastPrinted>2024-05-02T13:12:00Z</cp:lastPrinted>
  <dcterms:created xsi:type="dcterms:W3CDTF">2021-07-05T11:05:00Z</dcterms:created>
  <dcterms:modified xsi:type="dcterms:W3CDTF">2024-05-02T13:14:00Z</dcterms:modified>
</cp:coreProperties>
</file>