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C8" w:rsidRPr="00CD32C8" w:rsidRDefault="00CD32C8" w:rsidP="00CD32C8">
      <w:pPr>
        <w:jc w:val="center"/>
        <w:rPr>
          <w:b/>
          <w:bCs/>
          <w:color w:val="auto"/>
          <w:sz w:val="24"/>
          <w:szCs w:val="24"/>
        </w:rPr>
      </w:pPr>
      <w:r w:rsidRPr="00CD32C8">
        <w:rPr>
          <w:b/>
          <w:bCs/>
          <w:color w:val="auto"/>
          <w:sz w:val="24"/>
          <w:szCs w:val="24"/>
        </w:rPr>
        <w:t>Информация</w:t>
      </w:r>
    </w:p>
    <w:p w:rsidR="00CD32C8" w:rsidRPr="00CD32C8" w:rsidRDefault="00CD32C8" w:rsidP="00CD32C8">
      <w:pPr>
        <w:jc w:val="center"/>
        <w:rPr>
          <w:b/>
          <w:bCs/>
          <w:color w:val="auto"/>
          <w:sz w:val="24"/>
          <w:szCs w:val="24"/>
        </w:rPr>
      </w:pPr>
      <w:r w:rsidRPr="00CD32C8">
        <w:rPr>
          <w:b/>
          <w:bCs/>
          <w:color w:val="auto"/>
          <w:sz w:val="24"/>
          <w:szCs w:val="24"/>
        </w:rPr>
        <w:t>по результатам плановой ревизии</w:t>
      </w:r>
      <w:r w:rsidRPr="00CD32C8">
        <w:rPr>
          <w:b/>
          <w:color w:val="auto"/>
          <w:sz w:val="24"/>
          <w:szCs w:val="24"/>
        </w:rPr>
        <w:t xml:space="preserve"> </w:t>
      </w:r>
      <w:r w:rsidRPr="00CD32C8">
        <w:rPr>
          <w:b/>
          <w:bCs/>
          <w:color w:val="auto"/>
          <w:sz w:val="24"/>
          <w:szCs w:val="24"/>
        </w:rPr>
        <w:t>финансово-хозяйственной</w:t>
      </w:r>
    </w:p>
    <w:p w:rsidR="005F5712" w:rsidRDefault="00CD32C8" w:rsidP="00CD32C8">
      <w:pPr>
        <w:jc w:val="center"/>
        <w:rPr>
          <w:b/>
          <w:bCs/>
          <w:color w:val="auto"/>
          <w:sz w:val="24"/>
          <w:szCs w:val="24"/>
        </w:rPr>
      </w:pPr>
      <w:r w:rsidRPr="00CD32C8">
        <w:rPr>
          <w:b/>
          <w:bCs/>
          <w:color w:val="auto"/>
          <w:sz w:val="24"/>
          <w:szCs w:val="24"/>
        </w:rPr>
        <w:t>деятельности муниципального бюджетного учреждения «Спортивный комплекс «Металлург» (далее - МБУ «СК «Металлург»)</w:t>
      </w:r>
    </w:p>
    <w:p w:rsidR="00CD32C8" w:rsidRPr="00914E52" w:rsidRDefault="00CD32C8" w:rsidP="00CD32C8">
      <w:pPr>
        <w:jc w:val="center"/>
        <w:rPr>
          <w:highlight w:val="lightGray"/>
        </w:rPr>
      </w:pPr>
    </w:p>
    <w:p w:rsidR="00DF070F" w:rsidRPr="00D95558" w:rsidRDefault="00CE4B07" w:rsidP="00226705">
      <w:pPr>
        <w:ind w:firstLine="851"/>
        <w:jc w:val="both"/>
        <w:rPr>
          <w:sz w:val="24"/>
          <w:szCs w:val="24"/>
        </w:rPr>
      </w:pPr>
      <w:r w:rsidRPr="00D95558">
        <w:rPr>
          <w:sz w:val="24"/>
          <w:szCs w:val="24"/>
        </w:rPr>
        <w:t>Контрольно-ревизионным отделом администрации Печенгского муниципального округа</w:t>
      </w:r>
      <w:r w:rsidR="00DF070F" w:rsidRPr="00D95558">
        <w:rPr>
          <w:sz w:val="24"/>
          <w:szCs w:val="24"/>
        </w:rPr>
        <w:t xml:space="preserve"> в соответствии с распоряжением администрации Печенгского муницип</w:t>
      </w:r>
      <w:r w:rsidR="00111DBB" w:rsidRPr="00D95558">
        <w:rPr>
          <w:sz w:val="24"/>
          <w:szCs w:val="24"/>
        </w:rPr>
        <w:t xml:space="preserve">ального округа от </w:t>
      </w:r>
      <w:r w:rsidR="00D95558" w:rsidRPr="00D95558">
        <w:rPr>
          <w:sz w:val="24"/>
          <w:szCs w:val="24"/>
        </w:rPr>
        <w:t>07</w:t>
      </w:r>
      <w:r w:rsidR="00111DBB" w:rsidRPr="00D95558">
        <w:rPr>
          <w:sz w:val="24"/>
          <w:szCs w:val="24"/>
        </w:rPr>
        <w:t>.0</w:t>
      </w:r>
      <w:r w:rsidR="00D95558" w:rsidRPr="00D95558">
        <w:rPr>
          <w:sz w:val="24"/>
          <w:szCs w:val="24"/>
        </w:rPr>
        <w:t>4</w:t>
      </w:r>
      <w:r w:rsidR="00111DBB" w:rsidRPr="00D95558">
        <w:rPr>
          <w:sz w:val="24"/>
          <w:szCs w:val="24"/>
        </w:rPr>
        <w:t>.202</w:t>
      </w:r>
      <w:r w:rsidR="00D95558" w:rsidRPr="00D95558">
        <w:rPr>
          <w:sz w:val="24"/>
          <w:szCs w:val="24"/>
        </w:rPr>
        <w:t>2</w:t>
      </w:r>
      <w:r w:rsidR="00111DBB" w:rsidRPr="00D95558">
        <w:rPr>
          <w:sz w:val="24"/>
          <w:szCs w:val="24"/>
        </w:rPr>
        <w:t xml:space="preserve"> №</w:t>
      </w:r>
      <w:r w:rsidR="00D95558" w:rsidRPr="00D95558">
        <w:rPr>
          <w:sz w:val="24"/>
          <w:szCs w:val="24"/>
        </w:rPr>
        <w:t xml:space="preserve"> 3</w:t>
      </w:r>
      <w:r w:rsidR="00111DBB" w:rsidRPr="00D95558">
        <w:rPr>
          <w:sz w:val="24"/>
          <w:szCs w:val="24"/>
        </w:rPr>
        <w:t>5</w:t>
      </w:r>
      <w:r w:rsidR="00DF070F" w:rsidRPr="00D95558">
        <w:rPr>
          <w:sz w:val="24"/>
          <w:szCs w:val="24"/>
        </w:rPr>
        <w:t xml:space="preserve"> и на основании плана работы КРО на 202</w:t>
      </w:r>
      <w:r w:rsidR="00D95558" w:rsidRPr="00D95558">
        <w:rPr>
          <w:sz w:val="24"/>
          <w:szCs w:val="24"/>
        </w:rPr>
        <w:t>2</w:t>
      </w:r>
      <w:r w:rsidR="00DF070F" w:rsidRPr="00D95558">
        <w:rPr>
          <w:sz w:val="24"/>
          <w:szCs w:val="24"/>
        </w:rPr>
        <w:t xml:space="preserve"> год в </w:t>
      </w:r>
      <w:r w:rsidR="00DF070F" w:rsidRPr="001217D9">
        <w:rPr>
          <w:sz w:val="24"/>
          <w:szCs w:val="24"/>
        </w:rPr>
        <w:t xml:space="preserve">период с </w:t>
      </w:r>
      <w:r w:rsidR="001217D9" w:rsidRPr="001217D9">
        <w:rPr>
          <w:sz w:val="24"/>
          <w:szCs w:val="24"/>
        </w:rPr>
        <w:t>11</w:t>
      </w:r>
      <w:r w:rsidR="00111DBB" w:rsidRPr="001217D9">
        <w:rPr>
          <w:sz w:val="24"/>
          <w:szCs w:val="24"/>
        </w:rPr>
        <w:t>.0</w:t>
      </w:r>
      <w:r w:rsidR="001217D9" w:rsidRPr="001217D9">
        <w:rPr>
          <w:sz w:val="24"/>
          <w:szCs w:val="24"/>
        </w:rPr>
        <w:t>4</w:t>
      </w:r>
      <w:r w:rsidR="00E7625B" w:rsidRPr="001217D9">
        <w:rPr>
          <w:sz w:val="24"/>
          <w:szCs w:val="24"/>
        </w:rPr>
        <w:t>.202</w:t>
      </w:r>
      <w:r w:rsidR="001217D9" w:rsidRPr="001217D9">
        <w:rPr>
          <w:sz w:val="24"/>
          <w:szCs w:val="24"/>
        </w:rPr>
        <w:t>2</w:t>
      </w:r>
      <w:r w:rsidR="00E7625B" w:rsidRPr="001217D9">
        <w:rPr>
          <w:sz w:val="24"/>
          <w:szCs w:val="24"/>
        </w:rPr>
        <w:t xml:space="preserve"> по </w:t>
      </w:r>
      <w:r w:rsidR="001217D9" w:rsidRPr="001217D9">
        <w:rPr>
          <w:sz w:val="24"/>
          <w:szCs w:val="24"/>
        </w:rPr>
        <w:t>09</w:t>
      </w:r>
      <w:r w:rsidR="00E7625B" w:rsidRPr="001217D9">
        <w:rPr>
          <w:sz w:val="24"/>
          <w:szCs w:val="24"/>
        </w:rPr>
        <w:t>.0</w:t>
      </w:r>
      <w:r w:rsidR="001217D9" w:rsidRPr="001217D9">
        <w:rPr>
          <w:sz w:val="24"/>
          <w:szCs w:val="24"/>
        </w:rPr>
        <w:t>6</w:t>
      </w:r>
      <w:r w:rsidR="00DF070F" w:rsidRPr="001217D9">
        <w:rPr>
          <w:sz w:val="24"/>
          <w:szCs w:val="24"/>
        </w:rPr>
        <w:t>.202</w:t>
      </w:r>
      <w:r w:rsidR="001217D9" w:rsidRPr="001217D9">
        <w:rPr>
          <w:sz w:val="24"/>
          <w:szCs w:val="24"/>
        </w:rPr>
        <w:t>2</w:t>
      </w:r>
      <w:r w:rsidR="00DF070F" w:rsidRPr="001217D9">
        <w:rPr>
          <w:sz w:val="24"/>
          <w:szCs w:val="24"/>
        </w:rPr>
        <w:t xml:space="preserve"> в</w:t>
      </w:r>
      <w:r w:rsidR="00DF070F" w:rsidRPr="00D95558">
        <w:rPr>
          <w:sz w:val="24"/>
          <w:szCs w:val="24"/>
        </w:rPr>
        <w:t xml:space="preserve"> отношении </w:t>
      </w:r>
      <w:r w:rsidR="00D95558" w:rsidRPr="00D95558">
        <w:rPr>
          <w:sz w:val="24"/>
          <w:szCs w:val="24"/>
        </w:rPr>
        <w:t>МБУ «СК «Металлург»</w:t>
      </w:r>
      <w:r w:rsidR="00DF070F" w:rsidRPr="00D95558">
        <w:rPr>
          <w:sz w:val="24"/>
          <w:szCs w:val="24"/>
        </w:rPr>
        <w:t xml:space="preserve"> проведена ревизия финансово-хозяйственной деятельности.</w:t>
      </w:r>
    </w:p>
    <w:p w:rsidR="00DF070F" w:rsidRPr="00D95558" w:rsidRDefault="00DF070F" w:rsidP="00226705">
      <w:pPr>
        <w:ind w:firstLine="851"/>
        <w:jc w:val="both"/>
        <w:rPr>
          <w:sz w:val="24"/>
          <w:szCs w:val="24"/>
        </w:rPr>
      </w:pPr>
      <w:r w:rsidRPr="00D95558">
        <w:rPr>
          <w:sz w:val="24"/>
          <w:szCs w:val="24"/>
        </w:rPr>
        <w:t>Проверенный период с 01.01.20</w:t>
      </w:r>
      <w:r w:rsidR="00D95558" w:rsidRPr="00D95558">
        <w:rPr>
          <w:sz w:val="24"/>
          <w:szCs w:val="24"/>
        </w:rPr>
        <w:t>20</w:t>
      </w:r>
      <w:r w:rsidRPr="00D95558">
        <w:rPr>
          <w:sz w:val="24"/>
          <w:szCs w:val="24"/>
        </w:rPr>
        <w:t xml:space="preserve"> по 31.03.202</w:t>
      </w:r>
      <w:r w:rsidR="00D95558" w:rsidRPr="00D95558">
        <w:rPr>
          <w:sz w:val="24"/>
          <w:szCs w:val="24"/>
        </w:rPr>
        <w:t>2</w:t>
      </w:r>
      <w:r w:rsidRPr="00D95558">
        <w:rPr>
          <w:sz w:val="24"/>
          <w:szCs w:val="24"/>
        </w:rPr>
        <w:t>.</w:t>
      </w:r>
    </w:p>
    <w:p w:rsidR="0052490F" w:rsidRPr="0052490F" w:rsidRDefault="0052490F" w:rsidP="0052490F">
      <w:pPr>
        <w:ind w:firstLine="851"/>
        <w:jc w:val="both"/>
        <w:rPr>
          <w:sz w:val="24"/>
          <w:szCs w:val="24"/>
        </w:rPr>
      </w:pPr>
      <w:r w:rsidRPr="0052490F">
        <w:rPr>
          <w:sz w:val="24"/>
          <w:szCs w:val="24"/>
        </w:rPr>
        <w:t xml:space="preserve">В проверяемом периоде Учреждение осуществляло свою деятельность в соответствии с Уставом, утвержденным постановлением администрации городского поселения Никель </w:t>
      </w:r>
      <w:proofErr w:type="spellStart"/>
      <w:r w:rsidRPr="0052490F">
        <w:rPr>
          <w:sz w:val="24"/>
          <w:szCs w:val="24"/>
        </w:rPr>
        <w:t>Печенгского</w:t>
      </w:r>
      <w:proofErr w:type="spellEnd"/>
      <w:r w:rsidRPr="0052490F">
        <w:rPr>
          <w:sz w:val="24"/>
          <w:szCs w:val="24"/>
        </w:rPr>
        <w:t xml:space="preserve"> района от 24.12.2019 № 243, постановлением  администрации </w:t>
      </w:r>
      <w:proofErr w:type="spellStart"/>
      <w:r w:rsidRPr="0052490F">
        <w:rPr>
          <w:sz w:val="24"/>
          <w:szCs w:val="24"/>
        </w:rPr>
        <w:t>Печенгского</w:t>
      </w:r>
      <w:proofErr w:type="spellEnd"/>
      <w:r w:rsidRPr="0052490F">
        <w:rPr>
          <w:sz w:val="24"/>
          <w:szCs w:val="24"/>
        </w:rPr>
        <w:t xml:space="preserve"> муниципального округа от 28.07.2021 № 779. </w:t>
      </w:r>
    </w:p>
    <w:p w:rsidR="0052490F" w:rsidRPr="0052490F" w:rsidRDefault="0052490F" w:rsidP="0052490F">
      <w:pPr>
        <w:ind w:firstLine="851"/>
        <w:jc w:val="both"/>
        <w:rPr>
          <w:sz w:val="24"/>
          <w:szCs w:val="24"/>
        </w:rPr>
      </w:pPr>
      <w:r w:rsidRPr="0052490F">
        <w:rPr>
          <w:sz w:val="24"/>
          <w:szCs w:val="24"/>
        </w:rPr>
        <w:t xml:space="preserve">Учредителем Учреждения от имени муниципального образования городское поселение Никель </w:t>
      </w:r>
      <w:proofErr w:type="spellStart"/>
      <w:r w:rsidRPr="0052490F">
        <w:rPr>
          <w:sz w:val="24"/>
          <w:szCs w:val="24"/>
        </w:rPr>
        <w:t>Печенгского</w:t>
      </w:r>
      <w:proofErr w:type="spellEnd"/>
      <w:r w:rsidRPr="0052490F">
        <w:rPr>
          <w:sz w:val="24"/>
          <w:szCs w:val="24"/>
        </w:rPr>
        <w:t xml:space="preserve"> района Мурманской области являлась администрация муниципального образования </w:t>
      </w:r>
      <w:proofErr w:type="spellStart"/>
      <w:r w:rsidRPr="0052490F">
        <w:rPr>
          <w:sz w:val="24"/>
          <w:szCs w:val="24"/>
        </w:rPr>
        <w:t>Печенгский</w:t>
      </w:r>
      <w:proofErr w:type="spellEnd"/>
      <w:r w:rsidRPr="0052490F">
        <w:rPr>
          <w:sz w:val="24"/>
          <w:szCs w:val="24"/>
        </w:rPr>
        <w:t xml:space="preserve"> район. Имущество Учреждения являлось муниципальной собственностью городского поселения Никель.</w:t>
      </w:r>
    </w:p>
    <w:p w:rsidR="0052490F" w:rsidRPr="0052490F" w:rsidRDefault="0052490F" w:rsidP="0052490F">
      <w:pPr>
        <w:ind w:firstLine="851"/>
        <w:jc w:val="both"/>
        <w:rPr>
          <w:sz w:val="24"/>
          <w:szCs w:val="24"/>
        </w:rPr>
      </w:pPr>
      <w:r w:rsidRPr="0052490F">
        <w:rPr>
          <w:sz w:val="24"/>
          <w:szCs w:val="24"/>
        </w:rPr>
        <w:t xml:space="preserve">Учредителем и собственником имущества Учреждения с 28.07.2021 является муниципальное образование </w:t>
      </w:r>
      <w:proofErr w:type="spellStart"/>
      <w:r w:rsidRPr="0052490F">
        <w:rPr>
          <w:sz w:val="24"/>
          <w:szCs w:val="24"/>
        </w:rPr>
        <w:t>Печенгский</w:t>
      </w:r>
      <w:proofErr w:type="spellEnd"/>
      <w:r w:rsidRPr="0052490F">
        <w:rPr>
          <w:sz w:val="24"/>
          <w:szCs w:val="24"/>
        </w:rPr>
        <w:t xml:space="preserve"> муниципальный округ Мурманской области.  </w:t>
      </w:r>
    </w:p>
    <w:p w:rsidR="0052490F" w:rsidRPr="0052490F" w:rsidRDefault="0052490F" w:rsidP="0052490F">
      <w:pPr>
        <w:ind w:firstLine="851"/>
        <w:jc w:val="both"/>
        <w:rPr>
          <w:sz w:val="24"/>
          <w:szCs w:val="24"/>
        </w:rPr>
      </w:pPr>
      <w:r w:rsidRPr="0052490F">
        <w:rPr>
          <w:sz w:val="24"/>
          <w:szCs w:val="24"/>
        </w:rPr>
        <w:t xml:space="preserve">Функции и полномочия учредителя от имени муниципального образования </w:t>
      </w:r>
      <w:proofErr w:type="spellStart"/>
      <w:r w:rsidRPr="0052490F">
        <w:rPr>
          <w:sz w:val="24"/>
          <w:szCs w:val="24"/>
        </w:rPr>
        <w:t>Печенгский</w:t>
      </w:r>
      <w:proofErr w:type="spellEnd"/>
      <w:r w:rsidRPr="0052490F">
        <w:rPr>
          <w:sz w:val="24"/>
          <w:szCs w:val="24"/>
        </w:rPr>
        <w:t xml:space="preserve"> муниципальный округ Мурманской области осуществляет Администрация </w:t>
      </w:r>
      <w:proofErr w:type="spellStart"/>
      <w:r w:rsidRPr="0052490F">
        <w:rPr>
          <w:sz w:val="24"/>
          <w:szCs w:val="24"/>
        </w:rPr>
        <w:t>Печенгского</w:t>
      </w:r>
      <w:proofErr w:type="spellEnd"/>
      <w:r w:rsidRPr="0052490F">
        <w:rPr>
          <w:sz w:val="24"/>
          <w:szCs w:val="24"/>
        </w:rPr>
        <w:t xml:space="preserve"> муниципального округа Мурманской области.</w:t>
      </w:r>
    </w:p>
    <w:p w:rsidR="0090313F" w:rsidRPr="000A1773" w:rsidRDefault="00DF070F" w:rsidP="00226705">
      <w:pPr>
        <w:ind w:firstLine="851"/>
        <w:jc w:val="both"/>
        <w:rPr>
          <w:b/>
          <w:sz w:val="24"/>
          <w:szCs w:val="24"/>
        </w:rPr>
      </w:pPr>
      <w:r w:rsidRPr="000A1773">
        <w:rPr>
          <w:b/>
          <w:sz w:val="24"/>
          <w:szCs w:val="24"/>
        </w:rPr>
        <w:t>В ходе контрольного мероприятия выявлены следующие нарушения:</w:t>
      </w:r>
    </w:p>
    <w:p w:rsidR="001217D9" w:rsidRPr="006F764A" w:rsidRDefault="001217D9" w:rsidP="001217D9">
      <w:pPr>
        <w:ind w:firstLine="851"/>
        <w:jc w:val="both"/>
        <w:rPr>
          <w:sz w:val="24"/>
          <w:szCs w:val="24"/>
        </w:rPr>
      </w:pPr>
      <w:r w:rsidRPr="006F764A">
        <w:rPr>
          <w:sz w:val="24"/>
          <w:szCs w:val="24"/>
        </w:rPr>
        <w:t>В нарушение п. 4 ст. 69.2 Бюджетного кодекса Российской Федерации от 31.07.1998 № 145-ФЗ (ред. от 29.11.2021) значения нормативных затрат на оказание муниципальных услуг (работ), оказываемые (выполняемые) муниципальным бюджетным учреждением «СК «Металлург» на 2020 год не определены и не утверждены.</w:t>
      </w:r>
    </w:p>
    <w:p w:rsidR="001217D9" w:rsidRPr="006F764A" w:rsidRDefault="001217D9" w:rsidP="001217D9">
      <w:pPr>
        <w:ind w:firstLine="851"/>
        <w:jc w:val="both"/>
        <w:rPr>
          <w:sz w:val="24"/>
          <w:szCs w:val="24"/>
        </w:rPr>
      </w:pPr>
      <w:r w:rsidRPr="006F764A">
        <w:rPr>
          <w:sz w:val="24"/>
          <w:szCs w:val="24"/>
        </w:rPr>
        <w:t xml:space="preserve">В нарушение п.2.5. </w:t>
      </w:r>
      <w:proofErr w:type="gramStart"/>
      <w:r w:rsidRPr="006F764A">
        <w:rPr>
          <w:sz w:val="24"/>
          <w:szCs w:val="24"/>
        </w:rPr>
        <w:t>Порядка составления и утверждения плана финансово-хозяйственной деятельности муниципальных бюджетных учреждений муниципального образования Печенгский район и городское поселение Никель, утвержденного постановлением администрации муниципального образования Печенгский район от 28.04.2020 № 413, с изм. от 16.09.2020 № 927 (далее – Порядок от 28.04.2020 № 413)</w:t>
      </w:r>
      <w:r w:rsidR="00E16CCD">
        <w:rPr>
          <w:sz w:val="24"/>
          <w:szCs w:val="24"/>
        </w:rPr>
        <w:t xml:space="preserve"> в 2020 году</w:t>
      </w:r>
      <w:r w:rsidRPr="006F764A">
        <w:rPr>
          <w:sz w:val="24"/>
          <w:szCs w:val="24"/>
        </w:rPr>
        <w:t xml:space="preserve"> в целях внесения изменений в план, новый план не составлялся.</w:t>
      </w:r>
      <w:proofErr w:type="gramEnd"/>
      <w:r w:rsidRPr="006F764A">
        <w:rPr>
          <w:sz w:val="24"/>
          <w:szCs w:val="24"/>
        </w:rPr>
        <w:t xml:space="preserve"> План ФХД в окончательной редакции проверке не представлен.</w:t>
      </w:r>
    </w:p>
    <w:p w:rsidR="001217D9" w:rsidRPr="00C372D9" w:rsidRDefault="00903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п.3</w:t>
      </w:r>
      <w:r w:rsidR="001217D9" w:rsidRPr="00C372D9">
        <w:rPr>
          <w:sz w:val="24"/>
          <w:szCs w:val="24"/>
        </w:rPr>
        <w:t xml:space="preserve"> Порядка от 28.04.2020 № 413 обоснования (расчеты) плановых показателей поступлений  и выплат </w:t>
      </w:r>
      <w:r w:rsidR="00E16CCD">
        <w:rPr>
          <w:sz w:val="24"/>
          <w:szCs w:val="24"/>
        </w:rPr>
        <w:t xml:space="preserve">в 2020 году </w:t>
      </w:r>
      <w:r w:rsidR="001217D9" w:rsidRPr="00C372D9">
        <w:rPr>
          <w:sz w:val="24"/>
          <w:szCs w:val="24"/>
        </w:rPr>
        <w:t>не сформированы, проверке не представлены.</w:t>
      </w:r>
    </w:p>
    <w:p w:rsidR="001217D9" w:rsidRPr="00C372D9" w:rsidRDefault="00903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 4.15</w:t>
      </w:r>
      <w:r w:rsidR="001217D9" w:rsidRPr="00C372D9">
        <w:rPr>
          <w:sz w:val="24"/>
          <w:szCs w:val="24"/>
        </w:rPr>
        <w:t xml:space="preserve"> Порядка от 28.04.2020 № 413 утвержденный план ФХД (план ФХД с учетом изменений) </w:t>
      </w:r>
      <w:r w:rsidR="00BD7204">
        <w:rPr>
          <w:sz w:val="24"/>
          <w:szCs w:val="24"/>
        </w:rPr>
        <w:t xml:space="preserve">на 2020 год </w:t>
      </w:r>
      <w:r w:rsidR="001217D9" w:rsidRPr="00C372D9">
        <w:rPr>
          <w:sz w:val="24"/>
          <w:szCs w:val="24"/>
        </w:rPr>
        <w:t xml:space="preserve">не размещен на официальном сайте в сети Интернет </w:t>
      </w:r>
      <w:hyperlink r:id="rId7" w:history="1">
        <w:r w:rsidR="001217D9" w:rsidRPr="00C372D9">
          <w:rPr>
            <w:rStyle w:val="a9"/>
            <w:sz w:val="24"/>
            <w:szCs w:val="24"/>
            <w:lang w:val="en-US"/>
          </w:rPr>
          <w:t>www</w:t>
        </w:r>
        <w:r w:rsidR="001217D9" w:rsidRPr="00C372D9">
          <w:rPr>
            <w:rStyle w:val="a9"/>
            <w:sz w:val="24"/>
            <w:szCs w:val="24"/>
          </w:rPr>
          <w:t>.</w:t>
        </w:r>
        <w:r w:rsidR="001217D9" w:rsidRPr="00C372D9">
          <w:rPr>
            <w:rStyle w:val="a9"/>
            <w:sz w:val="24"/>
            <w:szCs w:val="24"/>
            <w:lang w:val="en-US"/>
          </w:rPr>
          <w:t>bus</w:t>
        </w:r>
      </w:hyperlink>
      <w:r w:rsidR="001217D9" w:rsidRPr="00C372D9">
        <w:rPr>
          <w:sz w:val="24"/>
          <w:szCs w:val="24"/>
        </w:rPr>
        <w:t>.</w:t>
      </w:r>
      <w:proofErr w:type="spellStart"/>
      <w:r w:rsidR="001217D9" w:rsidRPr="00C372D9">
        <w:rPr>
          <w:sz w:val="24"/>
          <w:szCs w:val="24"/>
          <w:lang w:val="en-US"/>
        </w:rPr>
        <w:t>gov</w:t>
      </w:r>
      <w:proofErr w:type="spellEnd"/>
      <w:r w:rsidR="001217D9" w:rsidRPr="00C372D9">
        <w:rPr>
          <w:sz w:val="24"/>
          <w:szCs w:val="24"/>
        </w:rPr>
        <w:t>.</w:t>
      </w:r>
      <w:proofErr w:type="spellStart"/>
      <w:r w:rsidR="001217D9" w:rsidRPr="00C372D9">
        <w:rPr>
          <w:sz w:val="24"/>
          <w:szCs w:val="24"/>
          <w:lang w:val="en-US"/>
        </w:rPr>
        <w:t>ru</w:t>
      </w:r>
      <w:proofErr w:type="spellEnd"/>
      <w:r w:rsidR="001217D9" w:rsidRPr="00C372D9">
        <w:rPr>
          <w:sz w:val="24"/>
          <w:szCs w:val="24"/>
        </w:rPr>
        <w:t>.</w:t>
      </w:r>
    </w:p>
    <w:p w:rsidR="00CC4137" w:rsidRDefault="0090390F" w:rsidP="001217D9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нарушение п. 2.2</w:t>
      </w:r>
      <w:r w:rsidR="001217D9" w:rsidRPr="00C372D9">
        <w:rPr>
          <w:sz w:val="24"/>
          <w:szCs w:val="24"/>
        </w:rPr>
        <w:t xml:space="preserve"> Положения о формировании муниципального задания </w:t>
      </w:r>
      <w:r w:rsidR="008F11CE" w:rsidRPr="008F11CE">
        <w:rPr>
          <w:sz w:val="24"/>
          <w:szCs w:val="24"/>
        </w:rPr>
        <w:t>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Печенгского района от 25.06.2021 № 635 (применялось с 01.01.2021) (далее – Положение о формировании муниципального задания от  25.06.2021 № 635)</w:t>
      </w:r>
      <w:r w:rsidR="001217D9" w:rsidRPr="00C372D9">
        <w:rPr>
          <w:sz w:val="24"/>
          <w:szCs w:val="24"/>
        </w:rPr>
        <w:t xml:space="preserve"> размер субсидии в соглашении  </w:t>
      </w:r>
      <w:r w:rsidR="00CC4137">
        <w:rPr>
          <w:sz w:val="24"/>
          <w:szCs w:val="24"/>
        </w:rPr>
        <w:t xml:space="preserve">от </w:t>
      </w:r>
      <w:r w:rsidR="00CC4137" w:rsidRPr="00CC4137">
        <w:rPr>
          <w:sz w:val="24"/>
          <w:szCs w:val="24"/>
        </w:rPr>
        <w:t xml:space="preserve">21 января 2021г </w:t>
      </w:r>
      <w:r w:rsidR="001217D9" w:rsidRPr="00C372D9">
        <w:rPr>
          <w:sz w:val="24"/>
          <w:szCs w:val="24"/>
        </w:rPr>
        <w:t>не соответствует объему финансового обеспечения выполнения муниципального</w:t>
      </w:r>
      <w:proofErr w:type="gramEnd"/>
      <w:r w:rsidR="001217D9" w:rsidRPr="00C372D9">
        <w:rPr>
          <w:sz w:val="24"/>
          <w:szCs w:val="24"/>
        </w:rPr>
        <w:t xml:space="preserve"> задания</w:t>
      </w:r>
      <w:r w:rsidR="00CC4137">
        <w:rPr>
          <w:sz w:val="24"/>
          <w:szCs w:val="24"/>
        </w:rPr>
        <w:t>.</w:t>
      </w:r>
      <w:r w:rsidR="001217D9" w:rsidRPr="00C372D9">
        <w:rPr>
          <w:sz w:val="24"/>
          <w:szCs w:val="24"/>
        </w:rPr>
        <w:t xml:space="preserve"> </w:t>
      </w:r>
    </w:p>
    <w:p w:rsidR="001217D9" w:rsidRPr="00C372D9" w:rsidRDefault="0090390F" w:rsidP="001217D9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нарушение п. 3.9</w:t>
      </w:r>
      <w:r w:rsidR="001217D9" w:rsidRPr="00C372D9">
        <w:rPr>
          <w:sz w:val="24"/>
          <w:szCs w:val="24"/>
        </w:rPr>
        <w:t xml:space="preserve"> </w:t>
      </w:r>
      <w:r w:rsidR="008F11CE" w:rsidRPr="008F11CE">
        <w:rPr>
          <w:sz w:val="24"/>
          <w:szCs w:val="24"/>
        </w:rPr>
        <w:t xml:space="preserve">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Печенгский муниципальный округ, утвержденного постановлением администрации Печенгского района от 19.10.2020 № 1051, от 22.06.2021 </w:t>
      </w:r>
      <w:r w:rsidR="008F11CE" w:rsidRPr="008F11CE">
        <w:rPr>
          <w:sz w:val="24"/>
          <w:szCs w:val="24"/>
        </w:rPr>
        <w:lastRenderedPageBreak/>
        <w:t>№ 625 (далее – Порядок от 19.10.2020 № 1051, Порядок от 22.06.2021 № 625)</w:t>
      </w:r>
      <w:r w:rsidR="008F11CE">
        <w:rPr>
          <w:sz w:val="24"/>
          <w:szCs w:val="24"/>
        </w:rPr>
        <w:t xml:space="preserve"> </w:t>
      </w:r>
      <w:r w:rsidR="00E16CCD">
        <w:rPr>
          <w:sz w:val="24"/>
          <w:szCs w:val="24"/>
        </w:rPr>
        <w:t>в 2021</w:t>
      </w:r>
      <w:r w:rsidR="00EF2B84">
        <w:rPr>
          <w:sz w:val="24"/>
          <w:szCs w:val="24"/>
        </w:rPr>
        <w:t xml:space="preserve">-2022 </w:t>
      </w:r>
      <w:r w:rsidR="00E16CCD">
        <w:rPr>
          <w:sz w:val="24"/>
          <w:szCs w:val="24"/>
        </w:rPr>
        <w:t xml:space="preserve"> год</w:t>
      </w:r>
      <w:r w:rsidR="00EF2B84">
        <w:rPr>
          <w:sz w:val="24"/>
          <w:szCs w:val="24"/>
        </w:rPr>
        <w:t>ах</w:t>
      </w:r>
      <w:r w:rsidR="00E16CCD">
        <w:rPr>
          <w:sz w:val="24"/>
          <w:szCs w:val="24"/>
        </w:rPr>
        <w:t xml:space="preserve"> </w:t>
      </w:r>
      <w:r w:rsidR="001217D9" w:rsidRPr="00C372D9">
        <w:rPr>
          <w:sz w:val="24"/>
          <w:szCs w:val="24"/>
        </w:rPr>
        <w:t xml:space="preserve">не предоставлен расчет расходов на оплату труда (в соответствии со штатной численностью, должностными окладами). </w:t>
      </w:r>
      <w:proofErr w:type="gramEnd"/>
    </w:p>
    <w:p w:rsidR="001217D9" w:rsidRPr="00C372D9" w:rsidRDefault="001217D9" w:rsidP="001217D9">
      <w:pPr>
        <w:ind w:firstLine="851"/>
        <w:jc w:val="both"/>
        <w:rPr>
          <w:sz w:val="24"/>
          <w:szCs w:val="24"/>
        </w:rPr>
      </w:pPr>
      <w:r w:rsidRPr="00C372D9">
        <w:rPr>
          <w:sz w:val="24"/>
          <w:szCs w:val="24"/>
        </w:rPr>
        <w:t>В нарушение п. 3</w:t>
      </w:r>
      <w:r w:rsidR="0090390F">
        <w:rPr>
          <w:sz w:val="24"/>
          <w:szCs w:val="24"/>
        </w:rPr>
        <w:t>.16</w:t>
      </w:r>
      <w:r w:rsidRPr="00C372D9">
        <w:rPr>
          <w:sz w:val="24"/>
          <w:szCs w:val="24"/>
        </w:rPr>
        <w:t xml:space="preserve"> Порядков от 19.10.2020 № 1051, от 22.06.2021 № 625 </w:t>
      </w:r>
      <w:r w:rsidR="00647535">
        <w:rPr>
          <w:sz w:val="24"/>
          <w:szCs w:val="24"/>
        </w:rPr>
        <w:t>в 2021</w:t>
      </w:r>
      <w:r w:rsidR="00071480">
        <w:rPr>
          <w:sz w:val="24"/>
          <w:szCs w:val="24"/>
        </w:rPr>
        <w:t xml:space="preserve">-2022 </w:t>
      </w:r>
      <w:r w:rsidR="00647535">
        <w:rPr>
          <w:sz w:val="24"/>
          <w:szCs w:val="24"/>
        </w:rPr>
        <w:t>год</w:t>
      </w:r>
      <w:r w:rsidR="00071480">
        <w:rPr>
          <w:sz w:val="24"/>
          <w:szCs w:val="24"/>
        </w:rPr>
        <w:t>ах</w:t>
      </w:r>
      <w:r w:rsidR="00647535">
        <w:rPr>
          <w:sz w:val="24"/>
          <w:szCs w:val="24"/>
        </w:rPr>
        <w:t xml:space="preserve"> </w:t>
      </w:r>
      <w:r w:rsidRPr="00C372D9">
        <w:rPr>
          <w:sz w:val="24"/>
          <w:szCs w:val="24"/>
        </w:rPr>
        <w:t xml:space="preserve">в расчетах расходов на оплату услуг связи учитывалось неверное количество абонентских номеров, подключенных к сети связи. </w:t>
      </w:r>
    </w:p>
    <w:p w:rsidR="001217D9" w:rsidRPr="00C372D9" w:rsidRDefault="00903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 3.18</w:t>
      </w:r>
      <w:r w:rsidR="001217D9" w:rsidRPr="00C372D9">
        <w:rPr>
          <w:sz w:val="24"/>
          <w:szCs w:val="24"/>
        </w:rPr>
        <w:t xml:space="preserve"> Порядков от 19.10.2020 № 1051, от 22.06.2021 № 625 </w:t>
      </w:r>
      <w:r w:rsidR="00647535" w:rsidRPr="00647535">
        <w:rPr>
          <w:sz w:val="24"/>
          <w:szCs w:val="24"/>
        </w:rPr>
        <w:t>в 2021</w:t>
      </w:r>
      <w:r w:rsidR="00071480">
        <w:rPr>
          <w:sz w:val="24"/>
          <w:szCs w:val="24"/>
        </w:rPr>
        <w:t>-2022</w:t>
      </w:r>
      <w:r w:rsidR="00647535" w:rsidRPr="00647535">
        <w:rPr>
          <w:sz w:val="24"/>
          <w:szCs w:val="24"/>
        </w:rPr>
        <w:t xml:space="preserve"> год</w:t>
      </w:r>
      <w:r w:rsidR="00071480">
        <w:rPr>
          <w:sz w:val="24"/>
          <w:szCs w:val="24"/>
        </w:rPr>
        <w:t>ах</w:t>
      </w:r>
      <w:r w:rsidR="00647535" w:rsidRPr="00647535">
        <w:rPr>
          <w:sz w:val="24"/>
          <w:szCs w:val="24"/>
        </w:rPr>
        <w:t xml:space="preserve"> </w:t>
      </w:r>
      <w:r w:rsidR="001217D9" w:rsidRPr="00C372D9">
        <w:rPr>
          <w:sz w:val="24"/>
          <w:szCs w:val="24"/>
        </w:rPr>
        <w:t>расчет расходов на коммунальные услуги осуществлялся из расходов на отопление и горячее водоснабжение без учета  тарифов на оказание коммунальных услуг  и размера потребления ресурсов.</w:t>
      </w:r>
      <w:r w:rsidR="00647535">
        <w:rPr>
          <w:sz w:val="24"/>
          <w:szCs w:val="24"/>
        </w:rPr>
        <w:t xml:space="preserve"> </w:t>
      </w:r>
    </w:p>
    <w:p w:rsidR="001217D9" w:rsidRPr="00C372D9" w:rsidRDefault="00903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 3.17</w:t>
      </w:r>
      <w:r w:rsidR="001217D9" w:rsidRPr="00C372D9">
        <w:rPr>
          <w:sz w:val="24"/>
          <w:szCs w:val="24"/>
        </w:rPr>
        <w:t xml:space="preserve"> Порядков от 19.10.2020 № 1051, от 22.06.2021 № 625 </w:t>
      </w:r>
      <w:r w:rsidR="00647535" w:rsidRPr="00647535">
        <w:rPr>
          <w:sz w:val="24"/>
          <w:szCs w:val="24"/>
        </w:rPr>
        <w:t>в 2021</w:t>
      </w:r>
      <w:r w:rsidR="00071480">
        <w:rPr>
          <w:sz w:val="24"/>
          <w:szCs w:val="24"/>
        </w:rPr>
        <w:t>-2022</w:t>
      </w:r>
      <w:r w:rsidR="00647535" w:rsidRPr="00647535">
        <w:rPr>
          <w:sz w:val="24"/>
          <w:szCs w:val="24"/>
        </w:rPr>
        <w:t xml:space="preserve"> год</w:t>
      </w:r>
      <w:r w:rsidR="00071480">
        <w:rPr>
          <w:sz w:val="24"/>
          <w:szCs w:val="24"/>
        </w:rPr>
        <w:t>ах</w:t>
      </w:r>
      <w:r w:rsidR="00647535" w:rsidRPr="00647535">
        <w:rPr>
          <w:sz w:val="24"/>
          <w:szCs w:val="24"/>
        </w:rPr>
        <w:t xml:space="preserve"> </w:t>
      </w:r>
      <w:r w:rsidR="001217D9" w:rsidRPr="00C372D9">
        <w:rPr>
          <w:sz w:val="24"/>
          <w:szCs w:val="24"/>
        </w:rPr>
        <w:t>расчет расходов на транспортные услуги осуществлялся без учета видов услуг по перевозке (транспортировке) грузов (без указания количества заключенных договоров и стоимости указанных услуг).</w:t>
      </w:r>
      <w:r w:rsidR="00647535">
        <w:rPr>
          <w:sz w:val="24"/>
          <w:szCs w:val="24"/>
        </w:rPr>
        <w:t xml:space="preserve"> </w:t>
      </w:r>
    </w:p>
    <w:p w:rsidR="001217D9" w:rsidRPr="00C372D9" w:rsidRDefault="00903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 3.25</w:t>
      </w:r>
      <w:r w:rsidR="001217D9" w:rsidRPr="00C372D9">
        <w:rPr>
          <w:sz w:val="24"/>
          <w:szCs w:val="24"/>
        </w:rPr>
        <w:t xml:space="preserve"> Порядков от 19.10.2020 № 1051, от 22.06.2021 № 625 </w:t>
      </w:r>
      <w:r w:rsidR="00647535" w:rsidRPr="00647535">
        <w:rPr>
          <w:sz w:val="24"/>
          <w:szCs w:val="24"/>
        </w:rPr>
        <w:t>в 2021</w:t>
      </w:r>
      <w:r w:rsidR="00071480">
        <w:rPr>
          <w:sz w:val="24"/>
          <w:szCs w:val="24"/>
        </w:rPr>
        <w:t>-2022</w:t>
      </w:r>
      <w:r w:rsidR="00647535" w:rsidRPr="00647535">
        <w:rPr>
          <w:sz w:val="24"/>
          <w:szCs w:val="24"/>
        </w:rPr>
        <w:t xml:space="preserve"> год</w:t>
      </w:r>
      <w:r w:rsidR="00071480">
        <w:rPr>
          <w:sz w:val="24"/>
          <w:szCs w:val="24"/>
        </w:rPr>
        <w:t>ах</w:t>
      </w:r>
      <w:r w:rsidR="00647535" w:rsidRPr="00647535">
        <w:rPr>
          <w:sz w:val="24"/>
          <w:szCs w:val="24"/>
        </w:rPr>
        <w:t xml:space="preserve"> </w:t>
      </w:r>
      <w:r w:rsidR="001217D9" w:rsidRPr="00C372D9">
        <w:rPr>
          <w:sz w:val="24"/>
          <w:szCs w:val="24"/>
        </w:rPr>
        <w:t>расчет расходов на приобретение материальных запасов осуществлялся без учета потребности в материальных запасах (отсутствуют значения количества и средней стоимости материальных запасов).</w:t>
      </w:r>
      <w:r w:rsidR="00647535">
        <w:rPr>
          <w:sz w:val="24"/>
          <w:szCs w:val="24"/>
        </w:rPr>
        <w:t xml:space="preserve"> </w:t>
      </w:r>
    </w:p>
    <w:p w:rsidR="001217D9" w:rsidRPr="00C372D9" w:rsidRDefault="00B422CF" w:rsidP="001217D9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нарушение п.п.3.1</w:t>
      </w:r>
      <w:r w:rsidR="001217D9" w:rsidRPr="00C372D9">
        <w:rPr>
          <w:sz w:val="24"/>
          <w:szCs w:val="24"/>
        </w:rPr>
        <w:t>, 4.1 Положения об оплате труда работников МБУ «СК «Металлург» от 04.03.2020</w:t>
      </w:r>
      <w:r w:rsidR="0054112A">
        <w:rPr>
          <w:sz w:val="24"/>
          <w:szCs w:val="24"/>
        </w:rPr>
        <w:t xml:space="preserve"> </w:t>
      </w:r>
      <w:r w:rsidR="0054112A" w:rsidRPr="0054112A">
        <w:rPr>
          <w:sz w:val="24"/>
          <w:szCs w:val="24"/>
        </w:rPr>
        <w:t>№ 47 о/д</w:t>
      </w:r>
      <w:r w:rsidR="001217D9" w:rsidRPr="00C372D9">
        <w:rPr>
          <w:sz w:val="24"/>
          <w:szCs w:val="24"/>
        </w:rPr>
        <w:t xml:space="preserve">, минимальные размеры окладов работников учреждения, осуществляющих профессиональную деятельность по общеотраслевым должностям служащих по профессиональным квалификационным группам, осуществляющих профессиональную деятельность по общеотраслевым профессиям рабочих, не соответствуют размерам окладов, установленных Приказом </w:t>
      </w:r>
      <w:proofErr w:type="spellStart"/>
      <w:r w:rsidR="001217D9" w:rsidRPr="00C372D9">
        <w:rPr>
          <w:sz w:val="24"/>
          <w:szCs w:val="24"/>
        </w:rPr>
        <w:t>Минтрудсоцразвития</w:t>
      </w:r>
      <w:proofErr w:type="spellEnd"/>
      <w:r w:rsidR="001217D9" w:rsidRPr="00C372D9">
        <w:rPr>
          <w:sz w:val="24"/>
          <w:szCs w:val="24"/>
        </w:rPr>
        <w:t xml:space="preserve"> Мурманской области от 07.06.2011 № 295 (ред. от 24.12.2013). </w:t>
      </w:r>
      <w:proofErr w:type="gramEnd"/>
    </w:p>
    <w:p w:rsidR="001217D9" w:rsidRPr="001217D9" w:rsidRDefault="001217D9" w:rsidP="001217D9">
      <w:pPr>
        <w:ind w:firstLine="851"/>
        <w:jc w:val="both"/>
        <w:rPr>
          <w:sz w:val="24"/>
          <w:szCs w:val="24"/>
          <w:highlight w:val="lightGray"/>
        </w:rPr>
      </w:pPr>
      <w:proofErr w:type="gramStart"/>
      <w:r w:rsidRPr="00A03159">
        <w:rPr>
          <w:sz w:val="24"/>
          <w:szCs w:val="24"/>
        </w:rPr>
        <w:t>В нарушение Приложений 1, 2 к постановлению администрации Печенгского муниципального округа от 30.09.2021 № 1049 «О внесении изменений в примерное положение об оплате труда работников МБУ «СК «Металлург», подведомственного администрации муниципального образования городское поселение Никель утвержденное постановлением администрации городского поселения Никель Печенгского района от 23.11.2015 № 133, размеры окладов работников учреждения, осуществляющих профессиональную деятельность по общеотраслевым должностям служащих по профессиональным квалификационным группам</w:t>
      </w:r>
      <w:proofErr w:type="gramEnd"/>
      <w:r w:rsidRPr="00A03159">
        <w:rPr>
          <w:sz w:val="24"/>
          <w:szCs w:val="24"/>
        </w:rPr>
        <w:t xml:space="preserve">, осуществляющих профессиональную деятельность по общеотраслевым профессиям рабочих, не соответствуют размерам окладов, установленных постановлением администрации Печенгского муниципального округа от 30.09.2021 № 1049. </w:t>
      </w:r>
    </w:p>
    <w:p w:rsidR="001217D9" w:rsidRPr="00A03159" w:rsidRDefault="001217D9" w:rsidP="001217D9">
      <w:pPr>
        <w:ind w:firstLine="851"/>
        <w:jc w:val="both"/>
        <w:rPr>
          <w:sz w:val="24"/>
          <w:szCs w:val="24"/>
        </w:rPr>
      </w:pPr>
      <w:r w:rsidRPr="00A03159">
        <w:rPr>
          <w:bCs/>
          <w:sz w:val="24"/>
          <w:szCs w:val="24"/>
        </w:rPr>
        <w:t xml:space="preserve">В нарушение ст. 60.1 Трудового кодекса РФ </w:t>
      </w:r>
      <w:r w:rsidR="00A03159" w:rsidRPr="00A03159">
        <w:rPr>
          <w:bCs/>
          <w:sz w:val="24"/>
          <w:szCs w:val="24"/>
        </w:rPr>
        <w:t>от 30.12.2001 № 197-ФЗ (ред. от 25.02.2022)</w:t>
      </w:r>
      <w:r w:rsidR="00A03159">
        <w:rPr>
          <w:bCs/>
          <w:sz w:val="24"/>
          <w:szCs w:val="24"/>
        </w:rPr>
        <w:t xml:space="preserve"> </w:t>
      </w:r>
      <w:r w:rsidRPr="00A03159">
        <w:rPr>
          <w:bCs/>
          <w:sz w:val="24"/>
          <w:szCs w:val="24"/>
        </w:rPr>
        <w:t>у</w:t>
      </w:r>
      <w:r w:rsidRPr="00A03159">
        <w:rPr>
          <w:sz w:val="24"/>
          <w:szCs w:val="24"/>
        </w:rPr>
        <w:t>становлены случаи, когда внешний совместитель принят на работу внутренним совместителем</w:t>
      </w:r>
      <w:r w:rsidR="008B47C8">
        <w:rPr>
          <w:sz w:val="24"/>
          <w:szCs w:val="24"/>
        </w:rPr>
        <w:t>.</w:t>
      </w:r>
    </w:p>
    <w:p w:rsidR="000C4C8A" w:rsidRDefault="001217D9" w:rsidP="004756EF">
      <w:pPr>
        <w:ind w:firstLine="851"/>
        <w:jc w:val="both"/>
        <w:rPr>
          <w:i/>
          <w:sz w:val="24"/>
          <w:szCs w:val="24"/>
        </w:rPr>
      </w:pPr>
      <w:r w:rsidRPr="00A03159">
        <w:rPr>
          <w:sz w:val="24"/>
          <w:szCs w:val="24"/>
        </w:rPr>
        <w:t xml:space="preserve">В нарушение ст. 284 Трудового Кодекса РФ </w:t>
      </w:r>
      <w:r w:rsidR="00A03159" w:rsidRPr="00A03159">
        <w:rPr>
          <w:bCs/>
          <w:sz w:val="24"/>
          <w:szCs w:val="24"/>
        </w:rPr>
        <w:t xml:space="preserve">от 30.12.2001 № 197-ФЗ (ред. от 25.02.2022) </w:t>
      </w:r>
      <w:r w:rsidRPr="00A03159">
        <w:rPr>
          <w:sz w:val="24"/>
          <w:szCs w:val="24"/>
        </w:rPr>
        <w:t xml:space="preserve">установлены случаи, когда продолжительность рабочего времени при работе по совместительству </w:t>
      </w:r>
      <w:r w:rsidRPr="008F11CE">
        <w:rPr>
          <w:sz w:val="24"/>
          <w:szCs w:val="24"/>
        </w:rPr>
        <w:t xml:space="preserve">превышает половину </w:t>
      </w:r>
      <w:r w:rsidR="00513DCC" w:rsidRPr="008F11CE">
        <w:rPr>
          <w:sz w:val="24"/>
          <w:szCs w:val="24"/>
        </w:rPr>
        <w:t>месячной нормы рабочего времени.</w:t>
      </w:r>
      <w:r w:rsidRPr="00513DCC">
        <w:rPr>
          <w:i/>
          <w:sz w:val="24"/>
          <w:szCs w:val="24"/>
        </w:rPr>
        <w:t xml:space="preserve">  </w:t>
      </w:r>
    </w:p>
    <w:p w:rsidR="0057760D" w:rsidRDefault="001217D9" w:rsidP="00272501">
      <w:pPr>
        <w:ind w:firstLine="851"/>
        <w:jc w:val="both"/>
        <w:rPr>
          <w:sz w:val="24"/>
          <w:szCs w:val="24"/>
        </w:rPr>
      </w:pPr>
      <w:r w:rsidRPr="00A03159">
        <w:rPr>
          <w:sz w:val="24"/>
          <w:szCs w:val="24"/>
        </w:rPr>
        <w:t xml:space="preserve">В нарушение статей 60.2., 151 Трудового Кодекса РФ </w:t>
      </w:r>
      <w:r w:rsidR="00835C88" w:rsidRPr="00835C88">
        <w:rPr>
          <w:bCs/>
          <w:sz w:val="24"/>
          <w:szCs w:val="24"/>
        </w:rPr>
        <w:t>от 30.12.2001 № 197-ФЗ (ред. от 25.02.2022)</w:t>
      </w:r>
      <w:r w:rsidR="00835C88">
        <w:rPr>
          <w:bCs/>
          <w:sz w:val="24"/>
          <w:szCs w:val="24"/>
        </w:rPr>
        <w:t xml:space="preserve"> </w:t>
      </w:r>
      <w:r w:rsidRPr="00A03159">
        <w:rPr>
          <w:sz w:val="24"/>
          <w:szCs w:val="24"/>
        </w:rPr>
        <w:t xml:space="preserve">установлены случаи, когда работникам производилась доплата за расширение зон обслуживания, увеличение объема работ при отсутствии вакантных ставок (должностей, профессий). </w:t>
      </w:r>
    </w:p>
    <w:p w:rsidR="001217D9" w:rsidRPr="00A03159" w:rsidRDefault="00B422C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 3.10, 4.5</w:t>
      </w:r>
      <w:r w:rsidR="001217D9" w:rsidRPr="00A03159">
        <w:rPr>
          <w:sz w:val="24"/>
          <w:szCs w:val="24"/>
        </w:rPr>
        <w:t xml:space="preserve"> Положения об оплате труда </w:t>
      </w:r>
      <w:r w:rsidR="005971CD" w:rsidRPr="005971CD">
        <w:rPr>
          <w:sz w:val="24"/>
          <w:szCs w:val="24"/>
        </w:rPr>
        <w:t xml:space="preserve">от 04.03.2020 № 47 о/д </w:t>
      </w:r>
      <w:r w:rsidR="001217D9" w:rsidRPr="00A03159">
        <w:rPr>
          <w:sz w:val="24"/>
          <w:szCs w:val="24"/>
        </w:rPr>
        <w:t>установлены случаи неверного установления размера выплат стимулирующего характера за общий стаж работы в учреждениях физической культуры и спорта.</w:t>
      </w:r>
      <w:r w:rsidR="005971CD">
        <w:rPr>
          <w:sz w:val="24"/>
          <w:szCs w:val="24"/>
        </w:rPr>
        <w:t xml:space="preserve"> </w:t>
      </w:r>
    </w:p>
    <w:p w:rsidR="001217D9" w:rsidRPr="00846247" w:rsidRDefault="001217D9" w:rsidP="001217D9">
      <w:pPr>
        <w:ind w:firstLine="851"/>
        <w:jc w:val="both"/>
        <w:rPr>
          <w:sz w:val="24"/>
          <w:szCs w:val="24"/>
        </w:rPr>
      </w:pPr>
      <w:r w:rsidRPr="00846247">
        <w:rPr>
          <w:sz w:val="24"/>
          <w:szCs w:val="24"/>
        </w:rPr>
        <w:t>В проверяемый период с 01.01.2020 по 31.03.2022 МБУ «СК «Металлург» заключены договоры возмездного оказания услуг с физическими лицами</w:t>
      </w:r>
      <w:r w:rsidRPr="00846247">
        <w:rPr>
          <w:bCs/>
          <w:sz w:val="24"/>
          <w:szCs w:val="24"/>
        </w:rPr>
        <w:t xml:space="preserve">, при наличии в штатном расписании должностей дежурного по зданию, сторожа, уборщика территорий, </w:t>
      </w:r>
      <w:r w:rsidRPr="00846247">
        <w:rPr>
          <w:bCs/>
          <w:sz w:val="24"/>
          <w:szCs w:val="24"/>
        </w:rPr>
        <w:lastRenderedPageBreak/>
        <w:t>уборщика служебных помещений, гардеробщика,  администратора, администратора по спорту, инструктора по спорту, кассира</w:t>
      </w:r>
      <w:r w:rsidR="00846247">
        <w:rPr>
          <w:sz w:val="24"/>
          <w:szCs w:val="24"/>
        </w:rPr>
        <w:t>.</w:t>
      </w:r>
      <w:r w:rsidRPr="00846247">
        <w:rPr>
          <w:sz w:val="24"/>
          <w:szCs w:val="24"/>
        </w:rPr>
        <w:t xml:space="preserve"> </w:t>
      </w:r>
    </w:p>
    <w:p w:rsidR="001217D9" w:rsidRPr="008269E5" w:rsidRDefault="001217D9" w:rsidP="001217D9">
      <w:pPr>
        <w:ind w:firstLine="851"/>
        <w:jc w:val="both"/>
        <w:rPr>
          <w:sz w:val="24"/>
          <w:szCs w:val="24"/>
        </w:rPr>
      </w:pPr>
      <w:r w:rsidRPr="008269E5">
        <w:rPr>
          <w:sz w:val="24"/>
          <w:szCs w:val="24"/>
        </w:rPr>
        <w:t>Договоры согласованы главным бухгалтером МБУ</w:t>
      </w:r>
      <w:r w:rsidR="0054112A">
        <w:rPr>
          <w:sz w:val="24"/>
          <w:szCs w:val="24"/>
        </w:rPr>
        <w:t xml:space="preserve"> </w:t>
      </w:r>
      <w:r w:rsidRPr="008269E5">
        <w:rPr>
          <w:sz w:val="24"/>
          <w:szCs w:val="24"/>
        </w:rPr>
        <w:t>«Централизованная бухгалтерия по обслуживанию муниципальных учреждений», отделом по сопровождению деятельности муниципальных заказчиков, финансовым управлением администрации Печенгского района, финансовым управлением администрации Печенгского муниципального округа, оплачены на основании акта приемки оказанных услуг.</w:t>
      </w:r>
    </w:p>
    <w:p w:rsidR="001217D9" w:rsidRPr="008269E5" w:rsidRDefault="008269E5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1217D9" w:rsidRPr="008269E5">
        <w:rPr>
          <w:sz w:val="24"/>
          <w:szCs w:val="24"/>
        </w:rPr>
        <w:t xml:space="preserve">аключение договоров возмездного оказания услуг носит системный, продолжительный характер, они регулярно заключаются с одними и теми же работниками в течение длительного времени (весь проверяемый период). </w:t>
      </w:r>
    </w:p>
    <w:p w:rsidR="0052490F" w:rsidRDefault="001217D9" w:rsidP="0026071B">
      <w:pPr>
        <w:ind w:firstLine="851"/>
        <w:jc w:val="both"/>
        <w:rPr>
          <w:sz w:val="24"/>
          <w:szCs w:val="24"/>
        </w:rPr>
      </w:pPr>
      <w:r w:rsidRPr="008269E5">
        <w:rPr>
          <w:sz w:val="24"/>
          <w:szCs w:val="24"/>
        </w:rPr>
        <w:t>Выполнение физическими лицами трудовой функции по основной деятельности учреждения свидетельствует о наличии трудовых правоо</w:t>
      </w:r>
      <w:r w:rsidR="0026071B">
        <w:rPr>
          <w:sz w:val="24"/>
          <w:szCs w:val="24"/>
        </w:rPr>
        <w:t>тношений.</w:t>
      </w:r>
      <w:r w:rsidR="0026071B">
        <w:rPr>
          <w:sz w:val="24"/>
          <w:szCs w:val="24"/>
        </w:rPr>
        <w:tab/>
      </w:r>
      <w:r w:rsidR="00DF7D2F">
        <w:rPr>
          <w:sz w:val="24"/>
          <w:szCs w:val="24"/>
        </w:rPr>
        <w:t xml:space="preserve"> </w:t>
      </w:r>
    </w:p>
    <w:p w:rsidR="001217D9" w:rsidRPr="008269E5" w:rsidRDefault="001217D9" w:rsidP="0026071B">
      <w:pPr>
        <w:ind w:firstLine="851"/>
        <w:jc w:val="both"/>
        <w:rPr>
          <w:sz w:val="24"/>
          <w:szCs w:val="24"/>
        </w:rPr>
      </w:pPr>
      <w:r w:rsidRPr="008269E5">
        <w:rPr>
          <w:sz w:val="24"/>
          <w:szCs w:val="24"/>
        </w:rPr>
        <w:t>Перечисленные</w:t>
      </w:r>
      <w:r w:rsidR="008B47C8">
        <w:rPr>
          <w:sz w:val="24"/>
          <w:szCs w:val="24"/>
        </w:rPr>
        <w:t xml:space="preserve"> </w:t>
      </w:r>
      <w:r w:rsidR="0026071B">
        <w:rPr>
          <w:sz w:val="24"/>
          <w:szCs w:val="24"/>
        </w:rPr>
        <w:t xml:space="preserve"> </w:t>
      </w:r>
      <w:r w:rsidRPr="008269E5">
        <w:rPr>
          <w:sz w:val="24"/>
          <w:szCs w:val="24"/>
        </w:rPr>
        <w:t>признаки в их совокупности и взаимосвязи являются признаками трудовых отношений, предусмотренными ст. 15, 56, 59 Трудового кодекса РФ от 30.12.2001 № 197-ФЗ.</w:t>
      </w:r>
    </w:p>
    <w:p w:rsidR="001217D9" w:rsidRPr="008269E5" w:rsidRDefault="001217D9" w:rsidP="001217D9">
      <w:pPr>
        <w:ind w:firstLine="851"/>
        <w:jc w:val="both"/>
        <w:rPr>
          <w:bCs/>
          <w:sz w:val="24"/>
          <w:szCs w:val="24"/>
        </w:rPr>
      </w:pPr>
      <w:r w:rsidRPr="008269E5">
        <w:rPr>
          <w:bCs/>
          <w:sz w:val="24"/>
          <w:szCs w:val="24"/>
        </w:rPr>
        <w:t xml:space="preserve">В нарушение требований, установленных ст. 15 Трудового кодекса РФ </w:t>
      </w:r>
      <w:r w:rsidR="00835C88" w:rsidRPr="00835C88">
        <w:rPr>
          <w:bCs/>
          <w:sz w:val="24"/>
          <w:szCs w:val="24"/>
        </w:rPr>
        <w:t xml:space="preserve">от 30.12.2001 № 197-ФЗ </w:t>
      </w:r>
      <w:r w:rsidRPr="008269E5">
        <w:rPr>
          <w:bCs/>
          <w:sz w:val="24"/>
          <w:szCs w:val="24"/>
        </w:rPr>
        <w:t>заключены договоры возмездного оказания услуг (гражданско-правовые договоры), регулирующие трудовые отношения между работниками и работодателем.</w:t>
      </w:r>
    </w:p>
    <w:p w:rsidR="0026071B" w:rsidRDefault="008269E5" w:rsidP="001217D9">
      <w:pPr>
        <w:ind w:firstLine="851"/>
        <w:jc w:val="both"/>
        <w:rPr>
          <w:sz w:val="24"/>
          <w:szCs w:val="24"/>
        </w:rPr>
      </w:pPr>
      <w:r w:rsidRPr="0026071B">
        <w:rPr>
          <w:sz w:val="24"/>
          <w:szCs w:val="24"/>
        </w:rPr>
        <w:t>У</w:t>
      </w:r>
      <w:r w:rsidR="001217D9" w:rsidRPr="0026071B">
        <w:rPr>
          <w:sz w:val="24"/>
          <w:szCs w:val="24"/>
        </w:rPr>
        <w:t>клонение от заключения трудового договора приводит к зан</w:t>
      </w:r>
      <w:r w:rsidR="0026071B" w:rsidRPr="0026071B">
        <w:rPr>
          <w:sz w:val="24"/>
          <w:szCs w:val="24"/>
        </w:rPr>
        <w:t>ижению базы для начисления и не</w:t>
      </w:r>
      <w:r w:rsidR="001217D9" w:rsidRPr="0026071B">
        <w:rPr>
          <w:sz w:val="24"/>
          <w:szCs w:val="24"/>
        </w:rPr>
        <w:t xml:space="preserve">уплате страховых взносов в Фонд социального страхования. </w:t>
      </w:r>
    </w:p>
    <w:p w:rsidR="001217D9" w:rsidRPr="00846247" w:rsidRDefault="001217D9" w:rsidP="001217D9">
      <w:pPr>
        <w:ind w:firstLine="851"/>
        <w:jc w:val="both"/>
        <w:rPr>
          <w:sz w:val="24"/>
          <w:szCs w:val="24"/>
        </w:rPr>
      </w:pPr>
      <w:r w:rsidRPr="00846247">
        <w:rPr>
          <w:sz w:val="24"/>
          <w:szCs w:val="24"/>
        </w:rPr>
        <w:t xml:space="preserve">Всего в проверяемый период МБУ «СК «Металлург» неправомерно заключены договоры возмездного оказания услуг </w:t>
      </w:r>
      <w:r w:rsidR="0054112A">
        <w:rPr>
          <w:sz w:val="24"/>
          <w:szCs w:val="24"/>
        </w:rPr>
        <w:t xml:space="preserve">с </w:t>
      </w:r>
      <w:r w:rsidRPr="00846247">
        <w:rPr>
          <w:sz w:val="24"/>
          <w:szCs w:val="24"/>
        </w:rPr>
        <w:t>физическими лицами:</w:t>
      </w:r>
    </w:p>
    <w:p w:rsidR="001217D9" w:rsidRPr="00846247" w:rsidRDefault="001217D9" w:rsidP="001217D9">
      <w:pPr>
        <w:ind w:firstLine="851"/>
        <w:jc w:val="both"/>
        <w:rPr>
          <w:sz w:val="24"/>
          <w:szCs w:val="24"/>
        </w:rPr>
      </w:pPr>
      <w:r w:rsidRPr="00846247">
        <w:rPr>
          <w:sz w:val="24"/>
          <w:szCs w:val="24"/>
        </w:rPr>
        <w:t xml:space="preserve">- в 2020 году на сумму 496 946,00 руб., </w:t>
      </w:r>
    </w:p>
    <w:p w:rsidR="001217D9" w:rsidRPr="00846247" w:rsidRDefault="001217D9" w:rsidP="001217D9">
      <w:pPr>
        <w:ind w:firstLine="851"/>
        <w:jc w:val="both"/>
        <w:rPr>
          <w:sz w:val="24"/>
          <w:szCs w:val="24"/>
        </w:rPr>
      </w:pPr>
      <w:r w:rsidRPr="00846247">
        <w:rPr>
          <w:sz w:val="24"/>
          <w:szCs w:val="24"/>
        </w:rPr>
        <w:t>- в 2021 год на сумму 729 469,40 руб.,</w:t>
      </w:r>
    </w:p>
    <w:p w:rsidR="00846247" w:rsidRDefault="001217D9" w:rsidP="001217D9">
      <w:pPr>
        <w:ind w:firstLine="851"/>
        <w:jc w:val="both"/>
        <w:rPr>
          <w:sz w:val="24"/>
          <w:szCs w:val="24"/>
        </w:rPr>
      </w:pPr>
      <w:r w:rsidRPr="00846247">
        <w:rPr>
          <w:sz w:val="24"/>
          <w:szCs w:val="24"/>
        </w:rPr>
        <w:t xml:space="preserve">- в </w:t>
      </w:r>
      <w:r w:rsidRPr="00846247">
        <w:rPr>
          <w:sz w:val="24"/>
          <w:szCs w:val="24"/>
          <w:lang w:val="en-US"/>
        </w:rPr>
        <w:t>I</w:t>
      </w:r>
      <w:r w:rsidRPr="00846247">
        <w:rPr>
          <w:sz w:val="24"/>
          <w:szCs w:val="24"/>
        </w:rPr>
        <w:t xml:space="preserve"> квартал 2022 года на сумму 183 449,65 руб. </w:t>
      </w:r>
    </w:p>
    <w:p w:rsidR="001217D9" w:rsidRPr="00846247" w:rsidRDefault="001217D9" w:rsidP="001217D9">
      <w:pPr>
        <w:ind w:firstLine="851"/>
        <w:jc w:val="both"/>
        <w:rPr>
          <w:sz w:val="24"/>
          <w:szCs w:val="24"/>
        </w:rPr>
      </w:pPr>
      <w:r w:rsidRPr="00846247">
        <w:rPr>
          <w:sz w:val="24"/>
          <w:szCs w:val="24"/>
        </w:rPr>
        <w:t xml:space="preserve">Всего неуплата страховых взносов в 2020 году составляет 15 405,33 руб., в 2021 году – 22 613,55 руб., в </w:t>
      </w:r>
      <w:r w:rsidRPr="00846247">
        <w:rPr>
          <w:sz w:val="24"/>
          <w:szCs w:val="24"/>
          <w:lang w:val="en-US"/>
        </w:rPr>
        <w:t>I</w:t>
      </w:r>
      <w:r w:rsidRPr="00846247">
        <w:rPr>
          <w:sz w:val="24"/>
          <w:szCs w:val="24"/>
        </w:rPr>
        <w:t xml:space="preserve"> квартале 2022 года – 5 686,94 руб.</w:t>
      </w:r>
    </w:p>
    <w:p w:rsidR="001217D9" w:rsidRPr="00A03159" w:rsidRDefault="001217D9" w:rsidP="001217D9">
      <w:pPr>
        <w:ind w:firstLine="851"/>
        <w:jc w:val="both"/>
        <w:rPr>
          <w:sz w:val="24"/>
          <w:szCs w:val="24"/>
        </w:rPr>
      </w:pPr>
      <w:proofErr w:type="gramStart"/>
      <w:r w:rsidRPr="00A03159">
        <w:rPr>
          <w:sz w:val="24"/>
          <w:szCs w:val="24"/>
        </w:rPr>
        <w:t xml:space="preserve">В нарушение </w:t>
      </w:r>
      <w:r w:rsidRPr="00A03159">
        <w:rPr>
          <w:bCs/>
          <w:sz w:val="24"/>
          <w:szCs w:val="24"/>
        </w:rPr>
        <w:t xml:space="preserve">Приложения № 5 к </w:t>
      </w:r>
      <w:r w:rsidR="002B7489" w:rsidRPr="002B7489">
        <w:rPr>
          <w:bCs/>
          <w:sz w:val="24"/>
          <w:szCs w:val="24"/>
        </w:rPr>
        <w:t xml:space="preserve">приказу Минфина РФ от 30.03.2015 № 52н </w:t>
      </w:r>
      <w:r w:rsidRPr="00A03159">
        <w:rPr>
          <w:sz w:val="24"/>
          <w:szCs w:val="24"/>
        </w:rPr>
        <w:t>Журнал операций расчетов по оплате труда (ф. 0504071) с апреля по июнь 2020 года, с января по декабрь 2021 года не подписан главным бухгалтером учреждения или его заместителем и исполнителем, составившим Журнал операций; с июля по декабрь 2020 года не подписан главным бухгалтером или его заместителем.</w:t>
      </w:r>
      <w:proofErr w:type="gramEnd"/>
    </w:p>
    <w:p w:rsidR="001217D9" w:rsidRPr="00A03159" w:rsidRDefault="001217D9" w:rsidP="001217D9">
      <w:pPr>
        <w:ind w:firstLine="851"/>
        <w:jc w:val="both"/>
        <w:rPr>
          <w:sz w:val="24"/>
          <w:szCs w:val="24"/>
        </w:rPr>
      </w:pPr>
      <w:r w:rsidRPr="00A03159">
        <w:rPr>
          <w:sz w:val="24"/>
          <w:szCs w:val="24"/>
        </w:rPr>
        <w:t>В нарушение п. 8.6 Приказа «Об утверждении учетной политики для бухгалтерского и налогового учета» от 23.03.2021 № 7, от 27.12.2019 № 31 принимались к учету авансовые отчеты по приобретенным материальным ценностям за личные средства сотрудников учреждения.</w:t>
      </w:r>
    </w:p>
    <w:p w:rsidR="001217D9" w:rsidRPr="00A03159" w:rsidRDefault="001217D9" w:rsidP="001217D9">
      <w:pPr>
        <w:ind w:firstLine="851"/>
        <w:jc w:val="both"/>
        <w:rPr>
          <w:sz w:val="24"/>
          <w:szCs w:val="24"/>
        </w:rPr>
      </w:pPr>
      <w:proofErr w:type="gramStart"/>
      <w:r w:rsidRPr="00A03159">
        <w:rPr>
          <w:sz w:val="24"/>
          <w:szCs w:val="24"/>
        </w:rPr>
        <w:t>В нарушение п. 8.1 Приказа «Об утверждении учетной политики для бухгалтерского и налогового учета» от 27.12.2019 № 31 в 2020 году выдача денежных средств под отчет производилась сотрудникам МБУ «СК «Металлург» при отсутствии письменного заявления работника, подписанного руководителем, с указанием сумм аванса, назначения аванса, расчета (обоснования) размера аванса и срока, на который он выдается.</w:t>
      </w:r>
      <w:proofErr w:type="gramEnd"/>
    </w:p>
    <w:p w:rsidR="002F283F" w:rsidRPr="002F283F" w:rsidRDefault="002F283F" w:rsidP="002F283F">
      <w:pPr>
        <w:ind w:firstLine="851"/>
        <w:jc w:val="both"/>
        <w:rPr>
          <w:sz w:val="24"/>
          <w:szCs w:val="24"/>
        </w:rPr>
      </w:pPr>
      <w:r w:rsidRPr="002F283F">
        <w:rPr>
          <w:sz w:val="24"/>
          <w:szCs w:val="24"/>
        </w:rPr>
        <w:t>Денежные средства, не израсходованные МБУ «ДС «Металлург» на реализацию проекта «Сила высоты» в сумме 207 000,00 руб. не возвращены в АО «Кольская ГМК».</w:t>
      </w:r>
    </w:p>
    <w:p w:rsidR="005E4E68" w:rsidRPr="005E4E68" w:rsidRDefault="005E4E68" w:rsidP="005E4E68">
      <w:pPr>
        <w:ind w:firstLine="851"/>
        <w:jc w:val="both"/>
        <w:rPr>
          <w:sz w:val="24"/>
          <w:szCs w:val="24"/>
          <w:highlight w:val="lightGray"/>
        </w:rPr>
      </w:pPr>
      <w:r w:rsidRPr="005E4E68">
        <w:rPr>
          <w:sz w:val="24"/>
          <w:szCs w:val="24"/>
        </w:rPr>
        <w:t xml:space="preserve">В нарушение п. 3 </w:t>
      </w:r>
      <w:r w:rsidRPr="005E4E68">
        <w:rPr>
          <w:bCs/>
          <w:sz w:val="24"/>
          <w:szCs w:val="24"/>
        </w:rPr>
        <w:t xml:space="preserve">Приложения № 5 </w:t>
      </w:r>
      <w:r w:rsidR="002B7489" w:rsidRPr="002B7489">
        <w:rPr>
          <w:bCs/>
          <w:sz w:val="24"/>
          <w:szCs w:val="24"/>
        </w:rPr>
        <w:t>к приказу Минфина РФ от 30.03.2015 № 52н</w:t>
      </w:r>
      <w:r w:rsidR="002B7489">
        <w:rPr>
          <w:bCs/>
          <w:sz w:val="24"/>
          <w:szCs w:val="24"/>
        </w:rPr>
        <w:t xml:space="preserve"> </w:t>
      </w:r>
      <w:r w:rsidRPr="005E4E68">
        <w:rPr>
          <w:sz w:val="24"/>
          <w:szCs w:val="24"/>
        </w:rPr>
        <w:t xml:space="preserve"> записи в Журнал операций № 2 с безналичными денежными средствами (ф. 0504071) за декабрь 2021 года произведены без предоставления первичных (сводных) учетных документов</w:t>
      </w:r>
      <w:r>
        <w:rPr>
          <w:sz w:val="24"/>
          <w:szCs w:val="24"/>
        </w:rPr>
        <w:t>.</w:t>
      </w:r>
      <w:r w:rsidRPr="005E4E68">
        <w:rPr>
          <w:sz w:val="24"/>
          <w:szCs w:val="24"/>
          <w:highlight w:val="lightGray"/>
        </w:rPr>
        <w:t xml:space="preserve"> </w:t>
      </w:r>
    </w:p>
    <w:p w:rsidR="001217D9" w:rsidRPr="00A03159" w:rsidRDefault="001217D9" w:rsidP="001217D9">
      <w:pPr>
        <w:ind w:firstLine="851"/>
        <w:jc w:val="both"/>
        <w:rPr>
          <w:sz w:val="24"/>
          <w:szCs w:val="24"/>
        </w:rPr>
      </w:pPr>
      <w:r w:rsidRPr="00A03159">
        <w:rPr>
          <w:sz w:val="24"/>
          <w:szCs w:val="24"/>
        </w:rPr>
        <w:t xml:space="preserve">В нарушение требований, установленных п. 345 Инструкции № 157н, по состоянию на 01.01.2020 числились материальные ценности в количестве 6362 шт. на сумму 1 053 059,00 руб. на счете 02 "Материальные ценности на хранении", вместо предусмотренного счета 07 " Награды, призы, кубки и ценные подарки, сувениры ". </w:t>
      </w:r>
    </w:p>
    <w:p w:rsidR="001217D9" w:rsidRPr="00991F2D" w:rsidRDefault="001217D9" w:rsidP="005E4E68">
      <w:pPr>
        <w:ind w:firstLine="851"/>
        <w:jc w:val="both"/>
        <w:rPr>
          <w:sz w:val="24"/>
          <w:szCs w:val="24"/>
        </w:rPr>
      </w:pPr>
      <w:r w:rsidRPr="00991F2D">
        <w:rPr>
          <w:sz w:val="24"/>
          <w:szCs w:val="24"/>
        </w:rPr>
        <w:lastRenderedPageBreak/>
        <w:t xml:space="preserve">В нарушение п. 2 Приложения № 5 </w:t>
      </w:r>
      <w:r w:rsidR="002B7489" w:rsidRPr="002B7489">
        <w:rPr>
          <w:bCs/>
          <w:sz w:val="24"/>
          <w:szCs w:val="24"/>
        </w:rPr>
        <w:t>к приказу Минфина РФ от 30.03.2015 № 52н</w:t>
      </w:r>
      <w:r w:rsidR="002B7489" w:rsidRPr="002B7489">
        <w:rPr>
          <w:sz w:val="24"/>
          <w:szCs w:val="24"/>
        </w:rPr>
        <w:t xml:space="preserve"> </w:t>
      </w:r>
      <w:r w:rsidR="005E4E68">
        <w:rPr>
          <w:sz w:val="24"/>
          <w:szCs w:val="24"/>
        </w:rPr>
        <w:t xml:space="preserve">в январе 2020 года </w:t>
      </w:r>
      <w:r w:rsidRPr="00991F2D">
        <w:rPr>
          <w:sz w:val="24"/>
          <w:szCs w:val="24"/>
        </w:rPr>
        <w:t xml:space="preserve">при списании с </w:t>
      </w:r>
      <w:proofErr w:type="spellStart"/>
      <w:r w:rsidRPr="00991F2D">
        <w:rPr>
          <w:sz w:val="24"/>
          <w:szCs w:val="24"/>
        </w:rPr>
        <w:t>забалансового</w:t>
      </w:r>
      <w:proofErr w:type="spellEnd"/>
      <w:r w:rsidRPr="00991F2D">
        <w:rPr>
          <w:sz w:val="24"/>
          <w:szCs w:val="24"/>
        </w:rPr>
        <w:t xml:space="preserve"> счета в бухгалтерской справке (ф. 0504833) не указано наименование и основание проводимой операции</w:t>
      </w:r>
      <w:r w:rsidR="005E4E68">
        <w:rPr>
          <w:sz w:val="24"/>
          <w:szCs w:val="24"/>
        </w:rPr>
        <w:t>.</w:t>
      </w:r>
      <w:r w:rsidRPr="00991F2D">
        <w:rPr>
          <w:sz w:val="24"/>
          <w:szCs w:val="24"/>
        </w:rPr>
        <w:t xml:space="preserve"> </w:t>
      </w:r>
      <w:r w:rsidR="002B7489">
        <w:rPr>
          <w:sz w:val="24"/>
          <w:szCs w:val="24"/>
        </w:rPr>
        <w:t xml:space="preserve"> </w:t>
      </w:r>
    </w:p>
    <w:p w:rsidR="001217D9" w:rsidRPr="00991F2D" w:rsidRDefault="001217D9" w:rsidP="001217D9">
      <w:pPr>
        <w:ind w:firstLine="851"/>
        <w:jc w:val="both"/>
        <w:rPr>
          <w:bCs/>
          <w:sz w:val="24"/>
          <w:szCs w:val="24"/>
        </w:rPr>
      </w:pPr>
      <w:r w:rsidRPr="00991F2D">
        <w:rPr>
          <w:sz w:val="24"/>
          <w:szCs w:val="24"/>
        </w:rPr>
        <w:t xml:space="preserve">В нарушение требований, установленных ст. 9 Федерального закона от 06.12.2011 № 402-ФЗ «О бухгалтерском учете», </w:t>
      </w:r>
      <w:r w:rsidRPr="00991F2D">
        <w:rPr>
          <w:bCs/>
          <w:sz w:val="24"/>
          <w:szCs w:val="24"/>
        </w:rPr>
        <w:t>Приложением № 5 к приказу Минфина РФ от 30.03.2015 № 52н</w:t>
      </w:r>
      <w:r w:rsidRPr="00991F2D">
        <w:rPr>
          <w:sz w:val="24"/>
          <w:szCs w:val="24"/>
        </w:rPr>
        <w:t xml:space="preserve"> </w:t>
      </w:r>
      <w:r w:rsidRPr="00991F2D">
        <w:rPr>
          <w:bCs/>
          <w:sz w:val="24"/>
          <w:szCs w:val="24"/>
        </w:rPr>
        <w:t>приняты к учету первичные учетные документы при отсутствии обязательных реквизитов</w:t>
      </w:r>
      <w:r w:rsidR="00993BD5">
        <w:rPr>
          <w:bCs/>
          <w:sz w:val="24"/>
          <w:szCs w:val="24"/>
        </w:rPr>
        <w:t>.</w:t>
      </w:r>
    </w:p>
    <w:p w:rsidR="001217D9" w:rsidRPr="002B7489" w:rsidRDefault="0052490F" w:rsidP="00D3318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п.2.3</w:t>
      </w:r>
      <w:r w:rsidR="001217D9" w:rsidRPr="00991F2D">
        <w:rPr>
          <w:sz w:val="24"/>
          <w:szCs w:val="24"/>
        </w:rPr>
        <w:t xml:space="preserve">  Приказа Минфина РФ от 13.06.1995 № 49 (ред. от 08.11.2010) "Об утверждении Методических указаний по инвентаризации имущества и финансовых обязательств" (далее – Приказ Минфина РФ от 13.06.1995 № 49) в инвентаризационных описях от 15.10.2020 №№ 13, 14, 17, 12 отсутствуют подпис</w:t>
      </w:r>
      <w:r w:rsidR="00991F2D">
        <w:rPr>
          <w:sz w:val="24"/>
          <w:szCs w:val="24"/>
        </w:rPr>
        <w:t>и материально-ответственных лиц.</w:t>
      </w:r>
      <w:r w:rsidR="00D3318F">
        <w:rPr>
          <w:sz w:val="24"/>
          <w:szCs w:val="24"/>
        </w:rPr>
        <w:t xml:space="preserve"> </w:t>
      </w:r>
    </w:p>
    <w:p w:rsidR="00391831" w:rsidRDefault="00524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п.2.8</w:t>
      </w:r>
      <w:r w:rsidR="001217D9" w:rsidRPr="00991F2D">
        <w:rPr>
          <w:sz w:val="24"/>
          <w:szCs w:val="24"/>
        </w:rPr>
        <w:t xml:space="preserve"> Приказа Минфина РФ от 13.06.1995 № 49 проверка фактического наличия имущества </w:t>
      </w:r>
      <w:r w:rsidR="005925DB">
        <w:rPr>
          <w:sz w:val="24"/>
          <w:szCs w:val="24"/>
        </w:rPr>
        <w:t xml:space="preserve">в 2021 году </w:t>
      </w:r>
      <w:r w:rsidR="001217D9" w:rsidRPr="00991F2D">
        <w:rPr>
          <w:sz w:val="24"/>
          <w:szCs w:val="24"/>
        </w:rPr>
        <w:t xml:space="preserve">проведена без участия материально ответственного лица. </w:t>
      </w:r>
    </w:p>
    <w:p w:rsidR="001217D9" w:rsidRPr="00991F2D" w:rsidRDefault="001217D9" w:rsidP="00993BD5">
      <w:pPr>
        <w:ind w:firstLine="851"/>
        <w:jc w:val="both"/>
        <w:rPr>
          <w:sz w:val="24"/>
          <w:szCs w:val="24"/>
        </w:rPr>
      </w:pPr>
      <w:proofErr w:type="gramStart"/>
      <w:r w:rsidRPr="00991F2D">
        <w:rPr>
          <w:sz w:val="24"/>
          <w:szCs w:val="24"/>
        </w:rPr>
        <w:t>В нарушение требований п. 68 Приказа Минфина России от 25.03.2011 № 33н (ред. от 02.11.2021)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учреждений", ч. 1 ст. 13 Федерального закона от 06.12.2011. № 402-ФЗ «О бухгалтерском учете» при формировании бухгалтерской отчетности (ф. 0503168 «Сведения о движении нефинансовых активов учреждения») неверно отражены показатели по поступлению</w:t>
      </w:r>
      <w:proofErr w:type="gramEnd"/>
      <w:r w:rsidRPr="00991F2D">
        <w:rPr>
          <w:sz w:val="24"/>
          <w:szCs w:val="24"/>
        </w:rPr>
        <w:t xml:space="preserve"> и выбытию основных сре</w:t>
      </w:r>
      <w:r w:rsidR="00993BD5">
        <w:rPr>
          <w:sz w:val="24"/>
          <w:szCs w:val="24"/>
        </w:rPr>
        <w:t>дств по состоянию на 01.01.2021</w:t>
      </w:r>
      <w:r w:rsidR="000C4C8A">
        <w:rPr>
          <w:sz w:val="24"/>
          <w:szCs w:val="24"/>
        </w:rPr>
        <w:t>.</w:t>
      </w:r>
      <w:r w:rsidR="00993BD5">
        <w:rPr>
          <w:sz w:val="24"/>
          <w:szCs w:val="24"/>
        </w:rPr>
        <w:t xml:space="preserve"> </w:t>
      </w:r>
    </w:p>
    <w:p w:rsidR="00272501" w:rsidRDefault="00524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п.2.1</w:t>
      </w:r>
      <w:r w:rsidR="001217D9" w:rsidRPr="00991F2D">
        <w:rPr>
          <w:sz w:val="24"/>
          <w:szCs w:val="24"/>
        </w:rPr>
        <w:t xml:space="preserve"> Постановления от 01.04.2014 № 532</w:t>
      </w:r>
      <w:r w:rsidR="00591791">
        <w:rPr>
          <w:sz w:val="24"/>
          <w:szCs w:val="24"/>
        </w:rPr>
        <w:t xml:space="preserve"> </w:t>
      </w:r>
      <w:r w:rsidR="00591791" w:rsidRPr="00591791">
        <w:rPr>
          <w:sz w:val="24"/>
          <w:szCs w:val="24"/>
        </w:rPr>
        <w:t>«Об утверждении Положения о порядке списания муниципального имущества муниципального образования городское поселение Никель»</w:t>
      </w:r>
      <w:r w:rsidR="00354EAA">
        <w:rPr>
          <w:sz w:val="24"/>
          <w:szCs w:val="24"/>
        </w:rPr>
        <w:t xml:space="preserve"> </w:t>
      </w:r>
      <w:r w:rsidR="001217D9" w:rsidRPr="00991F2D">
        <w:rPr>
          <w:sz w:val="24"/>
          <w:szCs w:val="24"/>
        </w:rPr>
        <w:t xml:space="preserve">при списании муниципального имущества в состав постоянно действующей комиссии по списанию не включен главный бухгалтер (либо лицо его </w:t>
      </w:r>
      <w:proofErr w:type="gramStart"/>
      <w:r w:rsidR="001217D9" w:rsidRPr="00991F2D">
        <w:rPr>
          <w:sz w:val="24"/>
          <w:szCs w:val="24"/>
        </w:rPr>
        <w:t xml:space="preserve">замещающее) </w:t>
      </w:r>
      <w:proofErr w:type="gramEnd"/>
      <w:r w:rsidR="001217D9" w:rsidRPr="00991F2D">
        <w:rPr>
          <w:sz w:val="24"/>
          <w:szCs w:val="24"/>
        </w:rPr>
        <w:t>весь проверяемый период, не включен представитель комитета по управлению имуществом администрации муниципально</w:t>
      </w:r>
      <w:r w:rsidR="0090390F">
        <w:rPr>
          <w:sz w:val="24"/>
          <w:szCs w:val="24"/>
        </w:rPr>
        <w:t xml:space="preserve">го образования </w:t>
      </w:r>
      <w:proofErr w:type="spellStart"/>
      <w:r w:rsidR="0090390F">
        <w:rPr>
          <w:sz w:val="24"/>
          <w:szCs w:val="24"/>
        </w:rPr>
        <w:t>Печенгский</w:t>
      </w:r>
      <w:proofErr w:type="spellEnd"/>
      <w:r w:rsidR="0090390F">
        <w:rPr>
          <w:sz w:val="24"/>
          <w:szCs w:val="24"/>
        </w:rPr>
        <w:t xml:space="preserve"> район.</w:t>
      </w:r>
      <w:r w:rsidR="001217D9" w:rsidRPr="00991F2D">
        <w:rPr>
          <w:sz w:val="24"/>
          <w:szCs w:val="24"/>
        </w:rPr>
        <w:t xml:space="preserve"> </w:t>
      </w:r>
    </w:p>
    <w:p w:rsidR="001217D9" w:rsidRPr="00991F2D" w:rsidRDefault="00354EAA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354EAA">
        <w:rPr>
          <w:sz w:val="24"/>
          <w:szCs w:val="24"/>
        </w:rPr>
        <w:t xml:space="preserve">п. 3.2 Постановления от 01.04.2021 № 261 «Об утверждении Порядка списания муниципального имущества Печенгского муниципального округа» </w:t>
      </w:r>
      <w:r w:rsidR="00272501" w:rsidRPr="00272501">
        <w:rPr>
          <w:sz w:val="24"/>
          <w:szCs w:val="24"/>
        </w:rPr>
        <w:t>при списании муниципального имущества в состав комиссии</w:t>
      </w:r>
      <w:r w:rsidR="00272501">
        <w:rPr>
          <w:sz w:val="24"/>
          <w:szCs w:val="24"/>
        </w:rPr>
        <w:t>, созданной в учреждении,</w:t>
      </w:r>
      <w:r w:rsidR="00272501" w:rsidRPr="00272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включен </w:t>
      </w:r>
      <w:r w:rsidR="00272501" w:rsidRPr="00272501">
        <w:rPr>
          <w:sz w:val="24"/>
          <w:szCs w:val="24"/>
        </w:rPr>
        <w:t>главный бухгалтер (либо лицо его замещающее)</w:t>
      </w:r>
      <w:r w:rsidR="00272501">
        <w:rPr>
          <w:sz w:val="24"/>
          <w:szCs w:val="24"/>
        </w:rPr>
        <w:t xml:space="preserve"> (акты </w:t>
      </w:r>
      <w:r w:rsidRPr="00354EAA">
        <w:rPr>
          <w:sz w:val="24"/>
          <w:szCs w:val="24"/>
        </w:rPr>
        <w:t>от 14.01.2022 №№ 104-117</w:t>
      </w:r>
      <w:r w:rsidR="00272501">
        <w:rPr>
          <w:sz w:val="24"/>
          <w:szCs w:val="24"/>
        </w:rPr>
        <w:t xml:space="preserve">). </w:t>
      </w:r>
    </w:p>
    <w:p w:rsidR="00846247" w:rsidRDefault="001217D9" w:rsidP="001217D9">
      <w:pPr>
        <w:ind w:firstLine="851"/>
        <w:jc w:val="both"/>
        <w:rPr>
          <w:sz w:val="24"/>
          <w:szCs w:val="24"/>
        </w:rPr>
      </w:pPr>
      <w:r w:rsidRPr="00991F2D">
        <w:rPr>
          <w:sz w:val="24"/>
          <w:szCs w:val="24"/>
        </w:rPr>
        <w:t>В</w:t>
      </w:r>
      <w:r w:rsidR="0052490F">
        <w:rPr>
          <w:sz w:val="24"/>
          <w:szCs w:val="24"/>
        </w:rPr>
        <w:t xml:space="preserve"> нарушение п.3.1</w:t>
      </w:r>
      <w:r w:rsidRPr="00991F2D">
        <w:rPr>
          <w:sz w:val="24"/>
          <w:szCs w:val="24"/>
        </w:rPr>
        <w:t xml:space="preserve"> Постановления от 01.04.2014 № 532 в апреле 2020 года  произведено списание объектов нефинансовых активов без предоставления технического заключения, составленного специалистами, организацией, имеющими соответствующую лицензию, разрешение или оказывающими услуги по ремонту оборудования в соответствии с разрешенной Уставом учреждения деятельностью. </w:t>
      </w:r>
    </w:p>
    <w:p w:rsidR="00705727" w:rsidRDefault="0052490F" w:rsidP="0084624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 3.1</w:t>
      </w:r>
      <w:r w:rsidR="005925DB">
        <w:rPr>
          <w:sz w:val="24"/>
          <w:szCs w:val="24"/>
        </w:rPr>
        <w:t xml:space="preserve"> Постановления 01.04.2014</w:t>
      </w:r>
      <w:r w:rsidR="001217D9" w:rsidRPr="00991F2D">
        <w:rPr>
          <w:sz w:val="24"/>
          <w:szCs w:val="24"/>
        </w:rPr>
        <w:t xml:space="preserve"> № 532 установлено необоснованное списание объектов основных средств, без оформления необходимой документации на списание</w:t>
      </w:r>
      <w:r w:rsidR="00705727">
        <w:rPr>
          <w:sz w:val="24"/>
          <w:szCs w:val="24"/>
        </w:rPr>
        <w:t>.</w:t>
      </w:r>
    </w:p>
    <w:p w:rsidR="00705727" w:rsidRDefault="001217D9" w:rsidP="001217D9">
      <w:pPr>
        <w:ind w:firstLine="851"/>
        <w:jc w:val="both"/>
        <w:rPr>
          <w:sz w:val="24"/>
          <w:szCs w:val="24"/>
        </w:rPr>
      </w:pPr>
      <w:r w:rsidRPr="00991F2D">
        <w:rPr>
          <w:sz w:val="24"/>
          <w:szCs w:val="24"/>
        </w:rPr>
        <w:t>В нарушение требований, установленных п. 1 ст. 9 Федерального закона № 4</w:t>
      </w:r>
      <w:r w:rsidR="0052490F">
        <w:rPr>
          <w:sz w:val="24"/>
          <w:szCs w:val="24"/>
        </w:rPr>
        <w:t>02-ФЗ, п. 36 Инструкции № 157н</w:t>
      </w:r>
      <w:r w:rsidRPr="00991F2D">
        <w:rPr>
          <w:sz w:val="24"/>
          <w:szCs w:val="24"/>
        </w:rPr>
        <w:t xml:space="preserve"> </w:t>
      </w:r>
      <w:r w:rsidR="005925DB">
        <w:rPr>
          <w:sz w:val="24"/>
          <w:szCs w:val="24"/>
        </w:rPr>
        <w:t xml:space="preserve">в 2020 году </w:t>
      </w:r>
      <w:r w:rsidRPr="00991F2D">
        <w:rPr>
          <w:sz w:val="24"/>
          <w:szCs w:val="24"/>
        </w:rPr>
        <w:t>выбытие объектов основных средств осуществлялось в отсутствие первичных учетных документов</w:t>
      </w:r>
      <w:r w:rsidR="00705727">
        <w:rPr>
          <w:sz w:val="24"/>
          <w:szCs w:val="24"/>
        </w:rPr>
        <w:t>.</w:t>
      </w:r>
      <w:r w:rsidRPr="00991F2D">
        <w:rPr>
          <w:sz w:val="24"/>
          <w:szCs w:val="24"/>
        </w:rPr>
        <w:t xml:space="preserve"> </w:t>
      </w:r>
    </w:p>
    <w:p w:rsidR="00993BD5" w:rsidRDefault="001217D9" w:rsidP="001217D9">
      <w:pPr>
        <w:ind w:firstLine="851"/>
        <w:jc w:val="both"/>
        <w:rPr>
          <w:sz w:val="24"/>
          <w:szCs w:val="24"/>
        </w:rPr>
      </w:pPr>
      <w:r w:rsidRPr="00991F2D">
        <w:rPr>
          <w:sz w:val="24"/>
          <w:szCs w:val="24"/>
        </w:rPr>
        <w:t xml:space="preserve">В нарушение п.335 Приложения № 2 </w:t>
      </w:r>
      <w:r w:rsidR="00835C88" w:rsidRPr="00835C88">
        <w:rPr>
          <w:sz w:val="24"/>
          <w:szCs w:val="24"/>
        </w:rPr>
        <w:t>Инструкции № 157н</w:t>
      </w:r>
      <w:r w:rsidRPr="00991F2D">
        <w:rPr>
          <w:sz w:val="24"/>
          <w:szCs w:val="24"/>
        </w:rPr>
        <w:t xml:space="preserve"> имущество, в отношении которого принято решение о списании (прекращении эксплуатации), не учитывалось на счете 02 «Материальные ценности на хранение» до момента утилизации, уничтожении в марте 2020 года</w:t>
      </w:r>
      <w:r w:rsidR="00993BD5">
        <w:rPr>
          <w:sz w:val="24"/>
          <w:szCs w:val="24"/>
        </w:rPr>
        <w:t>.</w:t>
      </w:r>
      <w:r w:rsidRPr="00991F2D">
        <w:rPr>
          <w:sz w:val="24"/>
          <w:szCs w:val="24"/>
        </w:rPr>
        <w:t xml:space="preserve"> </w:t>
      </w:r>
    </w:p>
    <w:p w:rsidR="001217D9" w:rsidRPr="00991F2D" w:rsidRDefault="0052490F" w:rsidP="001217D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п.3.7</w:t>
      </w:r>
      <w:r w:rsidR="001217D9" w:rsidRPr="00991F2D">
        <w:rPr>
          <w:sz w:val="24"/>
          <w:szCs w:val="24"/>
        </w:rPr>
        <w:t xml:space="preserve"> Постановления от 01.04.2014 № 532 при списании объектов основных средств в апреле 2020 года не производился демонтаж, ликвидация, утилизация списанных основных средств.  </w:t>
      </w:r>
    </w:p>
    <w:p w:rsidR="001217D9" w:rsidRPr="00991F2D" w:rsidRDefault="001217D9" w:rsidP="001217D9">
      <w:pPr>
        <w:ind w:firstLine="851"/>
        <w:jc w:val="both"/>
        <w:rPr>
          <w:sz w:val="24"/>
          <w:szCs w:val="24"/>
        </w:rPr>
      </w:pPr>
      <w:proofErr w:type="gramStart"/>
      <w:r w:rsidRPr="00991F2D">
        <w:rPr>
          <w:sz w:val="24"/>
          <w:szCs w:val="24"/>
        </w:rPr>
        <w:t xml:space="preserve">В нарушение требований, установленных ч. 1, 2 ст. 9  ФЗ от 06.12.2011 № 402-ФЗ « О бухгалтерском учете», п. 20, </w:t>
      </w:r>
      <w:r w:rsidR="0090390F">
        <w:rPr>
          <w:sz w:val="24"/>
          <w:szCs w:val="24"/>
        </w:rPr>
        <w:t>п.</w:t>
      </w:r>
      <w:r w:rsidRPr="00991F2D">
        <w:rPr>
          <w:sz w:val="24"/>
          <w:szCs w:val="24"/>
        </w:rPr>
        <w:t xml:space="preserve">25 Федерального стандарта бухгалтерского учете для </w:t>
      </w:r>
      <w:r w:rsidRPr="00991F2D">
        <w:rPr>
          <w:sz w:val="24"/>
          <w:szCs w:val="24"/>
        </w:rPr>
        <w:lastRenderedPageBreak/>
        <w:t xml:space="preserve">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 декабря 2016 г. № 256н </w:t>
      </w:r>
      <w:r w:rsidR="005925DB">
        <w:rPr>
          <w:sz w:val="24"/>
          <w:szCs w:val="24"/>
        </w:rPr>
        <w:t xml:space="preserve">в 2020 году </w:t>
      </w:r>
      <w:bookmarkStart w:id="0" w:name="_GoBack"/>
      <w:bookmarkEnd w:id="0"/>
      <w:r w:rsidRPr="00991F2D">
        <w:rPr>
          <w:sz w:val="24"/>
          <w:szCs w:val="24"/>
        </w:rPr>
        <w:t>приняты к учету первичные учетные документы при отсутствии обязательных реквизитов</w:t>
      </w:r>
      <w:r w:rsidR="0090390F">
        <w:rPr>
          <w:sz w:val="24"/>
          <w:szCs w:val="24"/>
        </w:rPr>
        <w:t>.</w:t>
      </w:r>
      <w:proofErr w:type="gramEnd"/>
    </w:p>
    <w:p w:rsidR="001217D9" w:rsidRPr="00991F2D" w:rsidRDefault="001217D9" w:rsidP="001217D9">
      <w:pPr>
        <w:ind w:firstLine="851"/>
        <w:jc w:val="both"/>
        <w:rPr>
          <w:sz w:val="24"/>
          <w:szCs w:val="24"/>
        </w:rPr>
      </w:pPr>
      <w:proofErr w:type="gramStart"/>
      <w:r w:rsidRPr="00991F2D">
        <w:rPr>
          <w:sz w:val="24"/>
          <w:szCs w:val="24"/>
        </w:rPr>
        <w:t>В нарушение п. 9 Порядка отнесения движимого имущества муниципальных бюджетных учреждений Печенгского муниципального округа к категории особо ценного движимого имущества, утверждения и ведения перечней особо ценного муниципального имущества Печенгского муниципального округа, утвержденного Постановлением администрации Печенгского муниципального округа от 01.04.2021 № 260, балансовая стоимость особо ценного движимого имущества учреждения в перечне, утвержденном Главой Печенгского муниципального округа, не соответствует данным Главной книги по</w:t>
      </w:r>
      <w:proofErr w:type="gramEnd"/>
      <w:r w:rsidRPr="00991F2D">
        <w:rPr>
          <w:sz w:val="24"/>
          <w:szCs w:val="24"/>
        </w:rPr>
        <w:t xml:space="preserve"> состоянию на 01.06.2021г. </w:t>
      </w:r>
    </w:p>
    <w:p w:rsidR="00993BD5" w:rsidRDefault="00993BD5" w:rsidP="00A46DDA">
      <w:pPr>
        <w:ind w:firstLine="851"/>
        <w:jc w:val="both"/>
        <w:rPr>
          <w:sz w:val="24"/>
          <w:szCs w:val="24"/>
        </w:rPr>
      </w:pPr>
    </w:p>
    <w:p w:rsidR="00943909" w:rsidRPr="002D4CCB" w:rsidRDefault="00943909" w:rsidP="002D4CCB">
      <w:pPr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D4CCB" w:rsidRPr="002D4CCB" w:rsidRDefault="002D4CCB" w:rsidP="002D4CCB">
      <w:pPr>
        <w:ind w:firstLine="851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207FB">
        <w:rPr>
          <w:rFonts w:eastAsia="Calibri"/>
          <w:color w:val="auto"/>
          <w:sz w:val="24"/>
          <w:szCs w:val="24"/>
          <w:lang w:eastAsia="en-US"/>
        </w:rPr>
        <w:t xml:space="preserve">               </w:t>
      </w:r>
    </w:p>
    <w:p w:rsidR="002D4CCB" w:rsidRPr="002D4CCB" w:rsidRDefault="002D4CCB" w:rsidP="002D4CCB">
      <w:pPr>
        <w:ind w:firstLine="993"/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2D75E3" w:rsidRPr="00B8733B" w:rsidRDefault="002D75E3" w:rsidP="00B8733B">
      <w:pPr>
        <w:ind w:firstLine="851"/>
        <w:jc w:val="both"/>
        <w:rPr>
          <w:sz w:val="24"/>
          <w:szCs w:val="24"/>
        </w:rPr>
      </w:pPr>
    </w:p>
    <w:sectPr w:rsidR="002D75E3" w:rsidRPr="00B8733B" w:rsidSect="003548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C2B"/>
    <w:multiLevelType w:val="multilevel"/>
    <w:tmpl w:val="6DBC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77F"/>
    <w:multiLevelType w:val="multilevel"/>
    <w:tmpl w:val="2B9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D6B0F"/>
    <w:multiLevelType w:val="multilevel"/>
    <w:tmpl w:val="B4D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C344D"/>
    <w:multiLevelType w:val="multilevel"/>
    <w:tmpl w:val="785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03A03"/>
    <w:multiLevelType w:val="multilevel"/>
    <w:tmpl w:val="804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AC043B"/>
    <w:multiLevelType w:val="multilevel"/>
    <w:tmpl w:val="13C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5"/>
    <w:rsid w:val="000349B0"/>
    <w:rsid w:val="00064F89"/>
    <w:rsid w:val="00071480"/>
    <w:rsid w:val="000A1773"/>
    <w:rsid w:val="000C22FD"/>
    <w:rsid w:val="000C4C8A"/>
    <w:rsid w:val="000D2EE7"/>
    <w:rsid w:val="000D485D"/>
    <w:rsid w:val="000F1C5E"/>
    <w:rsid w:val="000F3B5B"/>
    <w:rsid w:val="00101680"/>
    <w:rsid w:val="00111DBB"/>
    <w:rsid w:val="001217D9"/>
    <w:rsid w:val="00145F22"/>
    <w:rsid w:val="0017553D"/>
    <w:rsid w:val="001E5DF1"/>
    <w:rsid w:val="001E706E"/>
    <w:rsid w:val="0020246B"/>
    <w:rsid w:val="00216EA5"/>
    <w:rsid w:val="00226705"/>
    <w:rsid w:val="002433B5"/>
    <w:rsid w:val="0026071B"/>
    <w:rsid w:val="00272501"/>
    <w:rsid w:val="00282BE7"/>
    <w:rsid w:val="002B7489"/>
    <w:rsid w:val="002D1DF8"/>
    <w:rsid w:val="002D4CCB"/>
    <w:rsid w:val="002D75E3"/>
    <w:rsid w:val="002E5192"/>
    <w:rsid w:val="002F283F"/>
    <w:rsid w:val="003034B9"/>
    <w:rsid w:val="00351E3B"/>
    <w:rsid w:val="00354834"/>
    <w:rsid w:val="00354EAA"/>
    <w:rsid w:val="00376886"/>
    <w:rsid w:val="00391831"/>
    <w:rsid w:val="003C4697"/>
    <w:rsid w:val="003D7F5E"/>
    <w:rsid w:val="00436D32"/>
    <w:rsid w:val="004439B7"/>
    <w:rsid w:val="00443CA6"/>
    <w:rsid w:val="004756EF"/>
    <w:rsid w:val="004761E7"/>
    <w:rsid w:val="004C486B"/>
    <w:rsid w:val="004E7980"/>
    <w:rsid w:val="00513DCC"/>
    <w:rsid w:val="0052490F"/>
    <w:rsid w:val="00525B69"/>
    <w:rsid w:val="0054112A"/>
    <w:rsid w:val="005740A8"/>
    <w:rsid w:val="0057760D"/>
    <w:rsid w:val="00591791"/>
    <w:rsid w:val="005925DB"/>
    <w:rsid w:val="00595A01"/>
    <w:rsid w:val="005971CD"/>
    <w:rsid w:val="005D7D9C"/>
    <w:rsid w:val="005E4E68"/>
    <w:rsid w:val="005F43AF"/>
    <w:rsid w:val="005F5712"/>
    <w:rsid w:val="00625313"/>
    <w:rsid w:val="00647535"/>
    <w:rsid w:val="006634B5"/>
    <w:rsid w:val="006A3A61"/>
    <w:rsid w:val="006B7067"/>
    <w:rsid w:val="006F5BC7"/>
    <w:rsid w:val="006F764A"/>
    <w:rsid w:val="00705727"/>
    <w:rsid w:val="0072046A"/>
    <w:rsid w:val="007207FB"/>
    <w:rsid w:val="00787AEA"/>
    <w:rsid w:val="0080053A"/>
    <w:rsid w:val="0081722A"/>
    <w:rsid w:val="008269E5"/>
    <w:rsid w:val="00835C88"/>
    <w:rsid w:val="00846247"/>
    <w:rsid w:val="0085270D"/>
    <w:rsid w:val="008700EF"/>
    <w:rsid w:val="0088725B"/>
    <w:rsid w:val="008B47C8"/>
    <w:rsid w:val="008D3C2D"/>
    <w:rsid w:val="008F11CE"/>
    <w:rsid w:val="0090313F"/>
    <w:rsid w:val="0090390F"/>
    <w:rsid w:val="00914E52"/>
    <w:rsid w:val="00943909"/>
    <w:rsid w:val="00991F2D"/>
    <w:rsid w:val="00993BD5"/>
    <w:rsid w:val="009A42BC"/>
    <w:rsid w:val="009B1DFF"/>
    <w:rsid w:val="009B5BD5"/>
    <w:rsid w:val="009D6C2D"/>
    <w:rsid w:val="009E35CA"/>
    <w:rsid w:val="00A03159"/>
    <w:rsid w:val="00A15EF8"/>
    <w:rsid w:val="00A46DDA"/>
    <w:rsid w:val="00A6130C"/>
    <w:rsid w:val="00AE11DF"/>
    <w:rsid w:val="00B066CA"/>
    <w:rsid w:val="00B35455"/>
    <w:rsid w:val="00B35947"/>
    <w:rsid w:val="00B422CF"/>
    <w:rsid w:val="00B8733B"/>
    <w:rsid w:val="00BC05CD"/>
    <w:rsid w:val="00BD7204"/>
    <w:rsid w:val="00C2102E"/>
    <w:rsid w:val="00C21C83"/>
    <w:rsid w:val="00C2348D"/>
    <w:rsid w:val="00C2431D"/>
    <w:rsid w:val="00C372D9"/>
    <w:rsid w:val="00C5539A"/>
    <w:rsid w:val="00C57331"/>
    <w:rsid w:val="00CC4137"/>
    <w:rsid w:val="00CD32C8"/>
    <w:rsid w:val="00CD4CD7"/>
    <w:rsid w:val="00CE4B07"/>
    <w:rsid w:val="00D16F3E"/>
    <w:rsid w:val="00D26B92"/>
    <w:rsid w:val="00D3318F"/>
    <w:rsid w:val="00D472D2"/>
    <w:rsid w:val="00D95558"/>
    <w:rsid w:val="00DF070F"/>
    <w:rsid w:val="00DF3866"/>
    <w:rsid w:val="00DF7D2F"/>
    <w:rsid w:val="00E16CCD"/>
    <w:rsid w:val="00E31F9D"/>
    <w:rsid w:val="00E70975"/>
    <w:rsid w:val="00E7625B"/>
    <w:rsid w:val="00EA0A72"/>
    <w:rsid w:val="00EF2B84"/>
    <w:rsid w:val="00F5431F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7D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17D9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20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207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17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217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7D9"/>
  </w:style>
  <w:style w:type="character" w:customStyle="1" w:styleId="c2">
    <w:name w:val="c2"/>
    <w:rsid w:val="001217D9"/>
  </w:style>
  <w:style w:type="table" w:styleId="a8">
    <w:name w:val="Table Grid"/>
    <w:basedOn w:val="a1"/>
    <w:rsid w:val="001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217D9"/>
    <w:rPr>
      <w:color w:val="0000FF"/>
      <w:u w:val="single"/>
    </w:rPr>
  </w:style>
  <w:style w:type="character" w:styleId="aa">
    <w:name w:val="Emphasis"/>
    <w:qFormat/>
    <w:rsid w:val="001217D9"/>
    <w:rPr>
      <w:i/>
      <w:iCs/>
    </w:rPr>
  </w:style>
  <w:style w:type="paragraph" w:styleId="ab">
    <w:name w:val="Subtitle"/>
    <w:basedOn w:val="a"/>
    <w:next w:val="a"/>
    <w:link w:val="ac"/>
    <w:qFormat/>
    <w:rsid w:val="001217D9"/>
    <w:pPr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c">
    <w:name w:val="Подзаголовок Знак"/>
    <w:basedOn w:val="a0"/>
    <w:link w:val="ab"/>
    <w:rsid w:val="001217D9"/>
    <w:rPr>
      <w:rFonts w:ascii="Cambria" w:eastAsia="Times New Roman" w:hAnsi="Cambria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1217D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121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EA04-838D-4288-919F-80D2AAD9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5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Наталья Владимировна</dc:creator>
  <cp:keywords/>
  <dc:description/>
  <cp:lastModifiedBy>Иванова Ольга Валентиновна</cp:lastModifiedBy>
  <cp:revision>30</cp:revision>
  <cp:lastPrinted>2024-05-02T14:22:00Z</cp:lastPrinted>
  <dcterms:created xsi:type="dcterms:W3CDTF">2021-07-05T11:05:00Z</dcterms:created>
  <dcterms:modified xsi:type="dcterms:W3CDTF">2024-05-02T14:23:00Z</dcterms:modified>
</cp:coreProperties>
</file>