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54" w:rsidRPr="00F612D3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right"/>
        <w:rPr>
          <w:rFonts w:eastAsia="Calibri"/>
          <w:b/>
          <w:bCs/>
          <w:sz w:val="28"/>
          <w:szCs w:val="28"/>
          <w:vertAlign w:val="subscript"/>
        </w:rPr>
      </w:pPr>
      <w:r w:rsidRPr="00F612D3">
        <w:rPr>
          <w:rFonts w:eastAsia="Calibri"/>
          <w:b/>
          <w:bCs/>
          <w:sz w:val="28"/>
          <w:szCs w:val="28"/>
          <w:vertAlign w:val="subscript"/>
        </w:rPr>
        <w:t>П</w:t>
      </w:r>
      <w:bookmarkStart w:id="0" w:name="_GoBack"/>
      <w:bookmarkEnd w:id="0"/>
      <w:r w:rsidRPr="00F612D3">
        <w:rPr>
          <w:rFonts w:eastAsia="Calibri"/>
          <w:b/>
          <w:bCs/>
          <w:sz w:val="28"/>
          <w:szCs w:val="28"/>
          <w:vertAlign w:val="subscript"/>
        </w:rPr>
        <w:t>риложение</w:t>
      </w:r>
      <w:r>
        <w:rPr>
          <w:rFonts w:eastAsia="Calibri"/>
          <w:b/>
          <w:bCs/>
          <w:sz w:val="28"/>
          <w:szCs w:val="28"/>
          <w:vertAlign w:val="subscript"/>
        </w:rPr>
        <w:t xml:space="preserve"> 5</w:t>
      </w:r>
      <w:r w:rsidRPr="00F612D3">
        <w:rPr>
          <w:rFonts w:eastAsia="Calibri"/>
          <w:b/>
          <w:bCs/>
          <w:sz w:val="28"/>
          <w:szCs w:val="28"/>
          <w:vertAlign w:val="subscript"/>
        </w:rPr>
        <w:t xml:space="preserve"> </w:t>
      </w:r>
    </w:p>
    <w:p w:rsidR="00B0345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</w:p>
    <w:p w:rsidR="00B0345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</w:p>
    <w:p w:rsidR="00B0345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СВЕДЕНИЯ</w:t>
      </w:r>
    </w:p>
    <w:p w:rsidR="00B03454" w:rsidRPr="006622A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 ходе реализации мер, направленных на повышение качества финансового менеджмента</w:t>
      </w:r>
    </w:p>
    <w:p w:rsidR="00B03454" w:rsidRPr="006622A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both"/>
        <w:rPr>
          <w:rFonts w:eastAsia="Calibri"/>
          <w:bCs/>
          <w:sz w:val="28"/>
          <w:szCs w:val="28"/>
          <w:vertAlign w:val="subscript"/>
        </w:rPr>
      </w:pPr>
    </w:p>
    <w:tbl>
      <w:tblPr>
        <w:tblStyle w:val="a3"/>
        <w:tblW w:w="14667" w:type="dxa"/>
        <w:tblLook w:val="04A0" w:firstRow="1" w:lastRow="0" w:firstColumn="1" w:lastColumn="0" w:noHBand="0" w:noVBand="1"/>
      </w:tblPr>
      <w:tblGrid>
        <w:gridCol w:w="3369"/>
        <w:gridCol w:w="4536"/>
        <w:gridCol w:w="4373"/>
        <w:gridCol w:w="2389"/>
      </w:tblGrid>
      <w:tr w:rsidR="008E391E" w:rsidRPr="006622A4" w:rsidTr="00742F88">
        <w:tc>
          <w:tcPr>
            <w:tcW w:w="3369" w:type="dxa"/>
          </w:tcPr>
          <w:p w:rsidR="00B03454" w:rsidRPr="006622A4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Наименование показателя</w:t>
            </w:r>
          </w:p>
        </w:tc>
        <w:tc>
          <w:tcPr>
            <w:tcW w:w="4536" w:type="dxa"/>
          </w:tcPr>
          <w:p w:rsidR="00B03454" w:rsidRPr="006622A4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Причина, приведшая к низкой оценке качества финансового менеджмента</w:t>
            </w:r>
          </w:p>
        </w:tc>
        <w:tc>
          <w:tcPr>
            <w:tcW w:w="4373" w:type="dxa"/>
          </w:tcPr>
          <w:p w:rsidR="00B03454" w:rsidRPr="006622A4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Мероприятия, направленные на повышение качества финансового менеджмента</w:t>
            </w:r>
          </w:p>
        </w:tc>
        <w:tc>
          <w:tcPr>
            <w:tcW w:w="2389" w:type="dxa"/>
          </w:tcPr>
          <w:p w:rsidR="00B03454" w:rsidRPr="006622A4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Срок исполнения</w:t>
            </w:r>
          </w:p>
        </w:tc>
      </w:tr>
      <w:tr w:rsidR="008E391E" w:rsidRPr="006622A4" w:rsidTr="00742F88">
        <w:tc>
          <w:tcPr>
            <w:tcW w:w="3369" w:type="dxa"/>
          </w:tcPr>
          <w:p w:rsidR="00B03454" w:rsidRPr="00CB6611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03454" w:rsidRPr="00CB6611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73" w:type="dxa"/>
          </w:tcPr>
          <w:p w:rsidR="00B03454" w:rsidRPr="00CB6611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89" w:type="dxa"/>
          </w:tcPr>
          <w:p w:rsidR="00B03454" w:rsidRPr="00CB6611" w:rsidRDefault="00B03454" w:rsidP="00742F88">
            <w:pPr>
              <w:widowControl w:val="0"/>
              <w:tabs>
                <w:tab w:val="left" w:pos="851"/>
              </w:tabs>
              <w:spacing w:line="240" w:lineRule="atLeast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8E391E" w:rsidRPr="006622A4" w:rsidTr="00742F88">
        <w:tc>
          <w:tcPr>
            <w:tcW w:w="3369" w:type="dxa"/>
          </w:tcPr>
          <w:p w:rsidR="00B03454" w:rsidRPr="006F34B9" w:rsidRDefault="004F5FE1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6F34B9">
              <w:rPr>
                <w:rFonts w:eastAsia="Calibri"/>
                <w:bCs/>
              </w:rPr>
              <w:t>Количество проведенных в рамках внутреннего финансового (ведомственного)</w:t>
            </w:r>
            <w:r>
              <w:rPr>
                <w:rFonts w:eastAsia="Calibri"/>
                <w:bCs/>
              </w:rPr>
              <w:t xml:space="preserve"> </w:t>
            </w:r>
            <w:r w:rsidRPr="006F34B9">
              <w:rPr>
                <w:rFonts w:eastAsia="Calibri"/>
                <w:bCs/>
              </w:rPr>
              <w:t>контроля мероприятий, в ходе которых выявлены финансовые нарушения в отчетном финансовом году</w:t>
            </w:r>
          </w:p>
        </w:tc>
        <w:tc>
          <w:tcPr>
            <w:tcW w:w="4536" w:type="dxa"/>
          </w:tcPr>
          <w:p w:rsidR="00B03454" w:rsidRPr="006F34B9" w:rsidRDefault="006F34B9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6F34B9">
              <w:rPr>
                <w:rFonts w:eastAsia="Calibri"/>
                <w:bCs/>
              </w:rPr>
              <w:t xml:space="preserve">Ненадлежащий контроль и мониторинг исполнения установленного учредителем муниципального задания </w:t>
            </w:r>
          </w:p>
        </w:tc>
        <w:tc>
          <w:tcPr>
            <w:tcW w:w="4373" w:type="dxa"/>
          </w:tcPr>
          <w:p w:rsidR="00B03454" w:rsidRPr="006F34B9" w:rsidRDefault="006F34B9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6F34B9">
              <w:rPr>
                <w:rFonts w:eastAsia="Calibri"/>
                <w:bCs/>
              </w:rPr>
              <w:t xml:space="preserve">Разработка нормативных правовых актов, регламентирующих порядок проведения мониторинга, </w:t>
            </w:r>
            <w:r w:rsidR="004F5FE1">
              <w:rPr>
                <w:rFonts w:eastAsia="Calibri"/>
                <w:bCs/>
              </w:rPr>
              <w:t xml:space="preserve">проведение </w:t>
            </w:r>
            <w:r w:rsidRPr="006F34B9">
              <w:rPr>
                <w:rFonts w:eastAsia="Calibri"/>
                <w:bCs/>
              </w:rPr>
              <w:t>анализа исполнения муниципального задания, осуществление ведомственного контроля за его исполнением</w:t>
            </w:r>
          </w:p>
        </w:tc>
        <w:tc>
          <w:tcPr>
            <w:tcW w:w="2389" w:type="dxa"/>
          </w:tcPr>
          <w:p w:rsidR="00B03454" w:rsidRPr="006F34B9" w:rsidRDefault="006F34B9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6F34B9">
              <w:rPr>
                <w:rFonts w:eastAsia="Calibri"/>
                <w:bCs/>
              </w:rPr>
              <w:t>В течение финансового года на постоянной основе, ежегодное составление предварительного годового отчета</w:t>
            </w:r>
          </w:p>
        </w:tc>
      </w:tr>
      <w:tr w:rsidR="006F34B9" w:rsidRPr="006622A4" w:rsidTr="00742F88">
        <w:tc>
          <w:tcPr>
            <w:tcW w:w="3369" w:type="dxa"/>
          </w:tcPr>
          <w:p w:rsidR="006F34B9" w:rsidRPr="006F34B9" w:rsidRDefault="006F34B9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6F34B9">
              <w:rPr>
                <w:rFonts w:eastAsia="Calibri"/>
                <w:bCs/>
              </w:rPr>
              <w:t>Качество кассового планирования расходов бюджета округа главным распорядителем</w:t>
            </w:r>
          </w:p>
        </w:tc>
        <w:tc>
          <w:tcPr>
            <w:tcW w:w="4536" w:type="dxa"/>
          </w:tcPr>
          <w:p w:rsidR="006F34B9" w:rsidRDefault="006F34B9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Внесение изменений в кассовый план расходов </w:t>
            </w:r>
            <w:r w:rsidR="008E391E">
              <w:rPr>
                <w:rFonts w:eastAsia="Calibri"/>
                <w:bCs/>
              </w:rPr>
              <w:t>более 50%</w:t>
            </w:r>
          </w:p>
          <w:p w:rsidR="008E391E" w:rsidRPr="006F34B9" w:rsidRDefault="008E391E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</w:p>
        </w:tc>
        <w:tc>
          <w:tcPr>
            <w:tcW w:w="4373" w:type="dxa"/>
          </w:tcPr>
          <w:p w:rsidR="006F34B9" w:rsidRPr="006F34B9" w:rsidRDefault="008E391E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Взвешенный подход при составлении кассового плана расходов с учетом особенностей исполнения бюджета округа и анализ исполнение расходов </w:t>
            </w:r>
            <w:r w:rsidR="00A51A35">
              <w:rPr>
                <w:rFonts w:eastAsia="Calibri"/>
                <w:bCs/>
              </w:rPr>
              <w:t>по кварталам</w:t>
            </w:r>
            <w:r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389" w:type="dxa"/>
          </w:tcPr>
          <w:p w:rsidR="006F34B9" w:rsidRPr="006F34B9" w:rsidRDefault="008E391E" w:rsidP="008E391E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декабре на очередной финансовый год, на финансовый год - постоянно</w:t>
            </w:r>
          </w:p>
        </w:tc>
      </w:tr>
      <w:tr w:rsidR="00EE2F78" w:rsidRPr="006622A4" w:rsidTr="00742F88">
        <w:tc>
          <w:tcPr>
            <w:tcW w:w="3369" w:type="dxa"/>
          </w:tcPr>
          <w:p w:rsidR="00EE2F78" w:rsidRPr="00D80287" w:rsidRDefault="00EE2F78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EE2F78">
              <w:rPr>
                <w:rFonts w:eastAsia="Calibri"/>
                <w:bCs/>
              </w:rPr>
              <w:t>Доля кассовых расходов (без учета межбюджетных трансфертов, имеющих целевое назначение), произведенных главным распорядителем и подведомственными ему учреждениями в 4 квартале отчетного финансового года</w:t>
            </w:r>
          </w:p>
        </w:tc>
        <w:tc>
          <w:tcPr>
            <w:tcW w:w="4536" w:type="dxa"/>
          </w:tcPr>
          <w:p w:rsidR="00EE2F78" w:rsidRPr="00C86DCC" w:rsidRDefault="00EE2F78" w:rsidP="00C86DCC">
            <w:pPr>
              <w:shd w:val="clear" w:color="auto" w:fill="FFFFFF"/>
              <w:rPr>
                <w:color w:val="1A1A1A"/>
              </w:rPr>
            </w:pPr>
            <w:r w:rsidRPr="00C86DCC">
              <w:rPr>
                <w:color w:val="1A1A1A"/>
              </w:rPr>
              <w:t>Кассовые расходы в 4-м</w:t>
            </w:r>
            <w:r w:rsidR="00C86DCC">
              <w:rPr>
                <w:color w:val="1A1A1A"/>
              </w:rPr>
              <w:t xml:space="preserve"> </w:t>
            </w:r>
            <w:r w:rsidRPr="00C86DCC">
              <w:rPr>
                <w:color w:val="1A1A1A"/>
              </w:rPr>
              <w:t xml:space="preserve">квартале </w:t>
            </w:r>
            <w:r w:rsidR="00C86DCC">
              <w:rPr>
                <w:color w:val="1A1A1A"/>
              </w:rPr>
              <w:t>с</w:t>
            </w:r>
            <w:r w:rsidRPr="00C86DCC">
              <w:rPr>
                <w:color w:val="1A1A1A"/>
              </w:rPr>
              <w:t>оставляют более</w:t>
            </w:r>
            <w:r w:rsidR="00C86DCC">
              <w:rPr>
                <w:color w:val="1A1A1A"/>
              </w:rPr>
              <w:t xml:space="preserve"> </w:t>
            </w:r>
            <w:r w:rsidRPr="00C86DCC">
              <w:rPr>
                <w:color w:val="1A1A1A"/>
              </w:rPr>
              <w:t>трети годовых расходов</w:t>
            </w:r>
          </w:p>
          <w:p w:rsidR="00EE2F78" w:rsidRPr="00C86DCC" w:rsidRDefault="00EE2F78" w:rsidP="00C86DCC">
            <w:pPr>
              <w:widowControl w:val="0"/>
              <w:tabs>
                <w:tab w:val="left" w:pos="851"/>
              </w:tabs>
              <w:spacing w:line="240" w:lineRule="atLeast"/>
              <w:rPr>
                <w:rFonts w:eastAsia="Calibri"/>
                <w:bCs/>
              </w:rPr>
            </w:pPr>
          </w:p>
        </w:tc>
        <w:tc>
          <w:tcPr>
            <w:tcW w:w="4373" w:type="dxa"/>
          </w:tcPr>
          <w:p w:rsidR="00EE2F78" w:rsidRPr="00C86DCC" w:rsidRDefault="00C86DCC" w:rsidP="00C86DCC">
            <w:pPr>
              <w:shd w:val="clear" w:color="auto" w:fill="FFFFFF"/>
              <w:jc w:val="both"/>
              <w:rPr>
                <w:color w:val="1A1A1A"/>
              </w:rPr>
            </w:pPr>
            <w:r>
              <w:rPr>
                <w:color w:val="333333"/>
              </w:rPr>
              <w:t>Необходимо планировать исполнение бюджета путем равномерного ведения кассового плана на финансовый год, анализировать распределение  расходов по кварталам</w:t>
            </w:r>
          </w:p>
        </w:tc>
        <w:tc>
          <w:tcPr>
            <w:tcW w:w="2389" w:type="dxa"/>
          </w:tcPr>
          <w:p w:rsidR="00EE2F78" w:rsidRDefault="00C86DCC" w:rsidP="00C86DCC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течение финансового года на постоянной основе</w:t>
            </w:r>
          </w:p>
        </w:tc>
      </w:tr>
      <w:tr w:rsidR="006F34B9" w:rsidRPr="006622A4" w:rsidTr="00742F88">
        <w:tc>
          <w:tcPr>
            <w:tcW w:w="3369" w:type="dxa"/>
          </w:tcPr>
          <w:p w:rsidR="006F34B9" w:rsidRPr="006F34B9" w:rsidRDefault="00D80287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D80287">
              <w:rPr>
                <w:rFonts w:eastAsia="Calibri"/>
                <w:bCs/>
              </w:rPr>
              <w:lastRenderedPageBreak/>
              <w:t>Исполнение судебных актов по денежным обязательствам главного распорядителя</w:t>
            </w:r>
          </w:p>
        </w:tc>
        <w:tc>
          <w:tcPr>
            <w:tcW w:w="4536" w:type="dxa"/>
          </w:tcPr>
          <w:p w:rsidR="006F34B9" w:rsidRPr="006F34B9" w:rsidRDefault="00D80287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Наличие решений судов, обращенных на взыскания за счет средств бюджета округа</w:t>
            </w:r>
          </w:p>
        </w:tc>
        <w:tc>
          <w:tcPr>
            <w:tcW w:w="4373" w:type="dxa"/>
          </w:tcPr>
          <w:p w:rsidR="00A51A35" w:rsidRPr="00A51A35" w:rsidRDefault="00A51A35" w:rsidP="00A51A35">
            <w:pPr>
              <w:shd w:val="clear" w:color="auto" w:fill="FFFFFF"/>
              <w:jc w:val="both"/>
              <w:rPr>
                <w:color w:val="1A1A1A"/>
              </w:rPr>
            </w:pPr>
            <w:r>
              <w:rPr>
                <w:color w:val="1A1A1A"/>
              </w:rPr>
              <w:t>Р</w:t>
            </w:r>
            <w:r w:rsidRPr="00A51A35">
              <w:rPr>
                <w:color w:val="1A1A1A"/>
              </w:rPr>
              <w:t>екомендуется провести мониторинг квалификации</w:t>
            </w:r>
            <w:r w:rsidRPr="00A51A35">
              <w:rPr>
                <w:color w:val="1A1A1A"/>
              </w:rPr>
              <w:t xml:space="preserve"> </w:t>
            </w:r>
            <w:r w:rsidRPr="00A51A35">
              <w:rPr>
                <w:color w:val="1A1A1A"/>
              </w:rPr>
              <w:t>специалистов</w:t>
            </w:r>
            <w:r w:rsidRPr="00A51A35">
              <w:rPr>
                <w:color w:val="1A1A1A"/>
              </w:rPr>
              <w:t xml:space="preserve"> </w:t>
            </w:r>
            <w:r w:rsidRPr="00A51A35">
              <w:rPr>
                <w:color w:val="1A1A1A"/>
              </w:rPr>
              <w:t>бухгалтерских</w:t>
            </w:r>
            <w:r w:rsidRPr="00A51A35">
              <w:rPr>
                <w:color w:val="1A1A1A"/>
              </w:rPr>
              <w:t xml:space="preserve"> и </w:t>
            </w:r>
            <w:r w:rsidRPr="00A51A35">
              <w:rPr>
                <w:color w:val="1A1A1A"/>
              </w:rPr>
              <w:t>экономических</w:t>
            </w:r>
            <w:r w:rsidRPr="00A51A35">
              <w:rPr>
                <w:color w:val="1A1A1A"/>
              </w:rPr>
              <w:t xml:space="preserve"> </w:t>
            </w:r>
            <w:r w:rsidRPr="00A51A35">
              <w:rPr>
                <w:color w:val="1A1A1A"/>
              </w:rPr>
              <w:t>служб</w:t>
            </w:r>
          </w:p>
          <w:p w:rsidR="00A51A35" w:rsidRDefault="00A51A35" w:rsidP="00A51A35">
            <w:pPr>
              <w:shd w:val="clear" w:color="auto" w:fill="FFFFFF"/>
              <w:jc w:val="both"/>
              <w:rPr>
                <w:color w:val="1A1A1A"/>
              </w:rPr>
            </w:pPr>
            <w:r>
              <w:rPr>
                <w:color w:val="1A1A1A"/>
              </w:rPr>
              <w:t xml:space="preserve">централизованных бухгалтерий,  </w:t>
            </w:r>
            <w:r w:rsidRPr="00A51A35">
              <w:rPr>
                <w:color w:val="1A1A1A"/>
              </w:rPr>
              <w:t>подведомственны</w:t>
            </w:r>
            <w:r>
              <w:rPr>
                <w:color w:val="1A1A1A"/>
              </w:rPr>
              <w:t>х</w:t>
            </w:r>
            <w:r w:rsidRPr="00A51A35">
              <w:rPr>
                <w:color w:val="1A1A1A"/>
              </w:rPr>
              <w:t xml:space="preserve"> учреждени</w:t>
            </w:r>
            <w:r>
              <w:rPr>
                <w:color w:val="1A1A1A"/>
              </w:rPr>
              <w:t>й</w:t>
            </w:r>
            <w:r w:rsidRPr="00A51A35">
              <w:rPr>
                <w:color w:val="1A1A1A"/>
              </w:rPr>
              <w:t>, в том числе:</w:t>
            </w:r>
          </w:p>
          <w:p w:rsidR="00A51A35" w:rsidRDefault="00A51A35" w:rsidP="00A51A35">
            <w:pPr>
              <w:shd w:val="clear" w:color="auto" w:fill="FFFFFF"/>
              <w:jc w:val="both"/>
              <w:rPr>
                <w:color w:val="1A1A1A"/>
              </w:rPr>
            </w:pPr>
            <w:r>
              <w:rPr>
                <w:color w:val="1A1A1A"/>
              </w:rPr>
              <w:t xml:space="preserve">- </w:t>
            </w:r>
            <w:r w:rsidRPr="00A51A35">
              <w:rPr>
                <w:color w:val="1A1A1A"/>
              </w:rPr>
              <w:t>укомплектованности кадрами, имеющими профильное образование;</w:t>
            </w:r>
          </w:p>
          <w:p w:rsidR="00A51A35" w:rsidRDefault="00A51A35" w:rsidP="00A51A35">
            <w:pPr>
              <w:shd w:val="clear" w:color="auto" w:fill="FFFFFF"/>
              <w:jc w:val="both"/>
              <w:rPr>
                <w:color w:val="1A1A1A"/>
              </w:rPr>
            </w:pPr>
            <w:r>
              <w:rPr>
                <w:color w:val="1A1A1A"/>
              </w:rPr>
              <w:t>-</w:t>
            </w:r>
            <w:r w:rsidRPr="00A51A35">
              <w:rPr>
                <w:color w:val="1A1A1A"/>
              </w:rPr>
              <w:t>переподготовки и повышения квал</w:t>
            </w:r>
            <w:r>
              <w:rPr>
                <w:color w:val="1A1A1A"/>
              </w:rPr>
              <w:t>ификации указанных специалистов;</w:t>
            </w:r>
          </w:p>
          <w:p w:rsidR="00A51A35" w:rsidRPr="00A51A35" w:rsidRDefault="00A51A35" w:rsidP="00A51A35">
            <w:pPr>
              <w:shd w:val="clear" w:color="auto" w:fill="FFFFFF"/>
              <w:jc w:val="both"/>
              <w:rPr>
                <w:rFonts w:eastAsia="Calibri"/>
                <w:bCs/>
              </w:rPr>
            </w:pPr>
            <w:r>
              <w:rPr>
                <w:color w:val="1A1A1A"/>
              </w:rPr>
              <w:t>-</w:t>
            </w:r>
            <w:r>
              <w:rPr>
                <w:color w:val="1A1A1A"/>
              </w:rPr>
              <w:tab/>
              <w:t>н</w:t>
            </w:r>
            <w:r w:rsidRPr="00A51A35">
              <w:rPr>
                <w:rFonts w:eastAsia="Calibri"/>
                <w:bCs/>
              </w:rPr>
              <w:t>азначение ответственных лиц за подачу сведений и представление отчетности в налоговые орга</w:t>
            </w:r>
            <w:r>
              <w:rPr>
                <w:rFonts w:eastAsia="Calibri"/>
                <w:bCs/>
              </w:rPr>
              <w:t>ны, в ФСС, ПФ РФ, стат</w:t>
            </w:r>
            <w:r w:rsidR="00B00AE7">
              <w:rPr>
                <w:rFonts w:eastAsia="Calibri"/>
                <w:bCs/>
              </w:rPr>
              <w:t xml:space="preserve">истической </w:t>
            </w:r>
            <w:r>
              <w:rPr>
                <w:rFonts w:eastAsia="Calibri"/>
                <w:bCs/>
              </w:rPr>
              <w:t>отчетности.</w:t>
            </w:r>
          </w:p>
          <w:p w:rsidR="00A51A35" w:rsidRPr="00A51A35" w:rsidRDefault="00A51A35" w:rsidP="00D80287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Обеспечивать с</w:t>
            </w:r>
            <w:r w:rsidRPr="00A51A35">
              <w:rPr>
                <w:rFonts w:eastAsia="Calibri"/>
                <w:bCs/>
              </w:rPr>
              <w:t>воевременн</w:t>
            </w:r>
            <w:r>
              <w:rPr>
                <w:rFonts w:eastAsia="Calibri"/>
                <w:bCs/>
              </w:rPr>
              <w:t>ую</w:t>
            </w:r>
            <w:r w:rsidRPr="00A51A35">
              <w:rPr>
                <w:rFonts w:eastAsia="Calibri"/>
                <w:bCs/>
              </w:rPr>
              <w:t xml:space="preserve"> оплат</w:t>
            </w:r>
            <w:r>
              <w:rPr>
                <w:rFonts w:eastAsia="Calibri"/>
                <w:bCs/>
              </w:rPr>
              <w:t>у</w:t>
            </w:r>
            <w:r w:rsidRPr="00A51A35">
              <w:rPr>
                <w:rFonts w:eastAsia="Calibri"/>
                <w:bCs/>
              </w:rPr>
              <w:t xml:space="preserve"> договоров, подрядчиков, в том числе за счет межбюджетных трансфертов. </w:t>
            </w:r>
            <w:r>
              <w:rPr>
                <w:rFonts w:eastAsia="Calibri"/>
                <w:bCs/>
              </w:rPr>
              <w:t>(</w:t>
            </w:r>
            <w:r w:rsidRPr="00A51A35">
              <w:rPr>
                <w:rFonts w:eastAsia="Calibri"/>
                <w:bCs/>
              </w:rPr>
              <w:t>Своевременное направление заявок в курирующие Министерства для получения межбюджетных трансфертов</w:t>
            </w:r>
            <w:r w:rsidR="004F5FE1">
              <w:rPr>
                <w:rFonts w:eastAsia="Calibri"/>
                <w:bCs/>
              </w:rPr>
              <w:t xml:space="preserve"> для оплаты контрактов).</w:t>
            </w:r>
            <w:r w:rsidRPr="00A51A35">
              <w:rPr>
                <w:rFonts w:eastAsia="Calibri"/>
                <w:bCs/>
              </w:rPr>
              <w:t xml:space="preserve">  </w:t>
            </w:r>
          </w:p>
        </w:tc>
        <w:tc>
          <w:tcPr>
            <w:tcW w:w="2389" w:type="dxa"/>
          </w:tcPr>
          <w:p w:rsidR="006F34B9" w:rsidRPr="006F34B9" w:rsidRDefault="001B2BCA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 течение финансового года постоянно</w:t>
            </w:r>
          </w:p>
        </w:tc>
      </w:tr>
      <w:tr w:rsidR="006F34B9" w:rsidRPr="006622A4" w:rsidTr="00742F88">
        <w:tc>
          <w:tcPr>
            <w:tcW w:w="3369" w:type="dxa"/>
          </w:tcPr>
          <w:p w:rsidR="006F34B9" w:rsidRPr="006F34B9" w:rsidRDefault="00EE2F78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 w:rsidRPr="00EE2F78">
              <w:rPr>
                <w:rFonts w:eastAsia="Calibri"/>
                <w:bCs/>
              </w:rPr>
              <w:t>Эффективность использования межбюджетных трансфертов, имеющих целевое назначение</w:t>
            </w:r>
          </w:p>
        </w:tc>
        <w:tc>
          <w:tcPr>
            <w:tcW w:w="4536" w:type="dxa"/>
          </w:tcPr>
          <w:p w:rsidR="006F34B9" w:rsidRPr="006F34B9" w:rsidRDefault="00C86DCC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Межбюджетные трансферты не освоены в полном объеме</w:t>
            </w:r>
          </w:p>
        </w:tc>
        <w:tc>
          <w:tcPr>
            <w:tcW w:w="4373" w:type="dxa"/>
          </w:tcPr>
          <w:p w:rsidR="004F5FE1" w:rsidRPr="006F34B9" w:rsidRDefault="00C86DCC" w:rsidP="004F5FE1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Необходимо осуществлять контроль в части проведения конкурсных процедур в части выявления сумм экономии для </w:t>
            </w:r>
            <w:r w:rsidR="004F5FE1">
              <w:rPr>
                <w:rFonts w:eastAsia="Calibri"/>
                <w:bCs/>
              </w:rPr>
              <w:t>ее дальнейшего перераспределения (уменьшения) по согласованию с курирующими министерствами Мурманской области.</w:t>
            </w:r>
          </w:p>
        </w:tc>
        <w:tc>
          <w:tcPr>
            <w:tcW w:w="2389" w:type="dxa"/>
          </w:tcPr>
          <w:p w:rsidR="006F34B9" w:rsidRPr="006F34B9" w:rsidRDefault="004F5FE1" w:rsidP="00742F88">
            <w:pPr>
              <w:widowControl w:val="0"/>
              <w:tabs>
                <w:tab w:val="left" w:pos="851"/>
              </w:tabs>
              <w:spacing w:line="240" w:lineRule="atLeas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постоянной основе в течение финансового года</w:t>
            </w:r>
          </w:p>
        </w:tc>
      </w:tr>
    </w:tbl>
    <w:p w:rsidR="00B03454" w:rsidRPr="006622A4" w:rsidRDefault="00B03454" w:rsidP="00B03454">
      <w:pPr>
        <w:widowControl w:val="0"/>
        <w:tabs>
          <w:tab w:val="left" w:pos="851"/>
        </w:tabs>
        <w:spacing w:line="240" w:lineRule="atLeast"/>
        <w:ind w:firstLine="425"/>
        <w:jc w:val="both"/>
        <w:rPr>
          <w:rFonts w:eastAsia="Calibri"/>
          <w:bCs/>
          <w:sz w:val="28"/>
          <w:szCs w:val="28"/>
          <w:vertAlign w:val="subscript"/>
        </w:rPr>
      </w:pPr>
    </w:p>
    <w:p w:rsidR="00F851D6" w:rsidRDefault="00F851D6"/>
    <w:sectPr w:rsidR="00F851D6" w:rsidSect="00B034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BD"/>
    <w:rsid w:val="001B2BCA"/>
    <w:rsid w:val="004F5FE1"/>
    <w:rsid w:val="006F34B9"/>
    <w:rsid w:val="007702BD"/>
    <w:rsid w:val="008E391E"/>
    <w:rsid w:val="00A51A35"/>
    <w:rsid w:val="00B00AE7"/>
    <w:rsid w:val="00B03454"/>
    <w:rsid w:val="00C86DCC"/>
    <w:rsid w:val="00D80287"/>
    <w:rsid w:val="00EE2F78"/>
    <w:rsid w:val="00F8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Пикина Надежда Анатольевна</dc:creator>
  <cp:keywords/>
  <dc:description/>
  <cp:lastModifiedBy>Пикина Надежда Анатольевна</cp:lastModifiedBy>
  <cp:revision>6</cp:revision>
  <dcterms:created xsi:type="dcterms:W3CDTF">2023-08-14T09:30:00Z</dcterms:created>
  <dcterms:modified xsi:type="dcterms:W3CDTF">2023-08-14T11:14:00Z</dcterms:modified>
</cp:coreProperties>
</file>