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proofErr w:type="gramStart"/>
      <w:r>
        <w:rPr>
          <w:rFonts w:ascii="Arial" w:hAnsi="Arial" w:cs="Arial"/>
          <w:color w:val="3B4256"/>
          <w:sz w:val="26"/>
          <w:szCs w:val="26"/>
        </w:rPr>
        <w:t xml:space="preserve">Доводим до Вашего сведения, что на территории муниципального образования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Печенгский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 Мурманской области, согласно решению Совета депутатов городского поселения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от 30.10.2017 № 69 «О Правилах благоустройства территории муниципального образования городское поселение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Мурманской области», решению Совета депутатов муниципальное образование городское поселение Печенга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Мурманской области третьего созыва от 31.03.2017 № 212 «О Правилах благоустройства территории муниципального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образования городское поселение Печенга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Мурманской области», решению Совета депутатов муниципальное образование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г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.З</w:t>
      </w:r>
      <w:proofErr w:type="gramEnd"/>
      <w:r>
        <w:rPr>
          <w:rFonts w:ascii="Arial" w:hAnsi="Arial" w:cs="Arial"/>
          <w:color w:val="3B4256"/>
          <w:sz w:val="26"/>
          <w:szCs w:val="26"/>
        </w:rPr>
        <w:t>аполярный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от 18.09.2012 № 194/33-12 «О Правилах благоустройства и санитарного содержания территории муниципального образования г. Заполярный», решению Совета депутатов сельского поселения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от 29.09.2012 № 138 « </w:t>
      </w:r>
      <w:r>
        <w:rPr>
          <w:rStyle w:val="a4"/>
          <w:rFonts w:ascii="Arial" w:hAnsi="Arial" w:cs="Arial"/>
          <w:color w:val="3B4256"/>
          <w:sz w:val="26"/>
          <w:szCs w:val="26"/>
        </w:rPr>
        <w:t xml:space="preserve">О Правилах благоустройства территории муниципального образования сельское поселение </w:t>
      </w:r>
      <w:proofErr w:type="spellStart"/>
      <w:r>
        <w:rPr>
          <w:rStyle w:val="a4"/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Style w:val="a4"/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Style w:val="a4"/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Style w:val="a4"/>
          <w:rFonts w:ascii="Arial" w:hAnsi="Arial" w:cs="Arial"/>
          <w:color w:val="3B4256"/>
          <w:sz w:val="26"/>
          <w:szCs w:val="26"/>
        </w:rPr>
        <w:t xml:space="preserve"> района Мурманской области» </w:t>
      </w:r>
      <w:r>
        <w:rPr>
          <w:rFonts w:ascii="Arial" w:hAnsi="Arial" w:cs="Arial"/>
          <w:color w:val="3B4256"/>
          <w:sz w:val="26"/>
          <w:szCs w:val="26"/>
        </w:rPr>
        <w:t>(далее - Правила благоустройства) </w:t>
      </w:r>
      <w:r>
        <w:rPr>
          <w:rStyle w:val="a4"/>
          <w:rFonts w:ascii="Arial" w:hAnsi="Arial" w:cs="Arial"/>
          <w:color w:val="3B4256"/>
          <w:sz w:val="26"/>
          <w:szCs w:val="26"/>
        </w:rPr>
        <w:t>запрещается</w:t>
      </w:r>
      <w:r>
        <w:rPr>
          <w:rFonts w:ascii="Arial" w:hAnsi="Arial" w:cs="Arial"/>
          <w:color w:val="3B4256"/>
          <w:sz w:val="26"/>
          <w:szCs w:val="26"/>
        </w:rPr>
        <w:t>: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ходить и лежать на газонах и в молодых лесных посадках;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ломать и портить деревья, кустарники, сучья и ветви, срывать листья и цветы, сбивать и собирать плоды;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разбивать палатки и разводить костры;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засорять газоны, цветники, дорожки и водоемы;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портить скульптуры, скамейки, ограды;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мыть автотранспортные средства, стирать белье, а также купать животных в водоемах, расположенных на территории городского поселения Никель;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передвигаться на транспортных средствах, велосипедах и ставить их на газонах и цветниках, за исключением случаев проведения необходимых работ на данных территориях, с условием обязательного проведения восстановительных работ;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перемещаться, располагаться для отдыха и игр на газонах скверов, мемориальных зон парков, являющихся объектами озеленения общего пользования;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lastRenderedPageBreak/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обнажать корни деревьев на расстоянии ближе 1,5 м от ствола и засыпать шейки деревьев землей или строительным мусором;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складировать на территории зеленых насаждений строительные и прочие материалы, а также устраивать на прилегающих территориях склады материалов, способствующие распространению вредителей и порче зеленых насаждений;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устраивать свалки мусора,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добывать растительную землю, песок и производить другие раскопки;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- выгуливать и отпускать с поводка собак в парках, лесопарках, скверах и иных территориях зеленых 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насаждений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не предназначенных для данных целей;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сжигать на территории общего пользования листву, иной мусор и ТКО, а также осуществлять их смет в лотки и иные водопропускные устройства;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разводить костры;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осуществлять раскопку озелененных территорий под огороды и сельскохозяйственные посадки;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сбрасывать смет и мусор на газоны;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окрашивать зеленые насаждения, за исключением побелки нижних частей ствола деревьев;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- самовольная посадка и вырубка деревьев и кустарников, уничтожение газонов и цветников.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Нарушение положений Правил благоустройства является административным правонарушением, ответственность за совершение которого предусмотрена статьей 2 Закона Мурманской области от 06.06.2003 № 401-01-ЗМО «Об административных правонарушениях».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На территории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пгт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Никель и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сп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снос зеленых насаждений, их пересадка, санитарная обрезка зеленых насаждений осуществляются в соответствии 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с</w:t>
      </w:r>
      <w:proofErr w:type="gramEnd"/>
      <w:r>
        <w:rPr>
          <w:rFonts w:ascii="Arial" w:hAnsi="Arial" w:cs="Arial"/>
          <w:color w:val="3B4256"/>
          <w:sz w:val="26"/>
          <w:szCs w:val="26"/>
        </w:rPr>
        <w:t>: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lastRenderedPageBreak/>
        <w:t xml:space="preserve">- Порядком вырубки зеленых насаждений на территории муниципального образования городское поселение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Мурманской области, утвержденным постановлением администрации городского поселения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от 21.07.2014 № 49 (в ред. 14.08.2014 № 60) (далее – Порядок 1);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- Порядком вырубки зеленых насаждений на территории сельское поселение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от 24.06.2019 № 35 (далее – Порядок 2).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proofErr w:type="gramStart"/>
      <w:r>
        <w:rPr>
          <w:rFonts w:ascii="Arial" w:hAnsi="Arial" w:cs="Arial"/>
          <w:color w:val="3B4256"/>
          <w:sz w:val="26"/>
          <w:szCs w:val="26"/>
        </w:rPr>
        <w:t xml:space="preserve">Согласно Порядку 1 и Порядку 2 снос, пересадка и санитарная обрезка зеленых насаждений производятся на основании разрешения Главы администрации городского поселения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 и Главы сельского поселения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района, за исключением случаев проведения специализированными организациями работ по ремонту и текущему содержанию объектов зеленых насаждений парков, скверов, бульваров, зеленых насаждений на улицах города, а также проведения работ по обеспечению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нормальной видимости технических средств регулирования дорожного движения для безопасного движения пешеходов и транспорта.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Если Вы стали свидетелем несанкционированного сноса и/или повреждения зеленых насаждений: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1. Постарайтесь выяснить наименование организации или информацию о лице, производящем снос и/или повреждение зеленых насаждений.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2. По возможности сделайте фотографии момента уничтожения и/или повреждения зеленых насаждений.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3. Сообщите об 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увиденном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по телефону 8-921-033-0009 дежурному оператору ЕДДС (круглосуточно).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В случае необходимости согласования сноса или санитарной обрезки аварийных, сухостойных деревьев и кустарников, восстановления светового режима в жилых помещениях физическим лицам необходимо обратиться в организацию, обслуживающую придомовую территорию, на которой расположены зеленые насаждения. Указанной организации, получив данные заявления от жителей дома, надлежит обратиться в администрацию городского (сельского) поселения.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Юридическим лицам для согласования сноса, пересадки и санитарной обрезки зеленых насаждений на территории муниципального образования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Печенгский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 Мурманской области надлежит обращаться в администрацию городского (сельского) поселения.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proofErr w:type="gramStart"/>
      <w:r>
        <w:rPr>
          <w:rFonts w:ascii="Arial" w:hAnsi="Arial" w:cs="Arial"/>
          <w:color w:val="3B4256"/>
          <w:sz w:val="26"/>
          <w:szCs w:val="26"/>
        </w:rPr>
        <w:lastRenderedPageBreak/>
        <w:t xml:space="preserve">Напоминаем, что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Печенгский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 – муниципальное образование, наделенное статусом муниципального района, состоящее из трех городских и одного сельского поселения, объединенных общей территорией в соответствии с Законом Мурманской области от 02.12.2004 № 539-01-ЗМО «О статусе, наименованиях и составе территорий муниципального образования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Печенгский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 и муниципальных образований, входящих в его состав», с исторически сложившимися границами, установленными Законом Мурманской области от 29.12.2004 № 582-01-ЗМО «Об утверждении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границ муниципальных образований в Мурманской области».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>Городскими (сельскими) поселениями являются муниципальные образования: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- городское поселение Заполярный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района, с населенным пунктом г. Заполярный (административный центр поселения);</w:t>
      </w:r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proofErr w:type="gramStart"/>
      <w:r>
        <w:rPr>
          <w:rFonts w:ascii="Arial" w:hAnsi="Arial" w:cs="Arial"/>
          <w:color w:val="3B4256"/>
          <w:sz w:val="26"/>
          <w:szCs w:val="26"/>
        </w:rPr>
        <w:t xml:space="preserve">- городское поселение Никель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района, с населенными пунктами: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п.г.т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Никель (административный центр поселения),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>.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Борисоглебский,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Раякоски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Сальмиярви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Приречный;</w:t>
      </w:r>
      <w:proofErr w:type="gramEnd"/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proofErr w:type="gramStart"/>
      <w:r>
        <w:rPr>
          <w:rFonts w:ascii="Arial" w:hAnsi="Arial" w:cs="Arial"/>
          <w:color w:val="3B4256"/>
          <w:sz w:val="26"/>
          <w:szCs w:val="26"/>
        </w:rPr>
        <w:t xml:space="preserve">- городское поселение Печенга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района, с населенными пунктами: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п.г.т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Печенга (административный центр поселения),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>.</w:t>
      </w:r>
      <w:proofErr w:type="gramEnd"/>
      <w:r>
        <w:rPr>
          <w:rFonts w:ascii="Arial" w:hAnsi="Arial" w:cs="Arial"/>
          <w:color w:val="3B4256"/>
          <w:sz w:val="26"/>
          <w:szCs w:val="26"/>
        </w:rPr>
        <w:t xml:space="preserve"> Вайда-Губа,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Лиинахамари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Цыпнаволок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gramStart"/>
      <w:r>
        <w:rPr>
          <w:rFonts w:ascii="Arial" w:hAnsi="Arial" w:cs="Arial"/>
          <w:color w:val="3B4256"/>
          <w:sz w:val="26"/>
          <w:szCs w:val="26"/>
        </w:rPr>
        <w:t>Спутник, ж.-д. ст. «Печенга»;</w:t>
      </w:r>
      <w:proofErr w:type="gramEnd"/>
    </w:p>
    <w:p w:rsidR="00021388" w:rsidRDefault="00021388" w:rsidP="00021388">
      <w:pPr>
        <w:pStyle w:val="a3"/>
        <w:shd w:val="clear" w:color="auto" w:fill="FAFBFC"/>
        <w:spacing w:before="0" w:beforeAutospacing="0" w:after="360" w:afterAutospacing="0"/>
        <w:rPr>
          <w:rFonts w:ascii="Arial" w:hAnsi="Arial" w:cs="Arial"/>
          <w:color w:val="3B4256"/>
          <w:sz w:val="26"/>
          <w:szCs w:val="26"/>
        </w:rPr>
      </w:pPr>
      <w:r>
        <w:rPr>
          <w:rFonts w:ascii="Arial" w:hAnsi="Arial" w:cs="Arial"/>
          <w:color w:val="3B4256"/>
          <w:sz w:val="26"/>
          <w:szCs w:val="26"/>
        </w:rPr>
        <w:t xml:space="preserve">- сельское поселение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Печенгского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района, с населенными пунктами: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Корзуново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 (административный центр поселения),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Луостари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н.п</w:t>
      </w:r>
      <w:proofErr w:type="spellEnd"/>
      <w:r>
        <w:rPr>
          <w:rFonts w:ascii="Arial" w:hAnsi="Arial" w:cs="Arial"/>
          <w:color w:val="3B4256"/>
          <w:sz w:val="26"/>
          <w:szCs w:val="26"/>
        </w:rPr>
        <w:t xml:space="preserve">. Путевая Усадьба 9 км железной дороги 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Луостари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>-Никель, ж.-д. ст. «</w:t>
      </w:r>
      <w:proofErr w:type="spellStart"/>
      <w:r>
        <w:rPr>
          <w:rFonts w:ascii="Arial" w:hAnsi="Arial" w:cs="Arial"/>
          <w:color w:val="3B4256"/>
          <w:sz w:val="26"/>
          <w:szCs w:val="26"/>
        </w:rPr>
        <w:t>Луостари</w:t>
      </w:r>
      <w:proofErr w:type="spellEnd"/>
      <w:r>
        <w:rPr>
          <w:rFonts w:ascii="Arial" w:hAnsi="Arial" w:cs="Arial"/>
          <w:color w:val="3B4256"/>
          <w:sz w:val="26"/>
          <w:szCs w:val="26"/>
        </w:rPr>
        <w:t>», ж.-д. ст. «Титовка».</w:t>
      </w:r>
    </w:p>
    <w:p w:rsidR="00E31BEE" w:rsidRDefault="00E31BEE">
      <w:bookmarkStart w:id="0" w:name="_GoBack"/>
      <w:bookmarkEnd w:id="0"/>
    </w:p>
    <w:sectPr w:rsidR="00E3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6D"/>
    <w:rsid w:val="00021388"/>
    <w:rsid w:val="00255F6D"/>
    <w:rsid w:val="00E3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3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3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1107</Words>
  <Characters>6311</Characters>
  <Application>Microsoft Office Word</Application>
  <DocSecurity>0</DocSecurity>
  <Lines>52</Lines>
  <Paragraphs>14</Paragraphs>
  <ScaleCrop>false</ScaleCrop>
  <Company>АПР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Телеусов Денис Александрович</dc:creator>
  <cp:keywords/>
  <dc:description/>
  <cp:lastModifiedBy>Телеусов Денис Александрович</cp:lastModifiedBy>
  <cp:revision>3</cp:revision>
  <dcterms:created xsi:type="dcterms:W3CDTF">2022-07-05T13:48:00Z</dcterms:created>
  <dcterms:modified xsi:type="dcterms:W3CDTF">2022-07-05T13:48:00Z</dcterms:modified>
</cp:coreProperties>
</file>