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29.12.2023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</w:t>
      </w:r>
      <w:r>
        <w:rPr>
          <w:b/>
        </w:rPr>
        <w:t xml:space="preserve">2037</w:t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</w:t>
      </w:r>
      <w:r>
        <w:rPr>
          <w:b/>
          <w:sz w:val="20"/>
          <w:szCs w:val="20"/>
        </w:rPr>
        <w:t xml:space="preserve"> внесении изменений в</w:t>
      </w:r>
      <w:r>
        <w:rPr>
          <w:b/>
          <w:sz w:val="20"/>
          <w:szCs w:val="20"/>
        </w:rPr>
        <w:t xml:space="preserve"> муниципальн</w:t>
      </w:r>
      <w:r>
        <w:rPr>
          <w:b/>
          <w:sz w:val="20"/>
          <w:szCs w:val="20"/>
        </w:rPr>
        <w:t xml:space="preserve">ую</w:t>
      </w:r>
      <w:r>
        <w:rPr>
          <w:b/>
          <w:sz w:val="20"/>
          <w:szCs w:val="20"/>
        </w:rPr>
        <w:t xml:space="preserve"> программ</w:t>
      </w:r>
      <w:r>
        <w:rPr>
          <w:b/>
          <w:sz w:val="20"/>
          <w:szCs w:val="20"/>
        </w:rPr>
        <w:t xml:space="preserve">у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Печенгского муниципального </w:t>
      </w:r>
      <w:r>
        <w:rPr>
          <w:b/>
          <w:sz w:val="20"/>
          <w:szCs w:val="20"/>
        </w:rPr>
        <w:t xml:space="preserve">округа </w:t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«Физическая культура</w:t>
      </w:r>
      <w:r>
        <w:rPr>
          <w:b/>
          <w:sz w:val="20"/>
          <w:szCs w:val="20"/>
        </w:rPr>
        <w:t xml:space="preserve"> и спорт» на 2023-2025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администрации Печенгского мун</w:t>
      </w:r>
      <w:r>
        <w:rPr>
          <w:b/>
          <w:sz w:val="20"/>
          <w:szCs w:val="20"/>
        </w:rPr>
        <w:t xml:space="preserve">иципального округа от 03.11.2022</w:t>
      </w:r>
      <w:r>
        <w:rPr>
          <w:b/>
          <w:sz w:val="20"/>
          <w:szCs w:val="20"/>
        </w:rPr>
        <w:t xml:space="preserve"> №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1495</w:t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spacing w:val="1"/>
          <w:sz w:val="20"/>
        </w:rPr>
      </w:pPr>
      <w:r>
        <w:rPr>
          <w:spacing w:val="1"/>
          <w:sz w:val="20"/>
        </w:rPr>
      </w:r>
      <w:r>
        <w:rPr>
          <w:spacing w:val="1"/>
          <w:sz w:val="20"/>
        </w:rPr>
      </w:r>
    </w:p>
    <w:p>
      <w:pPr>
        <w:jc w:val="center"/>
        <w:tabs>
          <w:tab w:val="left" w:pos="709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Руководствуясь статьей 179 Бюджетного </w:t>
      </w:r>
      <w:r>
        <w:rPr>
          <w:color w:val="000000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 </w:t>
      </w:r>
      <w:r>
        <w:rPr>
          <w:color w:val="000000"/>
        </w:rPr>
      </w:r>
    </w:p>
    <w:p>
      <w:pPr>
        <w:ind w:firstLine="72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</w:p>
    <w:p>
      <w:pPr>
        <w:jc w:val="both"/>
      </w:pPr>
      <w:r/>
      <w:r/>
    </w:p>
    <w:p>
      <w:pPr>
        <w:pStyle w:val="751"/>
        <w:numPr>
          <w:ilvl w:val="0"/>
          <w:numId w:val="25"/>
        </w:numPr>
        <w:ind w:left="0" w:right="-5" w:firstLine="705"/>
        <w:jc w:val="both"/>
        <w:widowControl w:val="off"/>
        <w:rPr>
          <w:rFonts w:eastAsia="Calibri"/>
        </w:rPr>
      </w:pPr>
      <w:r>
        <w:rPr>
          <w:rFonts w:eastAsia="Calibri"/>
        </w:rPr>
        <w:t xml:space="preserve">Внести в муниципальную программу Печенгского муниципального округа </w:t>
      </w:r>
      <w:r>
        <w:rPr>
          <w:rFonts w:eastAsia="Calibri"/>
        </w:rPr>
        <w:t xml:space="preserve">«Физическая культура и спорт» </w:t>
      </w:r>
      <w:r>
        <w:rPr>
          <w:rFonts w:eastAsia="Calibri"/>
        </w:rPr>
        <w:t xml:space="preserve">на 2023-2025</w:t>
      </w:r>
      <w:r>
        <w:rPr>
          <w:rFonts w:eastAsia="Calibri"/>
        </w:rPr>
        <w:t xml:space="preserve"> годы, утвержденную постановлением </w:t>
      </w:r>
      <w:r>
        <w:rPr>
          <w:rFonts w:eastAsia="Calibri"/>
          <w:bCs/>
        </w:rPr>
        <w:t xml:space="preserve">администрации Печенгс</w:t>
      </w:r>
      <w:r>
        <w:rPr>
          <w:rFonts w:eastAsia="Calibri"/>
          <w:bCs/>
        </w:rPr>
        <w:t xml:space="preserve">кого муниципального округа от 03.11.2022</w:t>
      </w:r>
      <w:r>
        <w:rPr>
          <w:rFonts w:eastAsia="Calibri"/>
          <w:bCs/>
        </w:rPr>
        <w:t xml:space="preserve"> </w:t>
      </w:r>
      <w:r>
        <w:rPr>
          <w:rFonts w:eastAsia="Calibri"/>
          <w:bCs/>
        </w:rPr>
        <w:t xml:space="preserve">№ 1495</w:t>
      </w:r>
      <w:r>
        <w:rPr>
          <w:rFonts w:eastAsia="Calibri"/>
          <w:bCs/>
        </w:rPr>
        <w:t xml:space="preserve"> (в редакции постановления администрации Печенгс</w:t>
      </w:r>
      <w:r>
        <w:rPr>
          <w:rFonts w:eastAsia="Calibri"/>
          <w:bCs/>
        </w:rPr>
        <w:t xml:space="preserve">кого муниципального округа от 28.11</w:t>
      </w:r>
      <w:r>
        <w:rPr>
          <w:rFonts w:eastAsia="Calibri"/>
          <w:bCs/>
        </w:rPr>
        <w:t xml:space="preserve">.2023 </w:t>
      </w:r>
      <w:r>
        <w:rPr>
          <w:rFonts w:eastAsia="Calibri"/>
          <w:bCs/>
        </w:rPr>
        <w:t xml:space="preserve">                       </w:t>
      </w:r>
      <w:r>
        <w:rPr>
          <w:rFonts w:eastAsia="Calibri"/>
          <w:bCs/>
        </w:rPr>
        <w:t xml:space="preserve">№ </w:t>
      </w:r>
      <w:r>
        <w:rPr>
          <w:rFonts w:eastAsia="Calibri"/>
          <w:bCs/>
        </w:rPr>
        <w:t xml:space="preserve">1754</w:t>
      </w:r>
      <w:r>
        <w:rPr>
          <w:rFonts w:eastAsia="Calibri"/>
          <w:bCs/>
        </w:rPr>
        <w:t xml:space="preserve">) (далее – Программа)</w:t>
      </w:r>
      <w:r>
        <w:rPr>
          <w:rFonts w:eastAsia="Calibri"/>
        </w:rPr>
        <w:t xml:space="preserve">, следующие изменения:</w:t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строку «Финансовое обеспечение программы» в паспорте П</w:t>
      </w:r>
      <w:r>
        <w:rPr>
          <w:rFonts w:eastAsia="Calibri"/>
        </w:rPr>
        <w:t xml:space="preserve">рограммы изложить в следующей ре</w:t>
      </w:r>
      <w:r>
        <w:rPr>
          <w:rFonts w:eastAsia="Calibri"/>
        </w:rPr>
        <w:t xml:space="preserve">дакции:</w:t>
      </w:r>
      <w:r>
        <w:rPr>
          <w:rFonts w:eastAsia="Calibri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1"/>
        <w:gridCol w:w="6964"/>
      </w:tblGrid>
      <w:tr>
        <w:tblPrEx/>
        <w:trPr>
          <w:trHeight w:val="542"/>
        </w:trPr>
        <w:tc>
          <w:tcPr>
            <w:tcW w:w="1278" w:type="pct"/>
            <w:textDirection w:val="lrTb"/>
            <w:noWrap w:val="false"/>
          </w:tcPr>
          <w:p>
            <w:pPr>
              <w:widowControl w:val="off"/>
              <w:rPr>
                <w:highlight w:val="yellow"/>
              </w:rPr>
            </w:pPr>
            <w:r>
              <w:t xml:space="preserve">«</w:t>
            </w:r>
            <w:r>
              <w:t xml:space="preserve">Финансовое обеспечение программы</w:t>
            </w:r>
            <w:r>
              <w:rPr>
                <w:highlight w:val="yellow"/>
              </w:rPr>
            </w:r>
          </w:p>
        </w:tc>
        <w:tc>
          <w:tcPr>
            <w:tcW w:w="3722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Всего по программе: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 xml:space="preserve">298</w:t>
            </w:r>
            <w:r>
              <w:rPr>
                <w:rFonts w:eastAsia="Calibri"/>
                <w:b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 xml:space="preserve">969,2</w:t>
            </w:r>
            <w:r>
              <w:rPr>
                <w:rFonts w:eastAsia="Calibri"/>
                <w:b/>
                <w:lang w:eastAsia="en-US"/>
              </w:rPr>
              <w:t xml:space="preserve"> тыс. рублей, </w:t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ФБ: 0,0 тыс. рублей, из них: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2023 год: 0,0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 год: 0,0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0,0 тыс. рублей.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ОБ: </w:t>
            </w:r>
            <w:r>
              <w:rPr>
                <w:rFonts w:eastAsia="Calibri"/>
                <w:lang w:eastAsia="en-US"/>
              </w:rPr>
              <w:t xml:space="preserve">68630,8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2023 год: </w:t>
            </w:r>
            <w:r>
              <w:rPr>
                <w:rFonts w:eastAsia="Calibri"/>
                <w:lang w:eastAsia="en-US"/>
              </w:rPr>
              <w:t xml:space="preserve">22020,3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 год: 22055,0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24555,5 тыс. рублей.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МБ: </w:t>
            </w:r>
            <w:r>
              <w:rPr>
                <w:rFonts w:eastAsia="Calibri"/>
                <w:lang w:eastAsia="en-US"/>
              </w:rPr>
              <w:t xml:space="preserve">195</w:t>
            </w:r>
            <w:r>
              <w:rPr>
                <w:rFonts w:eastAsia="Calibri"/>
                <w:lang w:eastAsia="en-US"/>
              </w:rPr>
              <w:t xml:space="preserve">659,2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2023 год: </w:t>
            </w:r>
            <w:r>
              <w:rPr>
                <w:rFonts w:eastAsia="Calibri"/>
                <w:lang w:eastAsia="en-US"/>
              </w:rPr>
              <w:t xml:space="preserve">66</w:t>
            </w:r>
            <w:r>
              <w:rPr>
                <w:rFonts w:eastAsia="Calibri"/>
                <w:lang w:eastAsia="en-US"/>
              </w:rPr>
              <w:t xml:space="preserve">466,8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 год: 66076,2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63116,2 тыс. рублей.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ВБС: </w:t>
            </w:r>
            <w:r>
              <w:rPr>
                <w:rFonts w:eastAsia="Calibri"/>
                <w:lang w:eastAsia="en-US"/>
              </w:rPr>
              <w:t xml:space="preserve">346</w:t>
            </w:r>
            <w:r>
              <w:rPr>
                <w:rFonts w:eastAsia="Calibri"/>
                <w:lang w:eastAsia="en-US"/>
              </w:rPr>
              <w:t xml:space="preserve">79,2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 из них: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2023 год: 116</w:t>
            </w:r>
            <w:r>
              <w:rPr>
                <w:rFonts w:eastAsia="Calibri"/>
                <w:lang w:eastAsia="en-US"/>
              </w:rPr>
              <w:t xml:space="preserve">79,2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 год: 11500,0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11500,0 тыс. рублей.</w:t>
            </w:r>
            <w:r>
              <w:rPr>
                <w:rFonts w:eastAsia="Calibri"/>
                <w:lang w:eastAsia="en-US"/>
              </w:rPr>
              <w:t xml:space="preserve">»;</w:t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jc w:val="both"/>
        <w:tabs>
          <w:tab w:val="left" w:pos="2149" w:leader="none"/>
        </w:tabs>
      </w:pPr>
      <w:r>
        <w:t xml:space="preserve"> </w:t>
      </w:r>
      <w:r/>
    </w:p>
    <w:p>
      <w:pPr>
        <w:jc w:val="both"/>
        <w:tabs>
          <w:tab w:val="left" w:pos="709" w:leader="none"/>
        </w:tabs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 xml:space="preserve">- </w:t>
      </w:r>
      <w:r>
        <w:rPr>
          <w:rFonts w:eastAsia="Calibri"/>
        </w:rPr>
        <w:t xml:space="preserve">строки</w:t>
      </w:r>
      <w:r>
        <w:rPr>
          <w:rFonts w:eastAsia="Calibri"/>
        </w:rPr>
        <w:t xml:space="preserve"> 3.2</w:t>
      </w:r>
      <w:r>
        <w:rPr>
          <w:rFonts w:eastAsia="Calibri"/>
        </w:rPr>
        <w:t xml:space="preserve">, </w:t>
      </w:r>
      <w:r>
        <w:rPr>
          <w:rFonts w:eastAsia="Calibri"/>
        </w:rPr>
        <w:t xml:space="preserve">«Итого по меропри</w:t>
      </w:r>
      <w:r>
        <w:rPr>
          <w:rFonts w:eastAsia="Calibri"/>
        </w:rPr>
        <w:t xml:space="preserve">ятию </w:t>
      </w:r>
      <w:r>
        <w:rPr>
          <w:rFonts w:eastAsia="Calibri"/>
        </w:rPr>
        <w:t xml:space="preserve">3</w:t>
      </w:r>
      <w:r>
        <w:rPr>
          <w:rFonts w:eastAsia="Calibri"/>
        </w:rPr>
        <w:t xml:space="preserve">»</w:t>
      </w:r>
      <w:r>
        <w:rPr>
          <w:rFonts w:eastAsia="Calibri"/>
        </w:rPr>
        <w:t xml:space="preserve"> и «Всего по программе»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Приложения 1 </w:t>
      </w:r>
      <w:r>
        <w:rPr>
          <w:rFonts w:eastAsia="Calibri"/>
        </w:rPr>
        <w:t xml:space="preserve">«</w:t>
      </w:r>
      <w:r>
        <w:rPr>
          <w:rFonts w:eastAsia="Calibri"/>
        </w:rPr>
        <w:t xml:space="preserve">Перечень</w:t>
      </w:r>
      <w:r>
        <w:rPr>
          <w:rFonts w:eastAsia="Calibri"/>
        </w:rPr>
        <w:t xml:space="preserve"> мероприятий </w:t>
      </w:r>
      <w:r>
        <w:rPr>
          <w:rFonts w:eastAsia="Calibri"/>
        </w:rPr>
        <w:t xml:space="preserve">программы </w:t>
      </w:r>
      <w:r>
        <w:rPr>
          <w:rFonts w:eastAsia="Calibri"/>
        </w:rPr>
        <w:t xml:space="preserve">с объемом финансирования» к</w:t>
      </w:r>
      <w:r>
        <w:rPr>
          <w:rFonts w:eastAsia="Calibri"/>
        </w:rPr>
        <w:t xml:space="preserve"> Программе </w:t>
      </w:r>
      <w:r>
        <w:rPr>
          <w:rFonts w:eastAsia="Calibri"/>
        </w:rPr>
        <w:t xml:space="preserve">изложить в следующей редакции</w:t>
      </w:r>
      <w:r>
        <w:rPr>
          <w:rFonts w:eastAsia="Calibri"/>
        </w:rPr>
        <w:t xml:space="preserve">:</w:t>
      </w:r>
      <w:r>
        <w:rPr>
          <w:rFonts w:eastAsia="Calibri"/>
        </w:rPr>
      </w:r>
    </w:p>
    <w:tbl>
      <w:tblPr>
        <w:tblW w:w="4887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688"/>
        <w:gridCol w:w="1574"/>
        <w:gridCol w:w="707"/>
        <w:gridCol w:w="7"/>
        <w:gridCol w:w="851"/>
        <w:gridCol w:w="1136"/>
        <w:gridCol w:w="992"/>
        <w:gridCol w:w="992"/>
        <w:gridCol w:w="1134"/>
        <w:gridCol w:w="1274"/>
      </w:tblGrid>
      <w:tr>
        <w:tblPrEx/>
        <w:trPr>
          <w:trHeight w:val="230"/>
        </w:trPr>
        <w:tc>
          <w:tcPr>
            <w:shd w:val="clear" w:color="auto" w:fill="auto"/>
            <w:tcW w:w="368" w:type="pct"/>
            <w:vMerge w:val="restart"/>
            <w:textDirection w:val="lrTb"/>
            <w:noWrap w:val="false"/>
          </w:tcPr>
          <w:p>
            <w:pPr>
              <w:ind w:left="-108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3.2.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Устройство освещения лыжни для школьников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2023</w:t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59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81" w:type="pct"/>
            <w:vMerge w:val="restart"/>
            <w:textDirection w:val="lrTb"/>
            <w:noWrap w:val="false"/>
          </w:tcPr>
          <w:p>
            <w:pPr>
              <w:ind w:left="-107" w:right="-177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Отдел образования, СОШ № 7</w:t>
            </w:r>
            <w:r>
              <w:rPr>
                <w:sz w:val="18"/>
                <w:szCs w:val="20"/>
              </w:rPr>
            </w:r>
          </w:p>
          <w:p>
            <w:pPr>
              <w:ind w:left="-107" w:right="-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59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1178,4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1178,4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59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59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235,0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235,0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1763,4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1763,4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8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 по мероприятию 3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59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8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59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2178,4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2178,4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8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59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9450,0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3450,0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8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59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235,0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235,0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8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59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11863,4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5863,4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5"/>
        </w:trPr>
        <w:tc>
          <w:tcPr>
            <w:gridSpan w:val="4"/>
            <w:shd w:val="clear" w:color="auto" w:fill="auto"/>
            <w:tcW w:w="1591" w:type="pct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rFonts w:eastAsia="Calibri"/>
              </w:rPr>
              <w:tab/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программе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8"/>
        </w:trPr>
        <w:tc>
          <w:tcPr>
            <w:gridSpan w:val="4"/>
            <w:shd w:val="clear" w:color="auto" w:fill="auto"/>
            <w:tcW w:w="1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68630,8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22020,3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22055,0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24555,5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43"/>
        </w:trPr>
        <w:tc>
          <w:tcPr>
            <w:gridSpan w:val="4"/>
            <w:shd w:val="clear" w:color="auto" w:fill="auto"/>
            <w:tcW w:w="1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195659,2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66466,8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66076,2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63116,2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9"/>
        </w:trPr>
        <w:tc>
          <w:tcPr>
            <w:gridSpan w:val="4"/>
            <w:shd w:val="clear" w:color="auto" w:fill="auto"/>
            <w:tcW w:w="1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34679,2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11679,2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11500,0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11500,0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3"/>
        </w:trPr>
        <w:tc>
          <w:tcPr>
            <w:gridSpan w:val="4"/>
            <w:shd w:val="clear" w:color="auto" w:fill="auto"/>
            <w:tcW w:w="1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298969,2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100166,3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99631,2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99171,7».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widowControl w:val="off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</w:r>
      <w:r>
        <w:rPr>
          <w:rFonts w:eastAsia="Calibri"/>
          <w:sz w:val="20"/>
          <w:szCs w:val="20"/>
        </w:rPr>
      </w:r>
    </w:p>
    <w:p>
      <w:pPr>
        <w:ind w:firstLine="709"/>
        <w:jc w:val="both"/>
        <w:widowControl w:val="off"/>
      </w:pPr>
      <w:r>
        <w:rPr>
          <w:rFonts w:eastAsia="Calibri"/>
          <w:lang w:eastAsia="en-US"/>
        </w:rPr>
        <w:t xml:space="preserve">2</w:t>
      </w:r>
      <w:r>
        <w:rPr>
          <w:rFonts w:eastAsia="Calibri"/>
          <w:lang w:eastAsia="en-US"/>
        </w:rPr>
        <w:t xml:space="preserve">. </w:t>
      </w:r>
      <w:r>
        <w:rPr>
          <w:lang w:eastAsia="en-US"/>
        </w:rPr>
        <w:t xml:space="preserve">Настоящее постановление вступает в силу после его подписания.</w:t>
      </w:r>
      <w:r/>
    </w:p>
    <w:p>
      <w:pPr>
        <w:ind w:firstLine="709"/>
        <w:jc w:val="both"/>
        <w:tabs>
          <w:tab w:val="left" w:pos="709" w:leader="none"/>
        </w:tabs>
      </w:pPr>
      <w:r>
        <w:t xml:space="preserve">3. </w:t>
      </w:r>
      <w:r>
        <w:rPr>
          <w:rFonts w:eastAsia="Calibri"/>
        </w:rPr>
        <w:t xml:space="preserve">Настоящее постановление опубликова</w:t>
      </w:r>
      <w:r>
        <w:rPr>
          <w:rFonts w:eastAsia="Calibri"/>
        </w:rPr>
        <w:t xml:space="preserve">ть</w:t>
      </w:r>
      <w:r>
        <w:rPr>
          <w:rFonts w:eastAsia="Calibri"/>
        </w:rPr>
        <w:t xml:space="preserve"> в</w:t>
      </w:r>
      <w:r>
        <w:rPr>
          <w:rFonts w:eastAsia="Calibri"/>
        </w:rPr>
        <w:t xml:space="preserve"> официальном издании</w:t>
      </w:r>
      <w:r>
        <w:rPr>
          <w:rFonts w:eastAsia="Calibri"/>
        </w:rPr>
        <w:t xml:space="preserve"> газет</w:t>
      </w:r>
      <w:r>
        <w:rPr>
          <w:rFonts w:eastAsia="Calibri"/>
        </w:rPr>
        <w:t xml:space="preserve">а</w:t>
      </w:r>
      <w:r>
        <w:rPr>
          <w:rFonts w:eastAsia="Calibri"/>
        </w:rPr>
        <w:t xml:space="preserve"> «Печенга» и разме</w:t>
      </w:r>
      <w:r>
        <w:rPr>
          <w:rFonts w:eastAsia="Calibri"/>
        </w:rPr>
        <w:t xml:space="preserve">стить</w:t>
      </w:r>
      <w:r>
        <w:rPr>
          <w:rFonts w:eastAsia="Calibri"/>
        </w:rPr>
        <w:t xml:space="preserve"> </w:t>
      </w:r>
      <w:r>
        <w:t xml:space="preserve">на сайте Печенгского муниципального округа</w:t>
      </w:r>
      <w:r>
        <w:t xml:space="preserve"> в сети Интернет.</w:t>
      </w:r>
      <w:r/>
    </w:p>
    <w:p>
      <w:r/>
      <w:r/>
    </w:p>
    <w:p>
      <w:r/>
      <w:r/>
    </w:p>
    <w:p>
      <w:pPr>
        <w:jc w:val="both"/>
      </w:pPr>
      <w:r>
        <w:t xml:space="preserve">И.о</w:t>
      </w:r>
      <w:r>
        <w:t xml:space="preserve">. Главы Печенгского муниципального округа </w:t>
      </w:r>
      <w:r>
        <w:tab/>
      </w:r>
      <w:r>
        <w:tab/>
      </w:r>
      <w:r>
        <w:tab/>
        <w:t xml:space="preserve">          А.В. Пономарев</w:t>
      </w:r>
      <w:r/>
    </w:p>
    <w:p>
      <w:pPr>
        <w:rPr>
          <w:b/>
          <w:bCs/>
        </w:rPr>
      </w:pPr>
      <w:r/>
      <w:bookmarkStart w:id="0" w:name="_GoBack"/>
      <w:r/>
      <w:bookmarkEnd w:id="0"/>
      <w:r/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Большакова О.В. 52725</w:t>
      </w:r>
      <w:r>
        <w:rPr>
          <w:bCs/>
          <w:sz w:val="20"/>
          <w:szCs w:val="20"/>
        </w:rPr>
      </w:r>
      <w:r>
        <w:rPr>
          <w:b w:val="0"/>
        </w:rPr>
      </w:r>
      <w:r>
        <w:rPr>
          <w:b w:val="0"/>
        </w:rPr>
      </w:r>
      <w:r>
        <w:rPr>
          <w:bCs/>
          <w:sz w:val="20"/>
          <w:szCs w:val="20"/>
        </w:rPr>
      </w:r>
    </w:p>
    <w:sectPr>
      <w:headerReference w:type="first" r:id="rId9"/>
      <w:footerReference w:type="default" r:id="rId10"/>
      <w:footnotePr/>
      <w:endnotePr/>
      <w:type w:val="nextPage"/>
      <w:pgSz w:w="11906" w:h="16838" w:orient="portrait"/>
      <w:pgMar w:top="851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3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6"/>
    </w:pPr>
    <w:r>
      <w:rPr>
        <w:rStyle w:val="735"/>
      </w:rPr>
      <w:t xml:space="preserve">                                                                                 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21"/>
  </w:num>
  <w:num w:numId="4">
    <w:abstractNumId w:val="23"/>
  </w:num>
  <w:num w:numId="5">
    <w:abstractNumId w:val="22"/>
  </w:num>
  <w:num w:numId="6">
    <w:abstractNumId w:val="20"/>
  </w:num>
  <w:num w:numId="7">
    <w:abstractNumId w:val="6"/>
  </w:num>
  <w:num w:numId="8">
    <w:abstractNumId w:val="15"/>
  </w:num>
  <w:num w:numId="9">
    <w:abstractNumId w:val="7"/>
  </w:num>
  <w:num w:numId="10">
    <w:abstractNumId w:val="24"/>
  </w:num>
  <w:num w:numId="11">
    <w:abstractNumId w:val="2"/>
  </w:num>
  <w:num w:numId="12">
    <w:abstractNumId w:val="9"/>
  </w:num>
  <w:num w:numId="13">
    <w:abstractNumId w:val="16"/>
  </w:num>
  <w:num w:numId="14">
    <w:abstractNumId w:val="11"/>
  </w:num>
  <w:num w:numId="15">
    <w:abstractNumId w:val="10"/>
  </w:num>
  <w:num w:numId="16">
    <w:abstractNumId w:val="17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4"/>
  </w:num>
  <w:num w:numId="20">
    <w:abstractNumId w:val="3"/>
  </w:num>
  <w:num w:numId="21">
    <w:abstractNumId w:val="19"/>
  </w:num>
  <w:num w:numId="22">
    <w:abstractNumId w:val="5"/>
  </w:num>
  <w:num w:numId="23">
    <w:abstractNumId w:val="12"/>
  </w:num>
  <w:num w:numId="24">
    <w:abstractNumId w:val="0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23"/>
    <w:next w:val="723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725"/>
    <w:link w:val="13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25"/>
    <w:link w:val="724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23"/>
    <w:next w:val="723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25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23"/>
    <w:next w:val="723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25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23"/>
    <w:next w:val="723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25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23"/>
    <w:next w:val="723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25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23"/>
    <w:next w:val="723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25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23"/>
    <w:next w:val="723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25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23"/>
    <w:next w:val="723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25"/>
    <w:link w:val="29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25"/>
    <w:link w:val="743"/>
    <w:uiPriority w:val="10"/>
    <w:rPr>
      <w:sz w:val="48"/>
      <w:szCs w:val="48"/>
    </w:rPr>
  </w:style>
  <w:style w:type="paragraph" w:styleId="36">
    <w:name w:val="Subtitle"/>
    <w:basedOn w:val="723"/>
    <w:next w:val="723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25"/>
    <w:link w:val="36"/>
    <w:uiPriority w:val="11"/>
    <w:rPr>
      <w:sz w:val="24"/>
      <w:szCs w:val="24"/>
    </w:rPr>
  </w:style>
  <w:style w:type="paragraph" w:styleId="38">
    <w:name w:val="Quote"/>
    <w:basedOn w:val="723"/>
    <w:next w:val="723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23"/>
    <w:next w:val="723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25"/>
    <w:link w:val="736"/>
    <w:uiPriority w:val="99"/>
  </w:style>
  <w:style w:type="character" w:styleId="45">
    <w:name w:val="Footer Char"/>
    <w:basedOn w:val="725"/>
    <w:link w:val="733"/>
    <w:uiPriority w:val="99"/>
  </w:style>
  <w:style w:type="paragraph" w:styleId="46">
    <w:name w:val="Caption"/>
    <w:basedOn w:val="723"/>
    <w:next w:val="7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33"/>
    <w:uiPriority w:val="99"/>
  </w:style>
  <w:style w:type="table" w:styleId="49">
    <w:name w:val="Table Grid Light"/>
    <w:basedOn w:val="7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2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23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25"/>
    <w:uiPriority w:val="99"/>
    <w:unhideWhenUsed/>
    <w:rPr>
      <w:vertAlign w:val="superscript"/>
    </w:rPr>
  </w:style>
  <w:style w:type="paragraph" w:styleId="178">
    <w:name w:val="endnote text"/>
    <w:basedOn w:val="723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25"/>
    <w:uiPriority w:val="99"/>
    <w:semiHidden/>
    <w:unhideWhenUsed/>
    <w:rPr>
      <w:vertAlign w:val="superscript"/>
    </w:rPr>
  </w:style>
  <w:style w:type="paragraph" w:styleId="181">
    <w:name w:val="toc 1"/>
    <w:basedOn w:val="723"/>
    <w:next w:val="723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23"/>
    <w:next w:val="723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23"/>
    <w:next w:val="723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23"/>
    <w:next w:val="723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23"/>
    <w:next w:val="723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23"/>
    <w:next w:val="723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23"/>
    <w:next w:val="723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23"/>
    <w:next w:val="723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23"/>
    <w:next w:val="723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23"/>
    <w:next w:val="723"/>
    <w:uiPriority w:val="99"/>
    <w:unhideWhenUsed/>
    <w:pPr>
      <w:spacing w:after="0" w:afterAutospacing="0"/>
    </w:pPr>
  </w:style>
  <w:style w:type="paragraph" w:styleId="723" w:default="1">
    <w:name w:val="Normal"/>
    <w:qFormat/>
    <w:rPr>
      <w:sz w:val="24"/>
      <w:szCs w:val="24"/>
    </w:rPr>
  </w:style>
  <w:style w:type="paragraph" w:styleId="724">
    <w:name w:val="Heading 2"/>
    <w:basedOn w:val="723"/>
    <w:next w:val="723"/>
    <w:link w:val="728"/>
    <w:uiPriority w:val="99"/>
    <w:qFormat/>
    <w:pPr>
      <w:jc w:val="both"/>
      <w:keepNext/>
      <w:spacing w:before="30" w:after="30"/>
      <w:outlineLvl w:val="1"/>
    </w:pPr>
    <w:rPr>
      <w:sz w:val="28"/>
      <w:szCs w:val="28"/>
    </w:rPr>
  </w:style>
  <w:style w:type="character" w:styleId="725" w:default="1">
    <w:name w:val="Default Paragraph Font"/>
    <w:uiPriority w:val="1"/>
    <w:semiHidden/>
    <w:unhideWhenUsed/>
  </w:style>
  <w:style w:type="table" w:styleId="72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7" w:default="1">
    <w:name w:val="No List"/>
    <w:uiPriority w:val="99"/>
    <w:semiHidden/>
    <w:unhideWhenUsed/>
  </w:style>
  <w:style w:type="character" w:styleId="728" w:customStyle="1">
    <w:name w:val="Заголовок 2 Знак"/>
    <w:link w:val="724"/>
    <w:uiPriority w:val="99"/>
    <w:semiHidden/>
    <w:rPr>
      <w:rFonts w:cs="Times New Roman"/>
      <w:sz w:val="28"/>
      <w:szCs w:val="28"/>
      <w:lang w:val="ru-RU" w:eastAsia="ru-RU"/>
    </w:rPr>
  </w:style>
  <w:style w:type="paragraph" w:styleId="729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730" w:customStyle="1">
    <w:name w:val="ConsPlusCell"/>
    <w:uiPriority w:val="99"/>
    <w:pPr>
      <w:widowControl w:val="off"/>
    </w:pPr>
    <w:rPr>
      <w:rFonts w:ascii="Arial" w:hAnsi="Arial" w:cs="Arial"/>
    </w:rPr>
  </w:style>
  <w:style w:type="paragraph" w:styleId="731">
    <w:name w:val="Body Text 3"/>
    <w:basedOn w:val="723"/>
    <w:link w:val="732"/>
    <w:uiPriority w:val="99"/>
    <w:pPr>
      <w:spacing w:after="120"/>
    </w:pPr>
    <w:rPr>
      <w:sz w:val="16"/>
      <w:szCs w:val="16"/>
    </w:rPr>
  </w:style>
  <w:style w:type="character" w:styleId="732" w:customStyle="1">
    <w:name w:val="Основной текст 3 Знак"/>
    <w:link w:val="731"/>
    <w:uiPriority w:val="99"/>
    <w:semiHidden/>
    <w:rPr>
      <w:rFonts w:cs="Times New Roman"/>
      <w:sz w:val="16"/>
      <w:szCs w:val="16"/>
    </w:rPr>
  </w:style>
  <w:style w:type="paragraph" w:styleId="733">
    <w:name w:val="Footer"/>
    <w:basedOn w:val="723"/>
    <w:link w:val="734"/>
    <w:uiPriority w:val="99"/>
    <w:pPr>
      <w:tabs>
        <w:tab w:val="center" w:pos="4677" w:leader="none"/>
        <w:tab w:val="right" w:pos="9355" w:leader="none"/>
      </w:tabs>
    </w:pPr>
  </w:style>
  <w:style w:type="character" w:styleId="734" w:customStyle="1">
    <w:name w:val="Нижний колонтитул Знак"/>
    <w:link w:val="733"/>
    <w:uiPriority w:val="99"/>
    <w:semiHidden/>
    <w:rPr>
      <w:rFonts w:cs="Times New Roman"/>
      <w:sz w:val="24"/>
      <w:szCs w:val="24"/>
    </w:rPr>
  </w:style>
  <w:style w:type="character" w:styleId="735">
    <w:name w:val="page number"/>
    <w:uiPriority w:val="99"/>
    <w:rPr>
      <w:rFonts w:cs="Times New Roman"/>
    </w:rPr>
  </w:style>
  <w:style w:type="paragraph" w:styleId="736">
    <w:name w:val="Header"/>
    <w:basedOn w:val="723"/>
    <w:link w:val="737"/>
    <w:uiPriority w:val="99"/>
    <w:pPr>
      <w:tabs>
        <w:tab w:val="center" w:pos="4677" w:leader="none"/>
        <w:tab w:val="right" w:pos="9355" w:leader="none"/>
      </w:tabs>
    </w:pPr>
  </w:style>
  <w:style w:type="character" w:styleId="737" w:customStyle="1">
    <w:name w:val="Верхний колонтитул Знак"/>
    <w:link w:val="736"/>
    <w:uiPriority w:val="99"/>
    <w:semiHidden/>
    <w:rPr>
      <w:rFonts w:cs="Times New Roman"/>
      <w:sz w:val="24"/>
      <w:szCs w:val="24"/>
    </w:rPr>
  </w:style>
  <w:style w:type="paragraph" w:styleId="738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739">
    <w:name w:val="Balloon Text"/>
    <w:basedOn w:val="723"/>
    <w:link w:val="740"/>
    <w:uiPriority w:val="99"/>
    <w:semiHidden/>
    <w:rPr>
      <w:rFonts w:ascii="Tahoma" w:hAnsi="Tahoma" w:cs="Tahoma"/>
      <w:sz w:val="16"/>
      <w:szCs w:val="16"/>
    </w:rPr>
  </w:style>
  <w:style w:type="character" w:styleId="740" w:customStyle="1">
    <w:name w:val="Текст выноски Знак"/>
    <w:link w:val="739"/>
    <w:uiPriority w:val="99"/>
    <w:semiHidden/>
    <w:rPr>
      <w:rFonts w:ascii="Tahoma" w:hAnsi="Tahoma" w:cs="Tahoma"/>
      <w:sz w:val="16"/>
      <w:szCs w:val="16"/>
    </w:rPr>
  </w:style>
  <w:style w:type="paragraph" w:styleId="741">
    <w:name w:val="Body Text Indent"/>
    <w:basedOn w:val="723"/>
    <w:link w:val="742"/>
    <w:uiPriority w:val="99"/>
    <w:semiHidden/>
    <w:pPr>
      <w:ind w:left="283"/>
      <w:spacing w:after="120"/>
    </w:pPr>
  </w:style>
  <w:style w:type="character" w:styleId="742" w:customStyle="1">
    <w:name w:val="Основной текст с отступом Знак"/>
    <w:link w:val="741"/>
    <w:uiPriority w:val="99"/>
    <w:semiHidden/>
    <w:rPr>
      <w:rFonts w:cs="Times New Roman"/>
      <w:sz w:val="24"/>
    </w:rPr>
  </w:style>
  <w:style w:type="paragraph" w:styleId="743">
    <w:name w:val="Title"/>
    <w:basedOn w:val="723"/>
    <w:link w:val="744"/>
    <w:uiPriority w:val="99"/>
    <w:qFormat/>
    <w:pPr>
      <w:jc w:val="center"/>
    </w:pPr>
    <w:rPr>
      <w:caps/>
    </w:rPr>
  </w:style>
  <w:style w:type="character" w:styleId="744" w:customStyle="1">
    <w:name w:val="Название Знак"/>
    <w:link w:val="743"/>
    <w:uiPriority w:val="99"/>
    <w:rPr>
      <w:rFonts w:cs="Times New Roman"/>
      <w:caps/>
      <w:sz w:val="24"/>
      <w:szCs w:val="24"/>
      <w:lang w:val="ru-RU" w:eastAsia="ru-RU"/>
    </w:rPr>
  </w:style>
  <w:style w:type="paragraph" w:styleId="745" w:customStyle="1">
    <w:name w:val="Знак1"/>
    <w:basedOn w:val="723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746">
    <w:name w:val="Table Grid"/>
    <w:basedOn w:val="72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47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748" w:customStyle="1">
    <w:name w:val="Знак Знак Знак Знак Знак Знак Знак Знак Знак Знак"/>
    <w:basedOn w:val="72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749">
    <w:name w:val="Emphasis"/>
    <w:qFormat/>
    <w:rPr>
      <w:i/>
      <w:iCs/>
    </w:rPr>
  </w:style>
  <w:style w:type="paragraph" w:styleId="750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751">
    <w:name w:val="List Paragraph"/>
    <w:basedOn w:val="723"/>
    <w:uiPriority w:val="34"/>
    <w:qFormat/>
    <w:pPr>
      <w:contextualSpacing/>
      <w:ind w:left="720"/>
    </w:pPr>
  </w:style>
  <w:style w:type="character" w:styleId="752">
    <w:name w:val="Hyperlink"/>
    <w:basedOn w:val="725"/>
    <w:uiPriority w:val="99"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58C10-32C2-472D-BFAB-DE1331056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КИО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AnisimovaON</dc:creator>
  <cp:revision>4</cp:revision>
  <dcterms:created xsi:type="dcterms:W3CDTF">2024-01-29T11:41:00Z</dcterms:created>
  <dcterms:modified xsi:type="dcterms:W3CDTF">2024-02-01T09:42:10Z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-625126995</vt:i4>
  </property>
</Properties>
</file>