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т</w:t>
      </w:r>
      <w:r>
        <w:rPr>
          <w:b/>
        </w:rPr>
        <w:t xml:space="preserve"> </w:t>
      </w:r>
      <w:r>
        <w:rPr>
          <w:b/>
        </w:rPr>
        <w:t xml:space="preserve">01.02.2024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  </w:t>
      </w:r>
      <w:r>
        <w:rPr>
          <w:b/>
        </w:rPr>
        <w:t xml:space="preserve">№</w:t>
      </w:r>
      <w:r>
        <w:rPr>
          <w:b/>
        </w:rPr>
        <w:t xml:space="preserve"> </w:t>
      </w:r>
      <w:r>
        <w:rPr>
          <w:b/>
        </w:rPr>
        <w:t xml:space="preserve">173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п.</w:t>
      </w:r>
      <w:r>
        <w:rPr>
          <w:b/>
        </w:rPr>
        <w:t xml:space="preserve">г.</w:t>
      </w:r>
      <w:r>
        <w:rPr>
          <w:b/>
        </w:rPr>
        <w:t xml:space="preserve">т</w:t>
      </w:r>
      <w:r>
        <w:rPr>
          <w:b/>
        </w:rPr>
        <w:t xml:space="preserve">.</w:t>
      </w:r>
      <w:r>
        <w:rPr>
          <w:b/>
        </w:rPr>
        <w:t xml:space="preserve"> </w:t>
      </w:r>
      <w:r>
        <w:rPr>
          <w:b/>
        </w:rPr>
        <w:t xml:space="preserve">Никель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наделении полномочиями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администратора доходов</w:t>
      </w:r>
      <w:r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определении порядка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их исполнения и закреплении кодов бюджетной классификации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в отношении кодов доходов бюджета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r/>
      <w:r/>
    </w:p>
    <w:p>
      <w:r/>
      <w:r/>
    </w:p>
    <w:p>
      <w:pPr>
        <w:ind w:firstLine="720"/>
        <w:jc w:val="both"/>
      </w:pPr>
      <w:r>
        <w:t xml:space="preserve">Руководствуясь Бюджетным кодексом Российской Федерации, р</w:t>
      </w:r>
      <w:r>
        <w:t xml:space="preserve">ешением Совета</w:t>
      </w:r>
      <w:r>
        <w:t xml:space="preserve"> депутатов</w:t>
      </w:r>
      <w:r>
        <w:t xml:space="preserve"> </w:t>
      </w:r>
      <w:r>
        <w:t xml:space="preserve">Печенгск</w:t>
      </w:r>
      <w:r>
        <w:t xml:space="preserve">ого</w:t>
      </w:r>
      <w:r>
        <w:t xml:space="preserve"> муниципального округа</w:t>
      </w:r>
      <w:r>
        <w:t xml:space="preserve"> от </w:t>
      </w:r>
      <w:r>
        <w:t xml:space="preserve">15.12.2023</w:t>
      </w:r>
      <w:r>
        <w:t xml:space="preserve"> </w:t>
      </w:r>
      <w:r>
        <w:t xml:space="preserve">№ </w:t>
      </w:r>
      <w:r>
        <w:t xml:space="preserve">433</w:t>
      </w:r>
      <w:r>
        <w:t xml:space="preserve"> «</w:t>
      </w:r>
      <w:r>
        <w:t xml:space="preserve">О бюджете </w:t>
      </w:r>
      <w:r>
        <w:t xml:space="preserve">округа</w:t>
      </w:r>
      <w:r>
        <w:t xml:space="preserve"> на 20</w:t>
      </w:r>
      <w:r>
        <w:t xml:space="preserve">2</w:t>
      </w:r>
      <w:r>
        <w:t xml:space="preserve">4</w:t>
      </w:r>
      <w:r>
        <w:t xml:space="preserve"> год</w:t>
      </w:r>
      <w:r>
        <w:t xml:space="preserve"> и плановый период 20</w:t>
      </w:r>
      <w:r>
        <w:t xml:space="preserve">2</w:t>
      </w:r>
      <w:r>
        <w:t xml:space="preserve">5</w:t>
      </w:r>
      <w:r>
        <w:t xml:space="preserve"> и </w:t>
      </w:r>
      <w:r>
        <w:t xml:space="preserve">20</w:t>
      </w:r>
      <w:r>
        <w:t xml:space="preserve">2</w:t>
      </w:r>
      <w:r>
        <w:t xml:space="preserve">6</w:t>
      </w:r>
      <w:r>
        <w:t xml:space="preserve"> годов</w:t>
      </w:r>
      <w:r>
        <w:t xml:space="preserve">»</w:t>
      </w:r>
      <w:r>
        <w:t xml:space="preserve">, </w:t>
      </w:r>
      <w:r/>
    </w:p>
    <w:p>
      <w:pPr>
        <w:ind w:firstLine="720"/>
        <w:jc w:val="both"/>
      </w:pPr>
      <w:r/>
      <w:r/>
    </w:p>
    <w:p>
      <w:pPr>
        <w:rPr>
          <w:b/>
        </w:rPr>
      </w:pPr>
      <w:r>
        <w:rPr>
          <w:b/>
        </w:rPr>
        <w:t xml:space="preserve">П</w:t>
      </w:r>
      <w:r>
        <w:rPr>
          <w:b/>
        </w:rPr>
        <w:t xml:space="preserve">ОСТАНОВЛЯЮ</w:t>
      </w:r>
      <w:r>
        <w:rPr>
          <w:b/>
        </w:rPr>
        <w:t xml:space="preserve">:</w:t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20"/>
        <w:jc w:val="both"/>
        <w:tabs>
          <w:tab w:val="left" w:pos="1080" w:leader="none"/>
          <w:tab w:val="left" w:pos="1440" w:leader="none"/>
        </w:tabs>
        <w:rPr>
          <w:b/>
          <w:i/>
          <w:color w:val="0000ff"/>
        </w:rPr>
      </w:pPr>
      <w:r>
        <w:t xml:space="preserve">1. </w:t>
      </w:r>
      <w:r>
        <w:t xml:space="preserve">Наделить администраторов доходов, подведомственных администрации Печенгск</w:t>
      </w:r>
      <w:r>
        <w:t xml:space="preserve">ого</w:t>
      </w:r>
      <w:r>
        <w:t xml:space="preserve"> </w:t>
      </w:r>
      <w:r>
        <w:t xml:space="preserve">муниципального округа</w:t>
      </w:r>
      <w:r>
        <w:t xml:space="preserve">, полномочиями администратора доходов </w:t>
      </w:r>
      <w:r>
        <w:t xml:space="preserve">бюджет</w:t>
      </w:r>
      <w:r>
        <w:t xml:space="preserve">ной </w:t>
      </w:r>
      <w:r>
        <w:t xml:space="preserve">системы Российской Федерации по кодам бюджетной классификации согласно </w:t>
      </w:r>
      <w:r>
        <w:t xml:space="preserve">приложени</w:t>
      </w:r>
      <w:r>
        <w:t xml:space="preserve">я</w:t>
      </w:r>
      <w:r>
        <w:t xml:space="preserve">м </w:t>
      </w:r>
      <w:r>
        <w:t xml:space="preserve">№№ </w:t>
      </w:r>
      <w:r>
        <w:t xml:space="preserve">1,</w:t>
      </w:r>
      <w:r>
        <w:t xml:space="preserve"> </w:t>
      </w:r>
      <w:r>
        <w:t xml:space="preserve">2</w:t>
      </w:r>
      <w:r>
        <w:t xml:space="preserve">,</w:t>
      </w:r>
      <w:r>
        <w:t xml:space="preserve"> </w:t>
      </w:r>
      <w:r>
        <w:t xml:space="preserve">3</w:t>
      </w:r>
      <w:r>
        <w:t xml:space="preserve">,</w:t>
      </w:r>
      <w:r>
        <w:t xml:space="preserve"> </w:t>
      </w:r>
      <w:r>
        <w:t xml:space="preserve">4.</w:t>
      </w:r>
      <w:r>
        <w:rPr>
          <w:b/>
          <w:i/>
          <w:color w:val="0000ff"/>
        </w:rPr>
        <w:t xml:space="preserve"> </w:t>
      </w:r>
      <w:r>
        <w:rPr>
          <w:b/>
          <w:i/>
          <w:color w:val="0000ff"/>
        </w:rPr>
      </w:r>
      <w:r>
        <w:rPr>
          <w:b/>
          <w:i/>
          <w:color w:val="0000ff"/>
        </w:rPr>
      </w:r>
    </w:p>
    <w:p>
      <w:pPr>
        <w:ind w:firstLine="720"/>
        <w:jc w:val="both"/>
        <w:tabs>
          <w:tab w:val="left" w:pos="1080" w:leader="none"/>
          <w:tab w:val="left" w:pos="1440" w:leader="none"/>
        </w:tabs>
      </w:pPr>
      <w:r>
        <w:t xml:space="preserve">2. </w:t>
      </w:r>
      <w:r>
        <w:t xml:space="preserve">Администратор</w:t>
      </w:r>
      <w:r>
        <w:t xml:space="preserve">ам </w:t>
      </w:r>
      <w:r>
        <w:t xml:space="preserve">доходов</w:t>
      </w:r>
      <w:r>
        <w:t xml:space="preserve"> в</w:t>
      </w:r>
      <w:r>
        <w:t xml:space="preserve"> отношении кодов доходов бюджет</w:t>
      </w:r>
      <w:r>
        <w:t xml:space="preserve">а</w:t>
      </w:r>
      <w:r>
        <w:t xml:space="preserve"> </w:t>
      </w:r>
      <w:r>
        <w:t xml:space="preserve">Печенгского муниципального округа </w:t>
      </w:r>
      <w:r>
        <w:t xml:space="preserve">(далее – </w:t>
      </w:r>
      <w:r>
        <w:t xml:space="preserve">бюджет</w:t>
      </w:r>
      <w:r>
        <w:t xml:space="preserve"> округа</w:t>
      </w:r>
      <w:r>
        <w:t xml:space="preserve">)</w:t>
      </w:r>
      <w:r>
        <w:t xml:space="preserve"> </w:t>
      </w:r>
      <w:r>
        <w:t xml:space="preserve">осуществлять </w:t>
      </w:r>
      <w:r>
        <w:t xml:space="preserve">бюджетные полномочия</w:t>
      </w:r>
      <w:r>
        <w:t xml:space="preserve">, установленные п</w:t>
      </w:r>
      <w:r>
        <w:t xml:space="preserve">унктом </w:t>
      </w:r>
      <w:r>
        <w:t xml:space="preserve">2 ст</w:t>
      </w:r>
      <w:r>
        <w:t xml:space="preserve">атьи </w:t>
      </w:r>
      <w:r>
        <w:t xml:space="preserve">160.1 Бюджетного кодекса Российской Федерации</w:t>
      </w:r>
      <w:r>
        <w:t xml:space="preserve">.</w:t>
      </w:r>
      <w:r>
        <w:t xml:space="preserve"> </w:t>
      </w:r>
      <w:r/>
    </w:p>
    <w:p>
      <w:pPr>
        <w:ind w:firstLine="720"/>
        <w:jc w:val="both"/>
        <w:tabs>
          <w:tab w:val="left" w:pos="1080" w:leader="none"/>
        </w:tabs>
      </w:pPr>
      <w:r>
        <w:t xml:space="preserve">3. </w:t>
      </w:r>
      <w:r>
        <w:t xml:space="preserve">Администраторам доходов определить дополнительный порядок </w:t>
      </w:r>
      <w:r>
        <w:t xml:space="preserve">исполнения бюджетных полномочий:</w:t>
      </w:r>
      <w:r>
        <w:t xml:space="preserve"> </w:t>
      </w:r>
      <w:r/>
    </w:p>
    <w:p>
      <w:pPr>
        <w:ind w:firstLine="720"/>
        <w:jc w:val="both"/>
      </w:pPr>
      <w:r>
        <w:t xml:space="preserve">3</w:t>
      </w:r>
      <w:r>
        <w:t xml:space="preserve">.</w:t>
      </w:r>
      <w:r>
        <w:t xml:space="preserve">1</w:t>
      </w:r>
      <w:r>
        <w:t xml:space="preserve">.</w:t>
      </w:r>
      <w:r>
        <w:t xml:space="preserve"> </w:t>
      </w:r>
      <w:r>
        <w:t xml:space="preserve">О</w:t>
      </w:r>
      <w:r>
        <w:t xml:space="preserve">существлять учет поступлений администрируемых доходов бюджетов бюджетной системы Российской Федерации на основании документов, предоставляемых </w:t>
      </w:r>
      <w:r>
        <w:t xml:space="preserve">из</w:t>
      </w:r>
      <w:r>
        <w:t xml:space="preserve"> </w:t>
      </w:r>
      <w:r>
        <w:t xml:space="preserve">территориальны</w:t>
      </w:r>
      <w:r>
        <w:t xml:space="preserve">х</w:t>
      </w:r>
      <w:r>
        <w:t xml:space="preserve"> орган</w:t>
      </w:r>
      <w:r>
        <w:t xml:space="preserve">ов</w:t>
      </w:r>
      <w:r>
        <w:t xml:space="preserve"> Федерального казначейства по Мурманской области</w:t>
      </w:r>
      <w:r>
        <w:t xml:space="preserve">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Федерации, утвержденным </w:t>
      </w:r>
      <w:r>
        <w:t xml:space="preserve">Приказом </w:t>
      </w:r>
      <w:r>
        <w:t xml:space="preserve">Минфина России от 29.12.2022 №</w:t>
      </w:r>
      <w:r>
        <w:t xml:space="preserve"> 198н «Об утверждении Порядка учета Федеральным казначейством поступлений в бюджетную</w:t>
      </w:r>
      <w:r>
        <w:t xml:space="preserve"> систему Российской Федерации и их распределения между бюджетами бюджетной системы Российской Федерации».</w:t>
      </w:r>
      <w:r/>
    </w:p>
    <w:p>
      <w:pPr>
        <w:ind w:firstLine="720"/>
        <w:jc w:val="both"/>
      </w:pPr>
      <w:r>
        <w:t xml:space="preserve">3.</w:t>
      </w:r>
      <w:r>
        <w:t xml:space="preserve">2</w:t>
      </w:r>
      <w:r>
        <w:t xml:space="preserve">.</w:t>
      </w:r>
      <w:r>
        <w:t xml:space="preserve"> </w:t>
      </w:r>
      <w:r>
        <w:t xml:space="preserve">Д</w:t>
      </w:r>
      <w:r>
        <w:t xml:space="preserve">оводить</w:t>
      </w:r>
      <w:r>
        <w:t xml:space="preserve"> до пла</w:t>
      </w:r>
      <w:r>
        <w:t xml:space="preserve">тельщиков информацию о реквизитах и порядке</w:t>
      </w:r>
      <w:r>
        <w:t xml:space="preserve"> заполнения документов на перечисление платежей в бюджетную систему Российской Федерации в соответствии с Приказ</w:t>
      </w:r>
      <w:r>
        <w:t xml:space="preserve">ом</w:t>
      </w:r>
      <w:r>
        <w:t xml:space="preserve"> Мин</w:t>
      </w:r>
      <w:r>
        <w:t xml:space="preserve">фина </w:t>
      </w:r>
      <w:r>
        <w:t xml:space="preserve">Росси</w:t>
      </w:r>
      <w:r>
        <w:t xml:space="preserve">и </w:t>
      </w:r>
      <w:r>
        <w:t xml:space="preserve">от </w:t>
      </w:r>
      <w:r>
        <w:t xml:space="preserve">12.11.2013</w:t>
      </w:r>
      <w:r>
        <w:t xml:space="preserve"> №</w:t>
      </w:r>
      <w:r>
        <w:t xml:space="preserve"> </w:t>
      </w:r>
      <w:r>
        <w:t xml:space="preserve">10</w:t>
      </w:r>
      <w:r>
        <w:t xml:space="preserve">7</w:t>
      </w:r>
      <w:r>
        <w:t xml:space="preserve">н «Об утверждении </w:t>
      </w:r>
      <w:r>
        <w:t xml:space="preserve">Правил указания информации </w:t>
      </w:r>
      <w:r>
        <w:t xml:space="preserve">в реквизитах </w:t>
      </w:r>
      <w:r>
        <w:t xml:space="preserve">распоряжений </w:t>
      </w:r>
      <w:r>
        <w:t xml:space="preserve">о переводе денежных средств в уплату платежей в бюджетную систему Российской Федерации».</w:t>
      </w:r>
      <w:r>
        <w:t xml:space="preserve"> </w:t>
      </w:r>
      <w:r/>
    </w:p>
    <w:p>
      <w:pPr>
        <w:ind w:firstLine="663"/>
        <w:jc w:val="both"/>
        <w:tabs>
          <w:tab w:val="left" w:pos="1134" w:leader="none"/>
        </w:tabs>
      </w:pPr>
      <w:r>
        <w:t xml:space="preserve">3</w:t>
      </w:r>
      <w:r>
        <w:t xml:space="preserve">.</w:t>
      </w:r>
      <w:r>
        <w:t xml:space="preserve">3</w:t>
      </w:r>
      <w:r>
        <w:t xml:space="preserve">.</w:t>
      </w:r>
      <w:r>
        <w:t xml:space="preserve"> </w:t>
      </w:r>
      <w:r>
        <w:t xml:space="preserve">Д</w:t>
      </w:r>
      <w:r>
        <w:t xml:space="preserve">о отражения в квартальной и годовой отчетности об исполнении бюджетов бюджетной системы Российской Федерации осуществлять сверку с органом, организующим исполнение бюджета </w:t>
      </w:r>
      <w:r>
        <w:t xml:space="preserve">округа, </w:t>
      </w:r>
      <w:r>
        <w:t xml:space="preserve">отраженных в бюджетном учете сумм кассовых поступлений.</w:t>
      </w:r>
      <w:r/>
    </w:p>
    <w:p>
      <w:pPr>
        <w:ind w:firstLine="663"/>
        <w:jc w:val="both"/>
        <w:tabs>
          <w:tab w:val="left" w:pos="720" w:leader="none"/>
        </w:tabs>
      </w:pPr>
      <w:r>
        <w:t xml:space="preserve">3</w:t>
      </w:r>
      <w:r>
        <w:t xml:space="preserve">.</w:t>
      </w:r>
      <w:r>
        <w:t xml:space="preserve">4</w:t>
      </w:r>
      <w:r>
        <w:t xml:space="preserve">.</w:t>
      </w:r>
      <w:r>
        <w:t xml:space="preserve"> </w:t>
      </w:r>
      <w:r>
        <w:t xml:space="preserve">Осуществлять у</w:t>
      </w:r>
      <w:r>
        <w:t xml:space="preserve">точнение (возврат</w:t>
      </w:r>
      <w:r>
        <w:t xml:space="preserve">) невыясненных поступлений </w:t>
      </w:r>
      <w:r>
        <w:t xml:space="preserve"> в соответствии с приказами </w:t>
      </w:r>
      <w:r>
        <w:t xml:space="preserve">Федерального казначейства</w:t>
      </w:r>
      <w:r>
        <w:t xml:space="preserve"> </w:t>
      </w:r>
      <w:r>
        <w:t xml:space="preserve">от </w:t>
      </w:r>
      <w:r>
        <w:t xml:space="preserve">14.05.2020 № 21</w:t>
      </w:r>
      <w:r>
        <w:t xml:space="preserve">н</w:t>
      </w:r>
      <w:r>
        <w:t xml:space="preserve"> «О порядке казначейского обслуживания</w:t>
      </w:r>
      <w:r>
        <w:t xml:space="preserve">», от </w:t>
      </w:r>
      <w:r>
        <w:t xml:space="preserve">17</w:t>
      </w:r>
      <w:r>
        <w:t xml:space="preserve">.1</w:t>
      </w:r>
      <w:r>
        <w:t xml:space="preserve">0</w:t>
      </w:r>
      <w:r>
        <w:t xml:space="preserve">.201</w:t>
      </w:r>
      <w:r>
        <w:t xml:space="preserve">6</w:t>
      </w:r>
      <w:r>
        <w:t xml:space="preserve"> № 2</w:t>
      </w:r>
      <w:r>
        <w:t xml:space="preserve">1</w:t>
      </w:r>
      <w:r>
        <w:t xml:space="preserve">н «О порядке от</w:t>
      </w:r>
      <w:r>
        <w:t xml:space="preserve">крытия и ведения лицевых счетов</w:t>
      </w:r>
      <w:r>
        <w:t xml:space="preserve"> территориальными органами</w:t>
      </w:r>
      <w:r>
        <w:t xml:space="preserve"> Федерального казначейства</w:t>
      </w:r>
      <w:r>
        <w:t xml:space="preserve">», </w:t>
      </w:r>
      <w:r>
        <w:t xml:space="preserve">Приказо</w:t>
      </w:r>
      <w:r>
        <w:t xml:space="preserve">м Минфина России от 29.12.2022 №</w:t>
      </w:r>
      <w:r>
        <w:t xml:space="preserve"> 198н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</w:t>
      </w:r>
      <w:r>
        <w:t xml:space="preserve">.</w:t>
      </w:r>
      <w:r/>
    </w:p>
    <w:p>
      <w:pPr>
        <w:ind w:firstLine="663"/>
        <w:jc w:val="both"/>
      </w:pPr>
      <w:r>
        <w:t xml:space="preserve">3.5</w:t>
      </w:r>
      <w:r>
        <w:t xml:space="preserve">.</w:t>
      </w:r>
      <w:r>
        <w:t xml:space="preserve"> </w:t>
      </w:r>
      <w:r>
        <w:t xml:space="preserve">Осуществлять возврат</w:t>
      </w:r>
      <w:r>
        <w:t xml:space="preserve"> излишне уплаченных</w:t>
      </w:r>
      <w:r>
        <w:t xml:space="preserve"> </w:t>
      </w:r>
      <w:r>
        <w:t xml:space="preserve">(взысканных) платежей</w:t>
      </w:r>
      <w:r>
        <w:t xml:space="preserve"> </w:t>
      </w:r>
      <w:r>
        <w:t xml:space="preserve">в  соответствии с Приказом Министерства финансов Российской Федерации</w:t>
      </w:r>
      <w:r>
        <w:t xml:space="preserve"> от 27.09.2021 </w:t>
      </w:r>
      <w:r>
        <w:br/>
      </w:r>
      <w:r>
        <w:t xml:space="preserve">№</w:t>
      </w:r>
      <w:r>
        <w:t xml:space="preserve"> 137н «</w:t>
      </w:r>
      <w:r>
        <w:t xml:space="preserve">Об утверждении Общих требований к возврату излишне упл</w:t>
      </w:r>
      <w:r>
        <w:t xml:space="preserve">аченных</w:t>
      </w:r>
      <w:r>
        <w:t xml:space="preserve"> (взысканных) платежей»</w:t>
      </w:r>
      <w:r>
        <w:t xml:space="preserve">.</w:t>
      </w:r>
      <w:r/>
    </w:p>
    <w:p>
      <w:pPr>
        <w:ind w:firstLine="663"/>
        <w:jc w:val="both"/>
        <w:shd w:val="clear" w:color="auto" w:fill="ffffff"/>
        <w:widowControl w:val="off"/>
        <w:tabs>
          <w:tab w:val="left" w:pos="709" w:leader="none"/>
          <w:tab w:val="left" w:pos="1276" w:leader="none"/>
        </w:tabs>
      </w:pPr>
      <w:r>
        <w:t xml:space="preserve">4</w:t>
      </w:r>
      <w:r>
        <w:t xml:space="preserve">.</w:t>
      </w:r>
      <w:r>
        <w:t xml:space="preserve"> </w:t>
      </w:r>
      <w:r>
        <w:t xml:space="preserve">Признать утратившим силу</w:t>
      </w:r>
      <w:r>
        <w:t xml:space="preserve"> </w:t>
      </w:r>
      <w:r>
        <w:t xml:space="preserve">постановление администрации Печенгского муниципального округа</w:t>
      </w:r>
      <w:r>
        <w:t xml:space="preserve"> от 19.12.2022 № 1770</w:t>
      </w:r>
      <w:r>
        <w:t xml:space="preserve"> </w:t>
      </w:r>
      <w:r>
        <w:t xml:space="preserve">«</w:t>
      </w:r>
      <w:r>
        <w:t xml:space="preserve">О наделении полномочиями администратора доходов, определении порядка  их исполнения и закреплении кодов бюджетной классификации в отношении кодов доходов бюджета Печенгского муниципального округа</w:t>
      </w:r>
      <w:r>
        <w:t xml:space="preserve">»</w:t>
      </w:r>
      <w:r>
        <w:t xml:space="preserve">.</w:t>
      </w:r>
      <w:r/>
    </w:p>
    <w:p>
      <w:pPr>
        <w:ind w:firstLine="663"/>
        <w:jc w:val="both"/>
        <w:rPr>
          <w:rFonts w:eastAsia="Calibri"/>
          <w:lang w:eastAsia="ar-SA"/>
        </w:rPr>
      </w:pPr>
      <w:r>
        <w:t xml:space="preserve">5.</w:t>
      </w:r>
      <w:r>
        <w:t xml:space="preserve"> </w:t>
      </w:r>
      <w:r>
        <w:t xml:space="preserve">Настоящее постановление вступает в силу </w:t>
      </w:r>
      <w:r>
        <w:t xml:space="preserve">после</w:t>
      </w:r>
      <w:r>
        <w:t xml:space="preserve"> </w:t>
      </w:r>
      <w:r>
        <w:t xml:space="preserve">его </w:t>
      </w:r>
      <w:r>
        <w:t xml:space="preserve">опубликования в газете «Печенга»</w:t>
      </w:r>
      <w:r>
        <w:t xml:space="preserve"> </w:t>
      </w:r>
      <w:r>
        <w:rPr>
          <w:rFonts w:eastAsia="Calibri"/>
          <w:lang w:eastAsia="ar-SA"/>
        </w:rPr>
        <w:t xml:space="preserve">и</w:t>
      </w:r>
      <w:r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 xml:space="preserve">применяется</w:t>
      </w:r>
      <w:r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 xml:space="preserve">к</w:t>
      </w:r>
      <w:r>
        <w:rPr>
          <w:rFonts w:eastAsia="Calibri"/>
          <w:lang w:eastAsia="ar-SA"/>
        </w:rPr>
        <w:t xml:space="preserve"> правоотношения</w:t>
      </w:r>
      <w:r>
        <w:rPr>
          <w:rFonts w:eastAsia="Calibri"/>
          <w:lang w:eastAsia="ar-SA"/>
        </w:rPr>
        <w:t xml:space="preserve">м</w:t>
      </w:r>
      <w:r>
        <w:rPr>
          <w:rFonts w:eastAsia="Calibri"/>
          <w:lang w:eastAsia="ar-SA"/>
        </w:rPr>
        <w:t xml:space="preserve"> с 01.01.2024</w:t>
      </w:r>
      <w:r>
        <w:rPr>
          <w:rFonts w:eastAsia="Calibri"/>
          <w:lang w:eastAsia="ar-SA"/>
        </w:rPr>
        <w:t xml:space="preserve">.</w:t>
      </w:r>
      <w:r>
        <w:rPr>
          <w:rFonts w:eastAsia="Calibri"/>
          <w:lang w:eastAsia="ar-SA"/>
        </w:rPr>
      </w:r>
      <w:r>
        <w:rPr>
          <w:rFonts w:eastAsia="Calibri"/>
          <w:lang w:eastAsia="ar-SA"/>
        </w:rPr>
      </w:r>
    </w:p>
    <w:p>
      <w:pPr>
        <w:ind w:firstLine="663"/>
        <w:jc w:val="both"/>
      </w:pPr>
      <w:r>
        <w:rPr>
          <w:rFonts w:eastAsia="Calibri"/>
          <w:lang w:eastAsia="ar-SA"/>
        </w:rPr>
        <w:t xml:space="preserve">6. Настоящее постановление</w:t>
      </w:r>
      <w:r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 xml:space="preserve">подлежит размещению</w:t>
      </w:r>
      <w:r>
        <w:rPr>
          <w:rFonts w:eastAsia="Calibri"/>
          <w:lang w:eastAsia="ar-SA"/>
        </w:rPr>
        <w:t xml:space="preserve"> </w:t>
      </w:r>
      <w:r>
        <w:rPr>
          <w:rFonts w:eastAsia="Calibri"/>
        </w:rPr>
        <w:t xml:space="preserve">на официальном сайте </w:t>
      </w:r>
      <w:r>
        <w:rPr>
          <w:rFonts w:eastAsia="Calibri"/>
        </w:rPr>
        <w:t xml:space="preserve">Печенгского муниципального округа </w:t>
      </w:r>
      <w:r>
        <w:rPr>
          <w:rFonts w:eastAsia="Calibri"/>
        </w:rPr>
        <w:t xml:space="preserve">https://pechengamr.gov-murman.ru/</w:t>
      </w:r>
      <w:r>
        <w:t xml:space="preserve">.</w:t>
      </w:r>
      <w:r/>
    </w:p>
    <w:p>
      <w:pPr>
        <w:ind w:firstLine="663"/>
        <w:jc w:val="both"/>
        <w:shd w:val="clear" w:color="auto" w:fill="ffffff"/>
        <w:widowControl w:val="off"/>
        <w:tabs>
          <w:tab w:val="left" w:pos="1134" w:leader="none"/>
          <w:tab w:val="left" w:pos="1276" w:leader="none"/>
        </w:tabs>
      </w:pPr>
      <w:r>
        <w:rPr>
          <w:rFonts w:eastAsia="Lucida Sans Unicode"/>
        </w:rPr>
        <w:t xml:space="preserve">7</w:t>
      </w:r>
      <w:r>
        <w:rPr>
          <w:rFonts w:eastAsia="Lucida Sans Unicode"/>
        </w:rPr>
        <w:t xml:space="preserve">.</w:t>
      </w:r>
      <w:r>
        <w:rPr>
          <w:rFonts w:eastAsia="Lucida Sans Unicode"/>
        </w:rPr>
        <w:t xml:space="preserve"> </w:t>
      </w:r>
      <w:r>
        <w:t xml:space="preserve">К</w:t>
      </w:r>
      <w:r>
        <w:t xml:space="preserve">онтроль </w:t>
      </w:r>
      <w:r>
        <w:t xml:space="preserve">за</w:t>
      </w:r>
      <w:r>
        <w:t xml:space="preserve"> </w:t>
      </w:r>
      <w:r>
        <w:t xml:space="preserve">ис</w:t>
      </w:r>
      <w:r>
        <w:t xml:space="preserve">полнением настоящего п</w:t>
      </w:r>
      <w:r>
        <w:t xml:space="preserve">остановления</w:t>
      </w:r>
      <w:r>
        <w:t xml:space="preserve"> возложить на </w:t>
      </w:r>
      <w:r>
        <w:t xml:space="preserve">заместителя Главы </w:t>
      </w:r>
      <w:r>
        <w:t xml:space="preserve">Печенгского муниципального округа </w:t>
      </w:r>
      <w:r>
        <w:t xml:space="preserve">по экономике и финансам</w:t>
      </w:r>
      <w:r>
        <w:t xml:space="preserve"> Ахметову М.Ю</w:t>
      </w:r>
      <w:r>
        <w:t xml:space="preserve">.</w:t>
      </w:r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И.о</w:t>
      </w:r>
      <w:r>
        <w:t xml:space="preserve">. </w:t>
      </w:r>
      <w:r>
        <w:t xml:space="preserve">Глав</w:t>
      </w:r>
      <w:r>
        <w:t xml:space="preserve">ы</w:t>
      </w:r>
      <w:r>
        <w:t xml:space="preserve"> Печенгского муниципального округа                                             А.В. </w:t>
      </w:r>
      <w:r>
        <w:t xml:space="preserve">Пономарев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</w:t>
      </w:r>
      <w:r>
        <w:rPr>
          <w:sz w:val="20"/>
          <w:szCs w:val="20"/>
        </w:rPr>
        <w:t xml:space="preserve">онова</w:t>
      </w:r>
      <w:r>
        <w:rPr>
          <w:sz w:val="20"/>
          <w:szCs w:val="20"/>
        </w:rPr>
        <w:t xml:space="preserve"> О.В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0</w:t>
      </w:r>
      <w:r>
        <w:rPr>
          <w:sz w:val="20"/>
          <w:szCs w:val="20"/>
        </w:rPr>
        <w:t xml:space="preserve">270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</w:pPr>
      <w:r/>
      <w:bookmarkStart w:id="0" w:name="undefined"/>
      <w:r>
        <w:t xml:space="preserve">Приложение</w:t>
      </w:r>
      <w:r>
        <w:t xml:space="preserve"> </w:t>
      </w:r>
      <w:r>
        <w:t xml:space="preserve">№ </w:t>
      </w:r>
      <w:r>
        <w:t xml:space="preserve">1</w:t>
      </w:r>
      <w:r/>
    </w:p>
    <w:p>
      <w:pPr>
        <w:ind w:left="5529"/>
        <w:jc w:val="both"/>
      </w:pPr>
      <w:r>
        <w:t xml:space="preserve">к постановлению администрации</w:t>
      </w:r>
      <w:r>
        <w:t xml:space="preserve"> </w:t>
      </w:r>
      <w:r>
        <w:t xml:space="preserve">Печенгск</w:t>
      </w:r>
      <w:r>
        <w:t xml:space="preserve">ого</w:t>
      </w:r>
      <w:r>
        <w:t xml:space="preserve"> </w:t>
      </w:r>
      <w:r>
        <w:t xml:space="preserve">муниципального округа</w:t>
      </w:r>
      <w:r/>
    </w:p>
    <w:p>
      <w:pPr>
        <w:ind w:left="5529"/>
        <w:jc w:val="both"/>
      </w:pPr>
      <w:r>
        <w:t xml:space="preserve">о</w:t>
      </w:r>
      <w:r>
        <w:t xml:space="preserve">т</w:t>
      </w:r>
      <w:r>
        <w:t xml:space="preserve"> </w:t>
      </w:r>
      <w:r>
        <w:t xml:space="preserve">01.02.2024</w:t>
      </w:r>
      <w:r>
        <w:t xml:space="preserve"> </w:t>
      </w:r>
      <w:r>
        <w:t xml:space="preserve">№</w:t>
      </w:r>
      <w:r>
        <w:t xml:space="preserve"> </w:t>
      </w:r>
      <w:r>
        <w:t xml:space="preserve">173</w:t>
      </w:r>
      <w:r/>
    </w:p>
    <w:p>
      <w:pPr>
        <w:ind w:left="5529"/>
        <w:jc w:val="both"/>
        <w:rPr>
          <w:b/>
          <w:i/>
          <w:color w:val="0000ff"/>
          <w:sz w:val="20"/>
          <w:szCs w:val="20"/>
        </w:rPr>
      </w:pP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</w:p>
    <w:p>
      <w:pPr>
        <w:ind w:left="5529"/>
        <w:jc w:val="both"/>
        <w:rPr>
          <w:b/>
          <w:i/>
          <w:color w:val="0000ff"/>
          <w:sz w:val="20"/>
          <w:szCs w:val="20"/>
        </w:rPr>
      </w:pP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</w:t>
      </w:r>
      <w:r/>
    </w:p>
    <w:p>
      <w:pPr>
        <w:jc w:val="center"/>
      </w:pPr>
      <w:r>
        <w:t xml:space="preserve">администрируемых администрацией Печенгского муниципального округа</w:t>
      </w:r>
      <w:r>
        <w:t xml:space="preserve"> Мурманской области</w:t>
      </w:r>
      <w:r/>
    </w:p>
    <w:p>
      <w:pPr>
        <w:ind w:firstLine="709"/>
        <w:jc w:val="both"/>
      </w:pPr>
      <w:r/>
      <w:r/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558"/>
        <w:gridCol w:w="2245"/>
        <w:gridCol w:w="4719"/>
        <w:gridCol w:w="1049"/>
      </w:tblGrid>
      <w:tr>
        <w:tblPrEx/>
        <w:trPr>
          <w:cantSplit/>
        </w:trPr>
        <w:tc>
          <w:tcPr>
            <w:gridSpan w:val="2"/>
            <w:tcW w:w="19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бюджетной классификации РФ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4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Норматив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46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cantSplit/>
          <w:trHeight w:val="630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54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1 13 02994 14 0000 130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</w:t>
            </w:r>
            <w:r>
              <w:rPr>
                <w:color w:val="000000"/>
                <w:sz w:val="20"/>
                <w:szCs w:val="20"/>
              </w:rPr>
              <w:t xml:space="preserve">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1 16 10100 14 0000 140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1 16 10123 01 0000 140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21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21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1 17 05040 14 0000 180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неналоговые доходы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1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1 17 15020 14 0000 150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Инициативные платежи, зачисляемые в бюджеты муниципальных округов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1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pStyle w:val="868"/>
              <w:jc w:val="center"/>
              <w:spacing w:before="0" w:beforeAutospacing="0" w:after="0" w:afterAutospacing="0"/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001</w: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pStyle w:val="868"/>
              <w:jc w:val="both"/>
              <w:spacing w:before="0" w:beforeAutospacing="0" w:after="0" w:afterAutospacing="0"/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1 17 16000 14 0000 180</w: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</w:p>
        </w:tc>
        <w:tc>
          <w:tcPr>
            <w:tcW w:w="2465" w:type="pct"/>
            <w:textDirection w:val="lrTb"/>
            <w:noWrap w:val="false"/>
          </w:tcPr>
          <w:p>
            <w:pPr>
              <w:pStyle w:val="868"/>
              <w:jc w:val="both"/>
              <w:spacing w:before="0" w:beforeAutospacing="0" w:after="0" w:afterAutospacing="0"/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</w:p>
        </w:tc>
        <w:tc>
          <w:tcPr>
            <w:tcW w:w="548" w:type="pct"/>
            <w:textDirection w:val="lrTb"/>
            <w:noWrap w:val="false"/>
          </w:tcPr>
          <w:p>
            <w:pPr>
              <w:pStyle w:val="869"/>
              <w:jc w:val="center"/>
              <w:spacing w:before="0" w:beforeAutospacing="0" w:after="0" w:afterAutospacing="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69"/>
              <w:jc w:val="center"/>
              <w:spacing w:before="0" w:beforeAutospacing="0" w:after="0" w:afterAutospacing="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69"/>
              <w:jc w:val="center"/>
              <w:spacing w:before="0" w:beforeAutospacing="0" w:after="0" w:afterAutospacing="0"/>
              <w:rPr>
                <w:sz w:val="20"/>
              </w:rPr>
            </w:pPr>
            <w:r>
              <w:rPr>
                <w:sz w:val="20"/>
              </w:rPr>
              <w:t xml:space="preserve">100 %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71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2 04 04099 14 0000 150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2 07 04050 14 0000 150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2 18 04010 14 0000 150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2 18 04020 14 0000 150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автономными учреждениями остатков субсидий прошлых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2 18 04030 14 0000 150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иными организациями остатков субсидий прошлых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2 19 60010 14 0000 150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5529"/>
        <w:jc w:val="both"/>
      </w:pPr>
      <w:r>
        <w:br w:type="page" w:clear="all"/>
      </w:r>
      <w:r>
        <w:t xml:space="preserve">Приложение</w:t>
      </w:r>
      <w:r>
        <w:t xml:space="preserve"> </w:t>
      </w:r>
      <w:r>
        <w:t xml:space="preserve">№ </w:t>
      </w:r>
      <w:r>
        <w:t xml:space="preserve">2</w:t>
      </w:r>
      <w:r/>
    </w:p>
    <w:p>
      <w:pPr>
        <w:ind w:left="5529"/>
        <w:jc w:val="both"/>
        <w:tabs>
          <w:tab w:val="left" w:pos="6096" w:leader="none"/>
        </w:tabs>
      </w:pPr>
      <w:r>
        <w:t xml:space="preserve">к постановлению администрации</w:t>
      </w:r>
      <w:r>
        <w:t xml:space="preserve"> </w:t>
      </w:r>
      <w:r>
        <w:t xml:space="preserve">Печенгск</w:t>
      </w:r>
      <w:r>
        <w:t xml:space="preserve">ого</w:t>
      </w:r>
      <w:r>
        <w:t xml:space="preserve"> </w:t>
      </w:r>
      <w:r>
        <w:t xml:space="preserve">муниципального </w:t>
      </w:r>
      <w:r>
        <w:t xml:space="preserve">округа</w:t>
      </w:r>
      <w:r>
        <w:t xml:space="preserve"> </w:t>
      </w:r>
      <w:r/>
    </w:p>
    <w:p>
      <w:pPr>
        <w:ind w:left="5529"/>
        <w:jc w:val="both"/>
      </w:pPr>
      <w:r>
        <w:t xml:space="preserve">о</w:t>
      </w:r>
      <w:r>
        <w:t xml:space="preserve">т</w:t>
      </w:r>
      <w:r>
        <w:t xml:space="preserve"> </w:t>
      </w:r>
      <w:r>
        <w:t xml:space="preserve">01.02.2024</w:t>
      </w:r>
      <w:r>
        <w:t xml:space="preserve"> </w:t>
      </w:r>
      <w:r>
        <w:t xml:space="preserve">№</w:t>
      </w:r>
      <w:r>
        <w:t xml:space="preserve"> </w:t>
      </w:r>
      <w:r>
        <w:t xml:space="preserve">173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</w:t>
      </w:r>
      <w:r>
        <w:t xml:space="preserve"> </w:t>
      </w:r>
      <w:r>
        <w:t xml:space="preserve">администрируемых </w:t>
      </w:r>
      <w:r>
        <w:t xml:space="preserve">муниципальным казенным учреждением «Единая дежурно-диспетчерская с</w:t>
      </w:r>
      <w:r>
        <w:t xml:space="preserve">лужба </w:t>
      </w:r>
      <w:r>
        <w:t xml:space="preserve"> Печен</w:t>
      </w:r>
      <w:r>
        <w:t xml:space="preserve">гского муниципального округа</w:t>
      </w:r>
      <w:r>
        <w:t xml:space="preserve"> Мурманской области</w:t>
      </w:r>
      <w:r>
        <w:t xml:space="preserve">»</w:t>
      </w:r>
      <w:r/>
    </w:p>
    <w:p>
      <w:pPr>
        <w:ind w:left="360"/>
        <w:jc w:val="center"/>
      </w:pPr>
      <w:r>
        <w:t xml:space="preserve"> </w:t>
      </w:r>
      <w:r/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558"/>
        <w:gridCol w:w="2470"/>
        <w:gridCol w:w="4381"/>
        <w:gridCol w:w="1162"/>
      </w:tblGrid>
      <w:tr>
        <w:tblPrEx/>
        <w:trPr>
          <w:cantSplit/>
        </w:trPr>
        <w:tc>
          <w:tcPr>
            <w:gridSpan w:val="2"/>
            <w:tcW w:w="19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Норматив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3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1 13 02</w:t>
            </w:r>
            <w:r>
              <w:rPr>
                <w:sz w:val="20"/>
                <w:szCs w:val="20"/>
              </w:rPr>
              <w:t xml:space="preserve">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</w:t>
            </w:r>
            <w:r>
              <w:rPr>
                <w:color w:val="000000"/>
                <w:sz w:val="20"/>
                <w:szCs w:val="20"/>
              </w:rPr>
              <w:t xml:space="preserve">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116 10123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/>
        <w:jc w:val="both"/>
      </w:pPr>
      <w:r>
        <w:rPr>
          <w:b/>
        </w:rPr>
        <w:br w:type="page" w:clear="all"/>
      </w:r>
      <w:r>
        <w:t xml:space="preserve">Приложение № </w:t>
      </w:r>
      <w:r>
        <w:t xml:space="preserve">3</w:t>
      </w:r>
      <w:r/>
    </w:p>
    <w:p>
      <w:pPr>
        <w:ind w:left="5529"/>
        <w:jc w:val="both"/>
      </w:pPr>
      <w:r>
        <w:t xml:space="preserve">к постановлению администрации</w:t>
      </w:r>
      <w:r>
        <w:t xml:space="preserve"> </w:t>
      </w:r>
      <w:r>
        <w:t xml:space="preserve">Печенгского </w:t>
      </w:r>
      <w:r>
        <w:t xml:space="preserve">муниципального округа </w:t>
      </w:r>
      <w:r/>
    </w:p>
    <w:p>
      <w:pPr>
        <w:ind w:left="5529"/>
        <w:jc w:val="both"/>
      </w:pPr>
      <w:r>
        <w:t xml:space="preserve">о</w:t>
      </w:r>
      <w:r>
        <w:t xml:space="preserve">т</w:t>
      </w:r>
      <w:r>
        <w:t xml:space="preserve"> </w:t>
      </w:r>
      <w:r>
        <w:t xml:space="preserve">01.02.2024</w:t>
      </w:r>
      <w:r>
        <w:t xml:space="preserve"> </w:t>
      </w:r>
      <w:r>
        <w:t xml:space="preserve">№</w:t>
      </w:r>
      <w:r>
        <w:t xml:space="preserve"> </w:t>
      </w:r>
      <w:r>
        <w:t xml:space="preserve">173</w:t>
      </w:r>
      <w:r/>
    </w:p>
    <w:p>
      <w:pPr>
        <w:jc w:val="center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jc w:val="center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</w:t>
      </w:r>
      <w:r>
        <w:t xml:space="preserve"> </w:t>
      </w:r>
      <w:r>
        <w:t xml:space="preserve">администрируемых муниципальным казенным учреждением </w:t>
      </w:r>
      <w:r>
        <w:t xml:space="preserve"> </w:t>
      </w:r>
      <w:r>
        <w:t xml:space="preserve">«Управление по обеспечению деятельн</w:t>
      </w:r>
      <w:r>
        <w:t xml:space="preserve">ости администрации  Печенгского муниципального округа</w:t>
      </w:r>
      <w:r>
        <w:t xml:space="preserve"> </w:t>
      </w:r>
      <w:r>
        <w:t xml:space="preserve">Мурманской области»</w:t>
      </w:r>
      <w:r/>
    </w:p>
    <w:p>
      <w:pPr>
        <w:ind w:left="360"/>
        <w:jc w:val="center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tbl>
      <w:tblPr>
        <w:tblW w:w="97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694"/>
        <w:gridCol w:w="4394"/>
        <w:gridCol w:w="1417"/>
      </w:tblGrid>
      <w:tr>
        <w:tblPrEx/>
        <w:trPr>
          <w:cantSplit/>
        </w:trPr>
        <w:tc>
          <w:tcPr>
            <w:gridSpan w:val="2"/>
            <w:tcW w:w="39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Норматив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1 13 02994 14 0000 130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1 16 10032</w:t>
            </w:r>
            <w:r>
              <w:rPr>
                <w:color w:val="000000"/>
                <w:sz w:val="20"/>
                <w:szCs w:val="20"/>
              </w:rPr>
              <w:t xml:space="preserve">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</w:t>
            </w:r>
            <w:r>
              <w:rPr>
                <w:color w:val="000000"/>
                <w:sz w:val="20"/>
                <w:szCs w:val="20"/>
              </w:rPr>
              <w:t xml:space="preserve">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116 10123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1 17 05040 14 0000 180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неналоговые доходы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</w:p>
    <w:p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 w:right="-1"/>
        <w:jc w:val="both"/>
      </w:pPr>
      <w:r>
        <w:t xml:space="preserve">Приложение № </w:t>
      </w:r>
      <w:r>
        <w:t xml:space="preserve">4</w:t>
      </w:r>
      <w:r/>
    </w:p>
    <w:p>
      <w:pPr>
        <w:ind w:left="5529" w:right="-1"/>
        <w:jc w:val="both"/>
      </w:pPr>
      <w:r>
        <w:t xml:space="preserve">к постановлению администрации</w:t>
      </w:r>
      <w:r>
        <w:t xml:space="preserve"> </w:t>
      </w:r>
      <w:r>
        <w:t xml:space="preserve">Печенгского </w:t>
      </w:r>
      <w:r>
        <w:t xml:space="preserve">муниципального округа </w:t>
      </w:r>
      <w:r/>
    </w:p>
    <w:p>
      <w:pPr>
        <w:ind w:left="5529"/>
        <w:jc w:val="both"/>
      </w:pPr>
      <w:r>
        <w:t xml:space="preserve">о</w:t>
      </w:r>
      <w:r>
        <w:t xml:space="preserve">т</w:t>
      </w:r>
      <w:r>
        <w:t xml:space="preserve"> </w:t>
      </w:r>
      <w:r>
        <w:t xml:space="preserve">01.02.2024</w:t>
      </w:r>
      <w:r>
        <w:t xml:space="preserve"> </w:t>
      </w:r>
      <w:r>
        <w:t xml:space="preserve">№</w:t>
      </w:r>
      <w:r>
        <w:t xml:space="preserve"> </w:t>
      </w:r>
      <w:r>
        <w:t xml:space="preserve">173</w:t>
      </w:r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</w:t>
      </w:r>
      <w:r>
        <w:t xml:space="preserve"> </w:t>
      </w:r>
      <w:r>
        <w:t xml:space="preserve">администрируемых муниципальным казенным учреждением </w:t>
      </w:r>
      <w:r>
        <w:t xml:space="preserve"> </w:t>
      </w:r>
      <w:r>
        <w:t xml:space="preserve">«Управление </w:t>
      </w:r>
      <w:r>
        <w:t xml:space="preserve">благоустройства и развития» Печенгского муниципального округа Мурманской области</w:t>
      </w:r>
      <w:r/>
    </w:p>
    <w:p>
      <w:pPr>
        <w:ind w:left="360"/>
        <w:jc w:val="center"/>
      </w:pPr>
      <w:r/>
      <w:r/>
    </w:p>
    <w:tbl>
      <w:tblPr>
        <w:tblW w:w="96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552"/>
        <w:gridCol w:w="4394"/>
        <w:gridCol w:w="1417"/>
      </w:tblGrid>
      <w:tr>
        <w:tblPrEx/>
        <w:trPr>
          <w:cantSplit/>
        </w:trPr>
        <w:tc>
          <w:tcPr>
            <w:gridSpan w:val="2"/>
            <w:tcW w:w="379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Норматив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1 13 02994 14 0000 130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116 10123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1 17 05040 14 0000 180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неналоговые доходы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15"/>
        </w:trPr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2 04 04099 14 0000 150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2 07 04050 14 0000 150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2 18 04030 14 0000 150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иными организациями остатков субсидий прошлых лет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bookmarkEnd w:id="0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shd w:val="nil" w:color="auto"/>
        <w:rPr>
          <w:b/>
          <w:bCs/>
          <w:color w:val="000000"/>
        </w:rPr>
      </w:pPr>
      <w:r>
        <w:rPr>
          <w:b/>
          <w:color w:val="000000"/>
          <w:highlight w:val="none"/>
        </w:rPr>
      </w:r>
      <w:r>
        <w:rPr>
          <w:b/>
          <w:bCs/>
          <w:color w:val="00000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  <w:tabs>
          <w:tab w:val="num" w:pos="144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  <w:tabs>
          <w:tab w:val="num" w:pos="21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  <w:tabs>
          <w:tab w:val="num" w:pos="28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  <w:tabs>
          <w:tab w:val="num" w:pos="36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  <w:tabs>
          <w:tab w:val="num" w:pos="43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  <w:tabs>
          <w:tab w:val="num" w:pos="50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  <w:tabs>
          <w:tab w:val="num" w:pos="57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  <w:tabs>
          <w:tab w:val="num" w:pos="64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  <w:tabs>
          <w:tab w:val="num" w:pos="720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36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500" w:hanging="360"/>
        <w:tabs>
          <w:tab w:val="num" w:pos="15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20" w:hanging="180"/>
        <w:tabs>
          <w:tab w:val="num" w:pos="22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40" w:hanging="360"/>
        <w:tabs>
          <w:tab w:val="num" w:pos="29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60" w:hanging="360"/>
        <w:tabs>
          <w:tab w:val="num" w:pos="36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80" w:hanging="180"/>
        <w:tabs>
          <w:tab w:val="num" w:pos="43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00" w:hanging="360"/>
        <w:tabs>
          <w:tab w:val="num" w:pos="51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20" w:hanging="360"/>
        <w:tabs>
          <w:tab w:val="num" w:pos="58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40" w:hanging="180"/>
        <w:tabs>
          <w:tab w:val="num" w:pos="6540" w:leader="none"/>
        </w:tabs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  <w:num w:numId="11">
    <w:abstractNumId w:val="12"/>
  </w:num>
  <w:num w:numId="12">
    <w:abstractNumId w:val="8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0">
    <w:name w:val="Heading 1 Char"/>
    <w:basedOn w:val="858"/>
    <w:link w:val="855"/>
    <w:uiPriority w:val="9"/>
    <w:rPr>
      <w:rFonts w:ascii="Arial" w:hAnsi="Arial" w:eastAsia="Arial" w:cs="Arial"/>
      <w:sz w:val="40"/>
      <w:szCs w:val="40"/>
    </w:rPr>
  </w:style>
  <w:style w:type="character" w:styleId="681">
    <w:name w:val="Heading 2 Char"/>
    <w:basedOn w:val="858"/>
    <w:link w:val="856"/>
    <w:uiPriority w:val="9"/>
    <w:rPr>
      <w:rFonts w:ascii="Arial" w:hAnsi="Arial" w:eastAsia="Arial" w:cs="Arial"/>
      <w:sz w:val="34"/>
    </w:rPr>
  </w:style>
  <w:style w:type="character" w:styleId="682">
    <w:name w:val="Heading 3 Char"/>
    <w:basedOn w:val="858"/>
    <w:link w:val="857"/>
    <w:uiPriority w:val="9"/>
    <w:rPr>
      <w:rFonts w:ascii="Arial" w:hAnsi="Arial" w:eastAsia="Arial" w:cs="Arial"/>
      <w:sz w:val="30"/>
      <w:szCs w:val="30"/>
    </w:rPr>
  </w:style>
  <w:style w:type="paragraph" w:styleId="683">
    <w:name w:val="Heading 4"/>
    <w:basedOn w:val="854"/>
    <w:next w:val="854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4">
    <w:name w:val="Heading 4 Char"/>
    <w:basedOn w:val="858"/>
    <w:link w:val="68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4"/>
    <w:next w:val="854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8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4"/>
    <w:next w:val="854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8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4"/>
    <w:next w:val="854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8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4"/>
    <w:next w:val="854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8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4"/>
    <w:next w:val="854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8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List Paragraph"/>
    <w:basedOn w:val="854"/>
    <w:uiPriority w:val="34"/>
    <w:qFormat/>
    <w:pPr>
      <w:contextualSpacing/>
      <w:ind w:left="720"/>
    </w:pPr>
  </w:style>
  <w:style w:type="paragraph" w:styleId="696">
    <w:name w:val="No Spacing"/>
    <w:uiPriority w:val="1"/>
    <w:qFormat/>
    <w:pPr>
      <w:spacing w:before="0" w:after="0" w:line="240" w:lineRule="auto"/>
    </w:pPr>
  </w:style>
  <w:style w:type="character" w:styleId="697">
    <w:name w:val="Title Char"/>
    <w:basedOn w:val="858"/>
    <w:link w:val="862"/>
    <w:uiPriority w:val="10"/>
    <w:rPr>
      <w:sz w:val="48"/>
      <w:szCs w:val="48"/>
    </w:rPr>
  </w:style>
  <w:style w:type="paragraph" w:styleId="698">
    <w:name w:val="Subtitle"/>
    <w:basedOn w:val="854"/>
    <w:next w:val="854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>
    <w:name w:val="Subtitle Char"/>
    <w:basedOn w:val="858"/>
    <w:link w:val="698"/>
    <w:uiPriority w:val="11"/>
    <w:rPr>
      <w:sz w:val="24"/>
      <w:szCs w:val="24"/>
    </w:rPr>
  </w:style>
  <w:style w:type="paragraph" w:styleId="700">
    <w:name w:val="Quote"/>
    <w:basedOn w:val="854"/>
    <w:next w:val="854"/>
    <w:link w:val="701"/>
    <w:uiPriority w:val="29"/>
    <w:qFormat/>
    <w:pPr>
      <w:ind w:left="720" w:right="720"/>
    </w:pPr>
    <w:rPr>
      <w:i/>
    </w:rPr>
  </w:style>
  <w:style w:type="character" w:styleId="701">
    <w:name w:val="Quote Char"/>
    <w:link w:val="700"/>
    <w:uiPriority w:val="29"/>
    <w:rPr>
      <w:i/>
    </w:rPr>
  </w:style>
  <w:style w:type="paragraph" w:styleId="702">
    <w:name w:val="Intense Quote"/>
    <w:basedOn w:val="854"/>
    <w:next w:val="854"/>
    <w:link w:val="7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>
    <w:name w:val="Intense Quote Char"/>
    <w:link w:val="702"/>
    <w:uiPriority w:val="30"/>
    <w:rPr>
      <w:i/>
    </w:rPr>
  </w:style>
  <w:style w:type="paragraph" w:styleId="704">
    <w:name w:val="Header"/>
    <w:basedOn w:val="854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Header Char"/>
    <w:basedOn w:val="858"/>
    <w:link w:val="704"/>
    <w:uiPriority w:val="99"/>
  </w:style>
  <w:style w:type="paragraph" w:styleId="706">
    <w:name w:val="Footer"/>
    <w:basedOn w:val="854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Footer Char"/>
    <w:basedOn w:val="858"/>
    <w:link w:val="706"/>
    <w:uiPriority w:val="99"/>
  </w:style>
  <w:style w:type="paragraph" w:styleId="708">
    <w:name w:val="Caption"/>
    <w:basedOn w:val="854"/>
    <w:next w:val="85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>
    <w:name w:val="Caption Char"/>
    <w:basedOn w:val="708"/>
    <w:link w:val="706"/>
    <w:uiPriority w:val="99"/>
  </w:style>
  <w:style w:type="table" w:styleId="710">
    <w:name w:val="Table Grid"/>
    <w:basedOn w:val="85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Table Grid Light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2">
    <w:name w:val="Plain Table 1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>
    <w:name w:val="Grid Table 4 - Accent 1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0">
    <w:name w:val="Grid Table 4 - Accent 2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1">
    <w:name w:val="Grid Table 4 - Accent 3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2">
    <w:name w:val="Grid Table 4 - Accent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3">
    <w:name w:val="Grid Table 4 - Accent 5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4">
    <w:name w:val="Grid Table 4 - Accent 6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5">
    <w:name w:val="Grid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9">
    <w:name w:val="Grid Table 5 Dark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4">
    <w:name w:val="Grid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5">
    <w:name w:val="Grid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6">
    <w:name w:val="Grid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7">
    <w:name w:val="Grid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9">
    <w:name w:val="Grid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4">
    <w:name w:val="List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5">
    <w:name w:val="List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6">
    <w:name w:val="List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7">
    <w:name w:val="List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8">
    <w:name w:val="List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9">
    <w:name w:val="List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0">
    <w:name w:val="List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2">
    <w:name w:val="List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3">
    <w:name w:val="List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4">
    <w:name w:val="List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5">
    <w:name w:val="List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6">
    <w:name w:val="List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7">
    <w:name w:val="List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8">
    <w:name w:val="List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9">
    <w:name w:val="List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0">
    <w:name w:val="List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1">
    <w:name w:val="List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2">
    <w:name w:val="List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3">
    <w:name w:val="List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4">
    <w:name w:val="List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5">
    <w:name w:val="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 &amp; 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Bordered &amp; 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Bordered &amp; 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Bordered &amp; 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Bordered &amp; 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Bordered &amp; 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Bordered &amp; 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0">
    <w:name w:val="Bordered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1">
    <w:name w:val="Bordered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2">
    <w:name w:val="Bordered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3">
    <w:name w:val="Bordered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4">
    <w:name w:val="Bordered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5">
    <w:name w:val="Bordered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6">
    <w:name w:val="Hyperlink"/>
    <w:uiPriority w:val="99"/>
    <w:unhideWhenUsed/>
    <w:rPr>
      <w:color w:val="0000ff" w:themeColor="hyperlink"/>
      <w:u w:val="single"/>
    </w:rPr>
  </w:style>
  <w:style w:type="paragraph" w:styleId="837">
    <w:name w:val="footnote text"/>
    <w:basedOn w:val="854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>
    <w:name w:val="Footnote Text Char"/>
    <w:link w:val="837"/>
    <w:uiPriority w:val="99"/>
    <w:rPr>
      <w:sz w:val="18"/>
    </w:rPr>
  </w:style>
  <w:style w:type="character" w:styleId="839">
    <w:name w:val="footnote reference"/>
    <w:basedOn w:val="858"/>
    <w:uiPriority w:val="99"/>
    <w:unhideWhenUsed/>
    <w:rPr>
      <w:vertAlign w:val="superscript"/>
    </w:rPr>
  </w:style>
  <w:style w:type="paragraph" w:styleId="840">
    <w:name w:val="endnote text"/>
    <w:basedOn w:val="854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>
    <w:name w:val="Endnote Text Char"/>
    <w:link w:val="840"/>
    <w:uiPriority w:val="99"/>
    <w:rPr>
      <w:sz w:val="20"/>
    </w:rPr>
  </w:style>
  <w:style w:type="character" w:styleId="842">
    <w:name w:val="endnote reference"/>
    <w:basedOn w:val="858"/>
    <w:uiPriority w:val="99"/>
    <w:semiHidden/>
    <w:unhideWhenUsed/>
    <w:rPr>
      <w:vertAlign w:val="superscript"/>
    </w:rPr>
  </w:style>
  <w:style w:type="paragraph" w:styleId="843">
    <w:name w:val="toc 1"/>
    <w:basedOn w:val="854"/>
    <w:next w:val="854"/>
    <w:uiPriority w:val="39"/>
    <w:unhideWhenUsed/>
    <w:pPr>
      <w:ind w:left="0" w:right="0" w:firstLine="0"/>
      <w:spacing w:after="57"/>
    </w:pPr>
  </w:style>
  <w:style w:type="paragraph" w:styleId="844">
    <w:name w:val="toc 2"/>
    <w:basedOn w:val="854"/>
    <w:next w:val="854"/>
    <w:uiPriority w:val="39"/>
    <w:unhideWhenUsed/>
    <w:pPr>
      <w:ind w:left="283" w:right="0" w:firstLine="0"/>
      <w:spacing w:after="57"/>
    </w:pPr>
  </w:style>
  <w:style w:type="paragraph" w:styleId="845">
    <w:name w:val="toc 3"/>
    <w:basedOn w:val="854"/>
    <w:next w:val="854"/>
    <w:uiPriority w:val="39"/>
    <w:unhideWhenUsed/>
    <w:pPr>
      <w:ind w:left="567" w:right="0" w:firstLine="0"/>
      <w:spacing w:after="57"/>
    </w:pPr>
  </w:style>
  <w:style w:type="paragraph" w:styleId="846">
    <w:name w:val="toc 4"/>
    <w:basedOn w:val="854"/>
    <w:next w:val="854"/>
    <w:uiPriority w:val="39"/>
    <w:unhideWhenUsed/>
    <w:pPr>
      <w:ind w:left="850" w:right="0" w:firstLine="0"/>
      <w:spacing w:after="57"/>
    </w:pPr>
  </w:style>
  <w:style w:type="paragraph" w:styleId="847">
    <w:name w:val="toc 5"/>
    <w:basedOn w:val="854"/>
    <w:next w:val="854"/>
    <w:uiPriority w:val="39"/>
    <w:unhideWhenUsed/>
    <w:pPr>
      <w:ind w:left="1134" w:right="0" w:firstLine="0"/>
      <w:spacing w:after="57"/>
    </w:pPr>
  </w:style>
  <w:style w:type="paragraph" w:styleId="848">
    <w:name w:val="toc 6"/>
    <w:basedOn w:val="854"/>
    <w:next w:val="854"/>
    <w:uiPriority w:val="39"/>
    <w:unhideWhenUsed/>
    <w:pPr>
      <w:ind w:left="1417" w:right="0" w:firstLine="0"/>
      <w:spacing w:after="57"/>
    </w:pPr>
  </w:style>
  <w:style w:type="paragraph" w:styleId="849">
    <w:name w:val="toc 7"/>
    <w:basedOn w:val="854"/>
    <w:next w:val="854"/>
    <w:uiPriority w:val="39"/>
    <w:unhideWhenUsed/>
    <w:pPr>
      <w:ind w:left="1701" w:right="0" w:firstLine="0"/>
      <w:spacing w:after="57"/>
    </w:pPr>
  </w:style>
  <w:style w:type="paragraph" w:styleId="850">
    <w:name w:val="toc 8"/>
    <w:basedOn w:val="854"/>
    <w:next w:val="854"/>
    <w:uiPriority w:val="39"/>
    <w:unhideWhenUsed/>
    <w:pPr>
      <w:ind w:left="1984" w:right="0" w:firstLine="0"/>
      <w:spacing w:after="57"/>
    </w:pPr>
  </w:style>
  <w:style w:type="paragraph" w:styleId="851">
    <w:name w:val="toc 9"/>
    <w:basedOn w:val="854"/>
    <w:next w:val="854"/>
    <w:uiPriority w:val="39"/>
    <w:unhideWhenUsed/>
    <w:pPr>
      <w:ind w:left="2268" w:right="0" w:firstLine="0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854"/>
    <w:next w:val="854"/>
    <w:uiPriority w:val="99"/>
    <w:unhideWhenUsed/>
    <w:pPr>
      <w:spacing w:after="0" w:afterAutospacing="0"/>
    </w:pPr>
  </w:style>
  <w:style w:type="paragraph" w:styleId="854" w:default="1">
    <w:name w:val="Normal"/>
    <w:qFormat/>
    <w:rPr>
      <w:sz w:val="24"/>
      <w:szCs w:val="24"/>
    </w:rPr>
  </w:style>
  <w:style w:type="paragraph" w:styleId="855">
    <w:name w:val="Heading 1"/>
    <w:basedOn w:val="854"/>
    <w:next w:val="854"/>
    <w:link w:val="867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56">
    <w:name w:val="Heading 2"/>
    <w:basedOn w:val="854"/>
    <w:next w:val="854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57">
    <w:name w:val="Heading 3"/>
    <w:basedOn w:val="854"/>
    <w:next w:val="854"/>
    <w:qFormat/>
    <w:pPr>
      <w:jc w:val="center"/>
      <w:keepNext/>
      <w:outlineLvl w:val="2"/>
    </w:pPr>
    <w:rPr>
      <w:b/>
      <w:sz w:val="32"/>
      <w:szCs w:val="20"/>
    </w:rPr>
  </w:style>
  <w:style w:type="character" w:styleId="858" w:default="1">
    <w:name w:val="Default Paragraph Font"/>
    <w:uiPriority w:val="1"/>
    <w:semiHidden/>
    <w:unhideWhenUsed/>
  </w:style>
  <w:style w:type="table" w:styleId="8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0" w:default="1">
    <w:name w:val="No List"/>
    <w:uiPriority w:val="99"/>
    <w:semiHidden/>
    <w:unhideWhenUsed/>
  </w:style>
  <w:style w:type="paragraph" w:styleId="861">
    <w:name w:val="Balloon Text"/>
    <w:basedOn w:val="854"/>
    <w:semiHidden/>
    <w:rPr>
      <w:rFonts w:ascii="Tahoma" w:hAnsi="Tahoma" w:cs="Tahoma"/>
      <w:sz w:val="16"/>
      <w:szCs w:val="16"/>
    </w:rPr>
  </w:style>
  <w:style w:type="paragraph" w:styleId="862">
    <w:name w:val="Title"/>
    <w:basedOn w:val="854"/>
    <w:qFormat/>
    <w:pPr>
      <w:jc w:val="center"/>
    </w:pPr>
    <w:rPr>
      <w:b/>
      <w:sz w:val="28"/>
      <w:szCs w:val="20"/>
    </w:rPr>
  </w:style>
  <w:style w:type="paragraph" w:styleId="863">
    <w:name w:val="Body Text 2"/>
    <w:basedOn w:val="854"/>
    <w:link w:val="864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64" w:customStyle="1">
    <w:name w:val="Основной текст 2 Знак"/>
    <w:link w:val="863"/>
    <w:rPr>
      <w:sz w:val="26"/>
      <w:szCs w:val="26"/>
      <w:lang w:val="ru-RU" w:eastAsia="ru-RU" w:bidi="ar-SA"/>
    </w:rPr>
  </w:style>
  <w:style w:type="paragraph" w:styleId="865">
    <w:name w:val="Body Text"/>
    <w:basedOn w:val="854"/>
    <w:link w:val="866"/>
    <w:pPr>
      <w:spacing w:after="120"/>
    </w:pPr>
  </w:style>
  <w:style w:type="character" w:styleId="866" w:customStyle="1">
    <w:name w:val="Основной текст Знак"/>
    <w:basedOn w:val="858"/>
    <w:link w:val="865"/>
    <w:rPr>
      <w:sz w:val="24"/>
      <w:szCs w:val="24"/>
    </w:rPr>
  </w:style>
  <w:style w:type="character" w:styleId="867" w:customStyle="1">
    <w:name w:val="Заголовок 1 Знак"/>
    <w:basedOn w:val="858"/>
    <w:link w:val="855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68" w:customStyle="1">
    <w:name w:val="table0"/>
    <w:basedOn w:val="854"/>
    <w:pPr>
      <w:spacing w:before="100" w:beforeAutospacing="1" w:after="100" w:afterAutospacing="1"/>
    </w:pPr>
  </w:style>
  <w:style w:type="paragraph" w:styleId="869" w:customStyle="1">
    <w:name w:val="table"/>
    <w:basedOn w:val="854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76883-72E1-4701-B5D6-21251EE9D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Дом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имуществом администрации муниципального образования Печенгский район</dc:title>
  <dc:creator>Наталья</dc:creator>
  <cp:revision>6</cp:revision>
  <dcterms:created xsi:type="dcterms:W3CDTF">2024-01-29T13:49:00Z</dcterms:created>
  <dcterms:modified xsi:type="dcterms:W3CDTF">2024-02-08T11:58:19Z</dcterms:modified>
</cp:coreProperties>
</file>