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44"/>
          <w:szCs w:val="44"/>
        </w:rPr>
      </w:pPr>
      <w:r>
        <w:rPr>
          <w:b/>
          <w:sz w:val="44"/>
          <w:szCs w:val="44"/>
        </w:rPr>
        <w:t xml:space="preserve">АДМИНИСТРАЦИЯ </w:t>
      </w:r>
      <w:r>
        <w:rPr>
          <w:b/>
          <w:sz w:val="44"/>
          <w:szCs w:val="44"/>
        </w:rPr>
      </w:r>
    </w:p>
    <w:p>
      <w:pPr>
        <w:jc w:val="center"/>
        <w:rPr>
          <w:b/>
          <w:sz w:val="28"/>
        </w:rPr>
      </w:pPr>
      <w:r>
        <w:rPr>
          <w:b/>
          <w:sz w:val="28"/>
        </w:rPr>
        <w:t xml:space="preserve">ПЕЧЕНГСКОГО МУНИЦИПАЛЬНОГО ОКРУГА</w:t>
      </w:r>
      <w:r>
        <w:rPr>
          <w:b/>
          <w:sz w:val="28"/>
        </w:rPr>
      </w:r>
    </w:p>
    <w:p>
      <w:pPr>
        <w:jc w:val="center"/>
        <w:rPr>
          <w:b/>
          <w:sz w:val="28"/>
        </w:rPr>
      </w:pPr>
      <w:r>
        <w:rPr>
          <w:b/>
          <w:sz w:val="28"/>
        </w:rPr>
        <w:t xml:space="preserve">МУРМАНСКОЙ ОБЛАСТИ</w:t>
      </w:r>
      <w:r>
        <w:rPr>
          <w:b/>
          <w:sz w:val="28"/>
        </w:rPr>
      </w:r>
    </w:p>
    <w:p>
      <w:pPr>
        <w:jc w:val="center"/>
        <w:rPr>
          <w:b/>
          <w:sz w:val="16"/>
          <w:szCs w:val="16"/>
        </w:rPr>
      </w:pP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08</w:t>
      </w:r>
      <w:r>
        <w:rPr>
          <w:b/>
          <w:color w:val="000000"/>
          <w:szCs w:val="20"/>
        </w:rPr>
        <w:t xml:space="preserve">.</w:t>
      </w:r>
      <w:r>
        <w:rPr>
          <w:b/>
          <w:color w:val="000000"/>
          <w:szCs w:val="20"/>
        </w:rPr>
        <w:t xml:space="preserve">0</w:t>
      </w:r>
      <w:r>
        <w:rPr>
          <w:b/>
          <w:color w:val="000000"/>
          <w:szCs w:val="20"/>
        </w:rPr>
        <w:t xml:space="preserve">2.202</w:t>
      </w:r>
      <w:r>
        <w:rPr>
          <w:b/>
          <w:color w:val="000000"/>
          <w:szCs w:val="20"/>
        </w:rPr>
        <w:t xml:space="preserve">4</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w:t>
      </w:r>
      <w:r>
        <w:rPr>
          <w:b/>
          <w:color w:val="000000"/>
          <w:szCs w:val="20"/>
        </w:rPr>
        <w:t xml:space="preserve">20</w:t>
      </w:r>
      <w:r>
        <w:rPr>
          <w:b/>
          <w:color w:val="000000"/>
          <w:szCs w:val="20"/>
        </w:rPr>
        <w:t xml:space="preserve">7</w:t>
      </w:r>
      <w:r>
        <w:rPr>
          <w:b/>
          <w:color w:val="000000"/>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 Печенгского муниципального округа</w:t>
      </w:r>
      <w:r>
        <w:rPr>
          <w:rFonts w:eastAsia="Calibri"/>
          <w:bCs/>
          <w:sz w:val="20"/>
          <w:szCs w:val="20"/>
        </w:rPr>
      </w:r>
    </w:p>
    <w:p>
      <w:pPr>
        <w:ind w:firstLine="720"/>
        <w:jc w:val="both"/>
        <w:widowControl/>
        <w:tabs>
          <w:tab w:val="left" w:pos="993" w:leader="none"/>
        </w:tabs>
        <w:rPr>
          <w:rFonts w:eastAsia="Calibri"/>
          <w:sz w:val="20"/>
          <w:szCs w:val="20"/>
        </w:rPr>
      </w:pPr>
      <w:r>
        <w:rPr>
          <w:rFonts w:eastAsia="Calibri"/>
          <w:bCs/>
          <w:sz w:val="20"/>
          <w:szCs w:val="20"/>
        </w:rPr>
      </w:r>
      <w:r>
        <w:rPr>
          <w:rFonts w:eastAsia="Calibri"/>
          <w:bCs/>
          <w:sz w:val="20"/>
          <w:szCs w:val="20"/>
        </w:rPr>
      </w:r>
    </w:p>
    <w:p>
      <w:pPr>
        <w:ind w:firstLine="720"/>
        <w:jc w:val="both"/>
        <w:widowControl/>
        <w:tabs>
          <w:tab w:val="left" w:pos="993" w:leader="none"/>
        </w:tabs>
        <w:rPr>
          <w:rFonts w:eastAsia="Calibri"/>
          <w:sz w:val="20"/>
          <w:szCs w:val="20"/>
        </w:rPr>
      </w:pPr>
      <w:r>
        <w:rPr>
          <w:rFonts w:eastAsia="Calibri"/>
          <w:bCs/>
          <w:sz w:val="20"/>
          <w:szCs w:val="20"/>
        </w:rPr>
      </w:r>
      <w:r>
        <w:rPr>
          <w:rFonts w:eastAsia="Calibri"/>
          <w:sz w:val="20"/>
          <w:szCs w:val="20"/>
        </w:rPr>
      </w:r>
    </w:p>
    <w:p>
      <w:pPr>
        <w:ind w:firstLine="720"/>
        <w:jc w:val="both"/>
        <w:widowControl/>
        <w:tabs>
          <w:tab w:val="left" w:pos="993" w:leader="none"/>
        </w:tabs>
        <w:rPr>
          <w:rFonts w:eastAsia="Calibri"/>
          <w:bCs/>
        </w:rPr>
      </w:pPr>
      <w:r>
        <w:rPr>
          <w:rFonts w:eastAsia="Calibri"/>
          <w:bCs/>
        </w:rPr>
        <w:t xml:space="preserve">В соответствии с Федеральным закон</w:t>
      </w:r>
      <w:r>
        <w:rPr>
          <w:rFonts w:eastAsia="Calibri"/>
          <w:bCs/>
        </w:rPr>
        <w:t xml:space="preserve">ом</w:t>
      </w:r>
      <w:r>
        <w:rPr>
          <w:rFonts w:eastAsia="Calibri"/>
          <w:bCs/>
        </w:rPr>
        <w:t xml:space="preserve"> от 06.10.2003 № 131-ФЗ «Об общих принципах организации местного самоуправления в Российской Федерации», </w:t>
      </w:r>
      <w:r>
        <w:rPr>
          <w:rFonts w:eastAsia="Calibri"/>
          <w:bCs/>
        </w:rPr>
        <w:t xml:space="preserve">Федеральным законом </w:t>
      </w:r>
      <w:r>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w:t>
      </w:r>
      <w:r>
        <w:rPr>
          <w:rFonts w:eastAsia="Calibri"/>
          <w:bCs/>
        </w:rPr>
        <w:t xml:space="preserve">системе предупреждения и ликвидации чрезвычайных ситуаций», </w:t>
      </w:r>
      <w:r>
        <w:rPr>
          <w:rFonts w:eastAsia="Calibri"/>
          <w:bCs/>
        </w:rPr>
        <w:t xml:space="preserve">в связи с прогнозируем</w:t>
      </w:r>
      <w:r>
        <w:rPr>
          <w:rFonts w:eastAsia="Calibri"/>
          <w:bCs/>
        </w:rPr>
        <w:t xml:space="preserve">ым</w:t>
      </w:r>
      <w:r>
        <w:rPr>
          <w:rFonts w:eastAsia="Calibri"/>
          <w:bCs/>
        </w:rPr>
        <w:t xml:space="preserve"> на территории Мурманской области</w:t>
      </w:r>
      <w:r>
        <w:rPr>
          <w:rFonts w:eastAsia="Calibri"/>
          <w:bCs/>
        </w:rPr>
        <w:t xml:space="preserve"> понижением температуры</w:t>
      </w:r>
      <w:r>
        <w:rPr>
          <w:rFonts w:eastAsia="Calibri"/>
          <w:bCs/>
        </w:rPr>
        <w:t xml:space="preserve"> до -</w:t>
      </w:r>
      <w:r>
        <w:rPr>
          <w:rFonts w:eastAsia="Calibri"/>
          <w:bCs/>
        </w:rPr>
        <w:t xml:space="preserve">35</w:t>
      </w:r>
      <w:r>
        <w:rPr>
          <w:rFonts w:eastAsia="Calibri"/>
          <w:bCs/>
        </w:rPr>
        <w:t xml:space="preserve">, -</w:t>
      </w:r>
      <w:r>
        <w:rPr>
          <w:rFonts w:eastAsia="Calibri"/>
          <w:bCs/>
        </w:rPr>
        <w:t xml:space="preserve">37</w:t>
      </w:r>
      <w:r>
        <w:rPr>
          <w:rFonts w:eastAsia="Calibri"/>
          <w:bCs/>
          <w:vertAlign w:val="superscript"/>
        </w:rPr>
        <w:t xml:space="preserve">0</w:t>
      </w:r>
      <w:r>
        <w:rPr>
          <w:rFonts w:eastAsia="Calibri"/>
          <w:bCs/>
        </w:rPr>
        <w:t xml:space="preserve">С</w:t>
      </w:r>
      <w:r>
        <w:rPr>
          <w:rFonts w:eastAsia="Calibri"/>
          <w:bCs/>
        </w:rPr>
        <w:t xml:space="preserve">, в целях обеспечения готовности </w:t>
      </w:r>
      <w:r>
        <w:rPr>
          <w:rFonts w:eastAsia="Calibri"/>
          <w:bCs/>
        </w:rPr>
        <w:t xml:space="preserve">коммунальных служб </w:t>
      </w:r>
      <w:r>
        <w:rPr>
          <w:rFonts w:eastAsia="Calibri"/>
          <w:bCs/>
        </w:rPr>
        <w:t xml:space="preserve">к оперативному реагированию</w:t>
      </w:r>
      <w:r>
        <w:rPr>
          <w:rFonts w:eastAsia="Calibri"/>
          <w:bCs/>
        </w:rPr>
        <w:t xml:space="preserve">,</w:t>
      </w:r>
      <w:r>
        <w:rPr>
          <w:rFonts w:eastAsia="Calibri"/>
          <w:bCs/>
        </w:rPr>
        <w:t xml:space="preserve"> действиям при возможных чрезвычайных ситуациях и </w:t>
      </w:r>
      <w:r>
        <w:rPr>
          <w:rFonts w:eastAsia="Calibri"/>
          <w:bCs/>
        </w:rPr>
        <w:t xml:space="preserve">принятия мер</w:t>
      </w:r>
      <w:r>
        <w:rPr>
          <w:rFonts w:eastAsia="Calibri"/>
          <w:bCs/>
        </w:rPr>
        <w:t xml:space="preserve"> по их ликвидации на территории Печенгского муниципального округа</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pStyle w:val="723"/>
        <w:numPr>
          <w:ilvl w:val="0"/>
          <w:numId w:val="28"/>
        </w:numPr>
        <w:ind w:left="0" w:firstLine="720"/>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Печенгского муниципального округа</w:t>
      </w:r>
      <w:r>
        <w:rPr>
          <w:rFonts w:eastAsia="Calibri"/>
          <w:bCs/>
        </w:rPr>
        <w:t xml:space="preserve"> с </w:t>
      </w:r>
      <w:r>
        <w:rPr>
          <w:rFonts w:eastAsia="Calibri"/>
          <w:bCs/>
        </w:rPr>
        <w:t xml:space="preserve">18</w:t>
      </w:r>
      <w:r>
        <w:rPr>
          <w:rFonts w:eastAsia="Calibri"/>
          <w:bCs/>
        </w:rPr>
        <w:t xml:space="preserve">:00 час. </w:t>
      </w:r>
      <w:r>
        <w:rPr>
          <w:rFonts w:eastAsia="Calibri"/>
          <w:bCs/>
        </w:rPr>
        <w:t xml:space="preserve">0</w:t>
      </w:r>
      <w:r>
        <w:rPr>
          <w:rFonts w:eastAsia="Calibri"/>
          <w:bCs/>
        </w:rPr>
        <w:t xml:space="preserve">8</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1</w:t>
      </w:r>
      <w:r>
        <w:rPr>
          <w:rFonts w:eastAsia="Calibri"/>
          <w:bCs/>
        </w:rPr>
        <w:t xml:space="preserve">0</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 Рекомендовать руководителям предприятий и организаций независимо от форм собственности</w:t>
      </w:r>
      <w:r>
        <w:rPr>
          <w:rFonts w:eastAsia="Calibri"/>
          <w:bCs/>
        </w:rPr>
        <w:t xml:space="preserve">, расположенных на территории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w:t>
      </w:r>
      <w:r>
        <w:rPr>
          <w:rFonts w:eastAsia="Calibri"/>
          <w:bCs/>
        </w:rPr>
        <w:t xml:space="preserve">1</w:t>
      </w:r>
      <w:r>
        <w:rPr>
          <w:rFonts w:eastAsia="Calibri"/>
          <w:bCs/>
        </w:rPr>
        <w:t xml:space="preserve">. </w:t>
      </w:r>
      <w:r>
        <w:rPr>
          <w:rFonts w:eastAsia="Calibri"/>
          <w:bCs/>
        </w:rPr>
        <w:t xml:space="preserve">В период с </w:t>
      </w:r>
      <w:r>
        <w:rPr>
          <w:rFonts w:eastAsia="Calibri"/>
          <w:bCs/>
        </w:rPr>
        <w:t xml:space="preserve">18</w:t>
      </w:r>
      <w:r>
        <w:rPr>
          <w:rFonts w:eastAsia="Calibri"/>
          <w:bCs/>
        </w:rPr>
        <w:t xml:space="preserve">:00 час. 0</w:t>
      </w:r>
      <w:r>
        <w:rPr>
          <w:rFonts w:eastAsia="Calibri"/>
          <w:bCs/>
        </w:rPr>
        <w:t xml:space="preserve">8</w:t>
      </w:r>
      <w:r>
        <w:rPr>
          <w:rFonts w:eastAsia="Calibri"/>
          <w:bCs/>
        </w:rPr>
        <w:t xml:space="preserve">.</w:t>
      </w:r>
      <w:r>
        <w:rPr>
          <w:rFonts w:eastAsia="Calibri"/>
          <w:bCs/>
        </w:rPr>
        <w:t xml:space="preserve">0</w:t>
      </w:r>
      <w:r>
        <w:rPr>
          <w:rFonts w:eastAsia="Calibri"/>
          <w:bCs/>
        </w:rPr>
        <w:t xml:space="preserve">2.202</w:t>
      </w:r>
      <w:r>
        <w:rPr>
          <w:rFonts w:eastAsia="Calibri"/>
          <w:bCs/>
        </w:rPr>
        <w:t xml:space="preserve">4</w:t>
      </w:r>
      <w:r>
        <w:rPr>
          <w:rFonts w:eastAsia="Calibri"/>
          <w:bCs/>
        </w:rPr>
        <w:t xml:space="preserve"> до 09:00 час. </w:t>
      </w:r>
      <w:r>
        <w:rPr>
          <w:rFonts w:eastAsia="Calibri"/>
          <w:bCs/>
        </w:rPr>
        <w:t xml:space="preserve">1</w:t>
      </w:r>
      <w:r>
        <w:rPr>
          <w:rFonts w:eastAsia="Calibri"/>
          <w:bCs/>
        </w:rPr>
        <w:t xml:space="preserve">0.0</w:t>
      </w:r>
      <w:r>
        <w:rPr>
          <w:rFonts w:eastAsia="Calibri"/>
          <w:bCs/>
        </w:rPr>
        <w:t xml:space="preserve">2</w:t>
      </w:r>
      <w:r>
        <w:rPr>
          <w:rFonts w:eastAsia="Calibri"/>
          <w:bCs/>
        </w:rPr>
        <w:t xml:space="preserve">.2024 г.:</w:t>
      </w:r>
      <w:r>
        <w:rPr>
          <w:rFonts w:eastAsia="Calibri"/>
          <w:bCs/>
        </w:rPr>
      </w:r>
    </w:p>
    <w:p>
      <w:pPr>
        <w:ind w:firstLine="720"/>
        <w:jc w:val="both"/>
        <w:widowControl/>
        <w:tabs>
          <w:tab w:val="left" w:pos="993" w:leader="none"/>
        </w:tabs>
        <w:rPr>
          <w:rFonts w:eastAsia="Calibri"/>
          <w:bCs/>
        </w:rPr>
      </w:pPr>
      <w:r>
        <w:rPr>
          <w:rFonts w:eastAsia="Calibri"/>
          <w:bCs/>
        </w:rPr>
        <w:t xml:space="preserve">- обеспечить круглосуточное дежурство ответственных лиц;</w:t>
      </w:r>
      <w:r>
        <w:rPr>
          <w:rFonts w:eastAsia="Calibri"/>
          <w:bCs/>
        </w:rPr>
      </w:r>
    </w:p>
    <w:p>
      <w:pPr>
        <w:ind w:firstLine="720"/>
        <w:jc w:val="both"/>
        <w:widowControl/>
        <w:tabs>
          <w:tab w:val="left" w:pos="993" w:leader="none"/>
        </w:tabs>
        <w:rPr>
          <w:rFonts w:eastAsia="Calibri"/>
          <w:bCs/>
        </w:rPr>
      </w:pPr>
      <w:r>
        <w:rPr>
          <w:rFonts w:eastAsia="Calibri"/>
          <w:bCs/>
        </w:rPr>
        <w:t xml:space="preserve">- уточнить состав, готовность к действиям и оснащенность аварийно-восстановительных бригад;</w:t>
      </w:r>
      <w:r>
        <w:rPr>
          <w:rFonts w:eastAsia="Calibri"/>
          <w:bCs/>
        </w:rPr>
      </w:r>
    </w:p>
    <w:p>
      <w:pPr>
        <w:ind w:firstLine="720"/>
        <w:jc w:val="both"/>
        <w:widowControl/>
        <w:tabs>
          <w:tab w:val="left" w:pos="993" w:leader="none"/>
        </w:tabs>
        <w:rPr>
          <w:rFonts w:eastAsia="Calibri"/>
          <w:bCs/>
        </w:rPr>
      </w:pPr>
      <w:r>
        <w:rPr>
          <w:rFonts w:eastAsia="Calibri"/>
          <w:bCs/>
        </w:rPr>
        <w:t xml:space="preserve">- обеспечить создание необходимых запасов топлива на котельных и аварийных запасов материально-технических ресурсов на предприятиях и объектах ЖКХ;</w:t>
      </w:r>
      <w:r>
        <w:rPr>
          <w:rFonts w:eastAsia="Calibri"/>
          <w:bCs/>
        </w:rPr>
      </w:r>
    </w:p>
    <w:p>
      <w:pPr>
        <w:ind w:firstLine="720"/>
        <w:jc w:val="both"/>
        <w:widowControl/>
        <w:tabs>
          <w:tab w:val="left" w:pos="993" w:leader="none"/>
        </w:tabs>
        <w:rPr>
          <w:rFonts w:eastAsia="Calibri"/>
          <w:bCs/>
        </w:rPr>
      </w:pPr>
      <w:r>
        <w:rPr>
          <w:rFonts w:eastAsia="Calibri"/>
          <w:bCs/>
        </w:rPr>
        <w:t xml:space="preserve">- в случае снижения нормативного запаса топлива на котельных незамедлительно информировать МКУ «ЕДДС Печенгского муниципального округа» по E-</w:t>
      </w:r>
      <w:r>
        <w:rPr>
          <w:rFonts w:eastAsia="Calibri"/>
          <w:bCs/>
        </w:rPr>
        <w:t xml:space="preserve">mail</w:t>
      </w:r>
      <w:r>
        <w:rPr>
          <w:rFonts w:eastAsia="Calibri"/>
          <w:bCs/>
        </w:rPr>
        <w:t xml:space="preserve">: 112pechenga@mail.ru;</w:t>
      </w:r>
      <w:r>
        <w:rPr>
          <w:rFonts w:eastAsia="Calibri"/>
          <w:bCs/>
        </w:rPr>
      </w:r>
    </w:p>
    <w:p>
      <w:pPr>
        <w:ind w:firstLine="720"/>
        <w:jc w:val="both"/>
        <w:widowControl/>
        <w:tabs>
          <w:tab w:val="left" w:pos="993" w:leader="none"/>
        </w:tabs>
        <w:rPr>
          <w:rFonts w:eastAsia="Calibri"/>
          <w:bCs/>
        </w:rPr>
      </w:pPr>
      <w:r>
        <w:rPr>
          <w:rFonts w:eastAsia="Calibri"/>
          <w:bCs/>
        </w:rPr>
        <w:t xml:space="preserve">- провести проверку готовности резервных источников энергоснабжения.</w:t>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.3. </w:t>
      </w:r>
      <w:r>
        <w:rPr>
          <w:rFonts w:eastAsia="Calibri"/>
          <w:bCs/>
        </w:rPr>
        <w:t xml:space="preserve">При возникновении чре</w:t>
      </w:r>
      <w:r>
        <w:rPr>
          <w:rFonts w:eastAsia="Calibri"/>
          <w:bCs/>
        </w:rPr>
        <w:t xml:space="preserve">звычайных ситуаций, аварий, стихийных бедствий ответственным лицам организаций, предприятий обеспечить взаимодействие с ответственными лицами администрации Печенгского муниципального округа, дежурным оператором МКУ «ЕДДС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w:t>
      </w:r>
      <w:r>
        <w:rPr>
          <w:rFonts w:eastAsia="Calibri"/>
          <w:bCs/>
        </w:rPr>
        <w:tab/>
      </w:r>
      <w:r>
        <w:rPr>
          <w:rFonts w:eastAsia="Calibri"/>
          <w:bCs/>
        </w:rPr>
        <w:t xml:space="preserve">Начальнику</w:t>
      </w:r>
      <w:r>
        <w:rPr>
          <w:rFonts w:eastAsia="Calibri"/>
          <w:bCs/>
        </w:rPr>
        <w:t xml:space="preserve"> МКУ «ЕДДС Печенгского муниципального округа» Шипилову С.В</w:t>
      </w:r>
      <w:r>
        <w:rPr>
          <w:rFonts w:eastAsia="Calibri"/>
          <w:bCs/>
        </w:rPr>
        <w:t xml:space="preserve">.</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w:t>
      </w:r>
      <w:r>
        <w:rPr>
          <w:rFonts w:eastAsia="Calibri"/>
          <w:bCs/>
        </w:rPr>
        <w:t xml:space="preserve">1</w:t>
      </w:r>
      <w:r>
        <w:rPr>
          <w:rFonts w:eastAsia="Calibri"/>
          <w:bCs/>
        </w:rPr>
        <w:t xml:space="preserve">. </w:t>
      </w:r>
      <w:r>
        <w:rPr>
          <w:rFonts w:eastAsia="Calibri"/>
          <w:bCs/>
        </w:rPr>
        <w:t xml:space="preserve">О</w:t>
      </w:r>
      <w:r>
        <w:rPr>
          <w:rFonts w:eastAsia="Calibri"/>
          <w:bCs/>
        </w:rPr>
        <w:t xml:space="preserve">рганизовать </w:t>
      </w:r>
      <w:r>
        <w:rPr>
          <w:rFonts w:eastAsia="Calibri"/>
          <w:bCs/>
        </w:rPr>
        <w:t xml:space="preserve">с</w:t>
      </w:r>
      <w:r>
        <w:rPr>
          <w:rFonts w:eastAsia="Calibri"/>
          <w:bCs/>
        </w:rPr>
        <w:t xml:space="preserve">бор и обмен информацией в области защиты населения и территорий от ЧС в Порядке, утвержденным постановлением Правительства Российской Федерации от 24.03.1997 № 334.</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.2</w:t>
      </w:r>
      <w:r>
        <w:rPr>
          <w:rFonts w:eastAsia="Calibri"/>
          <w:bCs/>
        </w:rPr>
        <w:t xml:space="preserve">. О</w:t>
      </w:r>
      <w:r>
        <w:rPr>
          <w:rFonts w:eastAsia="Calibri"/>
          <w:bCs/>
        </w:rPr>
        <w:t xml:space="preserve">рганизовать о</w:t>
      </w:r>
      <w:r>
        <w:rPr>
          <w:rFonts w:eastAsia="Calibri"/>
          <w:bCs/>
        </w:rPr>
        <w:t xml:space="preserve">повещение населения Печенгского муниципального округа о введении режима повышенной готовности.</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.3. П</w:t>
      </w:r>
      <w:r>
        <w:rPr>
          <w:rFonts w:eastAsia="Calibri"/>
          <w:bCs/>
        </w:rPr>
        <w:t xml:space="preserve">ринять исчерпывающие меры по организации взаимодействия и информационного обмена с дежурно-диспетчерскими службами организаций ЖКХ, потенциально-опасных объектов и жизнеобеспечения, расположенных на территории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.4.</w:t>
      </w:r>
      <w:r>
        <w:rPr>
          <w:rFonts w:eastAsia="Calibri"/>
          <w:bCs/>
        </w:rPr>
        <w:t xml:space="preserve"> </w:t>
      </w:r>
      <w:r>
        <w:rPr>
          <w:rFonts w:eastAsia="Calibri"/>
          <w:bCs/>
        </w:rPr>
        <w:t xml:space="preserve">О</w:t>
      </w:r>
      <w:r>
        <w:rPr>
          <w:rFonts w:eastAsia="Calibri"/>
          <w:bCs/>
        </w:rPr>
        <w:t xml:space="preserve">рганизовать информирование населения о возможных ухудшениях погодных условий</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Начальнику отдела ГО, ЧС и ПБ администрации Печенгского района Соболеву А.В.:</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.1. 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.2. В целях недопущения чрезвычайной ситуации, через ЕДДС муниципального образования осуществлять постоянный мониторинг погодной обстановки.</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.3. В случае осложнения оперативной обстановки организовать круглосуточное дежурство оперативного штаба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ГУ МЧС России по Мурманской области.</w:t>
      </w:r>
      <w:r>
        <w:rPr>
          <w:rFonts w:eastAsia="Calibri"/>
          <w:bCs/>
        </w:rPr>
      </w:r>
    </w:p>
    <w:p>
      <w:pPr>
        <w:ind w:firstLine="709"/>
        <w:jc w:val="both"/>
        <w:tabs>
          <w:tab w:val="left" w:pos="1086" w:leader="none"/>
        </w:tabs>
        <w:rPr>
          <w:rFonts w:eastAsia="Arial Unicode MS"/>
        </w:rPr>
      </w:pPr>
      <w:r>
        <w:rPr>
          <w:rFonts w:eastAsia="Calibri"/>
          <w:bCs/>
        </w:rPr>
        <w:t xml:space="preserve">5. </w:t>
      </w:r>
      <w:r>
        <w:rPr>
          <w:rFonts w:eastAsia="Arial Unicode MS"/>
        </w:rPr>
        <w:t xml:space="preserve">Назначить ответственными дежурными по Печенгскому муниципальному округу </w:t>
      </w:r>
      <w:r>
        <w:rPr>
          <w:rFonts w:eastAsia="Arial Unicode MS"/>
          <w:bCs/>
        </w:rPr>
        <w:t xml:space="preserve">18:00 час. 08.02.2024 до 09:00 час. 10.02.2024</w:t>
      </w:r>
      <w:r>
        <w:rPr>
          <w:rFonts w:eastAsia="Arial Unicode MS"/>
          <w:bCs/>
        </w:rPr>
        <w:t xml:space="preserve"> </w:t>
      </w:r>
      <w:r>
        <w:rPr>
          <w:rFonts w:eastAsia="Arial Unicode MS"/>
        </w:rPr>
        <w:t xml:space="preserve">следующих работников:</w:t>
      </w:r>
      <w:r>
        <w:rPr>
          <w:rFonts w:eastAsia="Arial Unicode MS"/>
        </w:rPr>
      </w:r>
    </w:p>
    <w:p>
      <w:pPr>
        <w:ind w:firstLine="709"/>
        <w:jc w:val="both"/>
        <w:widowControl/>
        <w:tabs>
          <w:tab w:val="left" w:pos="1086" w:leader="none"/>
        </w:tabs>
        <w:rPr>
          <w:rFonts w:eastAsia="Arial Unicode MS"/>
        </w:rPr>
      </w:pPr>
      <w:r>
        <w:rPr>
          <w:rFonts w:eastAsia="Arial Unicode MS"/>
        </w:rPr>
        <w:t xml:space="preserve">Пономарев</w:t>
      </w:r>
      <w:r>
        <w:rPr>
          <w:rFonts w:eastAsia="Arial Unicode MS"/>
        </w:rPr>
        <w:t xml:space="preserve"> </w:t>
      </w:r>
      <w:r>
        <w:rPr>
          <w:rFonts w:eastAsia="Arial Unicode MS"/>
        </w:rPr>
        <w:t xml:space="preserve">А</w:t>
      </w:r>
      <w:r>
        <w:rPr>
          <w:rFonts w:eastAsia="Arial Unicode MS"/>
        </w:rPr>
        <w:t xml:space="preserve">.</w:t>
      </w:r>
      <w:r>
        <w:rPr>
          <w:rFonts w:eastAsia="Arial Unicode MS"/>
        </w:rPr>
        <w:t xml:space="preserve">В</w:t>
      </w:r>
      <w:r>
        <w:rPr>
          <w:rFonts w:eastAsia="Arial Unicode MS"/>
        </w:rPr>
        <w:t xml:space="preserve">. – </w:t>
      </w:r>
      <w:r>
        <w:rPr>
          <w:rFonts w:eastAsia="Arial Unicode MS"/>
        </w:rPr>
        <w:t xml:space="preserve">заместитель Главы</w:t>
      </w:r>
      <w:r>
        <w:rPr>
          <w:rFonts w:eastAsia="Arial Unicode MS"/>
        </w:rPr>
        <w:t xml:space="preserve"> Печенгского муниципального округа;</w:t>
      </w:r>
      <w:r>
        <w:rPr>
          <w:rFonts w:eastAsia="Arial Unicode MS"/>
        </w:rPr>
      </w:r>
    </w:p>
    <w:p>
      <w:pPr>
        <w:ind w:firstLine="709"/>
        <w:jc w:val="both"/>
        <w:widowControl/>
        <w:tabs>
          <w:tab w:val="left" w:pos="1086" w:leader="none"/>
        </w:tabs>
        <w:rPr>
          <w:rFonts w:eastAsia="Arial Unicode MS"/>
        </w:rPr>
      </w:pPr>
      <w:r>
        <w:rPr>
          <w:rFonts w:eastAsia="Arial Unicode MS"/>
        </w:rPr>
        <w:t xml:space="preserve">Соболева А.В. – начальника отдела ГО, ЧС и ПБ администрации Печенгского муниципального округа;</w:t>
      </w:r>
      <w:r>
        <w:rPr>
          <w:rFonts w:eastAsia="Arial Unicode MS"/>
        </w:rPr>
      </w:r>
    </w:p>
    <w:p>
      <w:pPr>
        <w:ind w:right="60" w:firstLine="709"/>
        <w:jc w:val="both"/>
        <w:widowControl/>
        <w:tabs>
          <w:tab w:val="left" w:pos="1015" w:leader="none"/>
        </w:tabs>
        <w:rPr>
          <w:rFonts w:eastAsia="Arial Unicode MS"/>
        </w:rPr>
      </w:pPr>
      <w:r>
        <w:rPr>
          <w:rFonts w:eastAsia="Arial Unicode MS"/>
        </w:rPr>
        <w:t xml:space="preserve">6</w:t>
      </w:r>
      <w:r>
        <w:rPr>
          <w:rFonts w:eastAsia="Arial Unicode MS"/>
        </w:rPr>
        <w:t xml:space="preserve">. Утвердить график дежурства ответственных лиц:</w:t>
      </w:r>
      <w:r>
        <w:rPr>
          <w:rFonts w:eastAsia="Arial Unicode MS"/>
        </w:rPr>
      </w:r>
    </w:p>
    <w:p>
      <w:pPr>
        <w:ind w:right="60" w:firstLine="709"/>
        <w:jc w:val="both"/>
        <w:widowControl/>
        <w:tabs>
          <w:tab w:val="left" w:pos="1015" w:leader="none"/>
        </w:tabs>
        <w:rPr>
          <w:rFonts w:eastAsia="Arial Unicode MS"/>
        </w:rPr>
      </w:pPr>
      <w:r>
        <w:rPr>
          <w:rFonts w:eastAsia="Arial Unicode MS"/>
        </w:rPr>
      </w:r>
      <w:r>
        <w:rPr>
          <w:rFonts w:eastAsia="Arial Unicode MS"/>
        </w:rPr>
      </w:r>
    </w:p>
    <w:tbl>
      <w:tblPr>
        <w:tblW w:w="49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80"/>
        <w:gridCol w:w="3582"/>
        <w:gridCol w:w="3404"/>
      </w:tblGrid>
      <w:tr>
        <w:tblPrEx/>
        <w:trPr>
          <w:trHeight w:val="461"/>
        </w:trPr>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jc w:val="center"/>
              <w:widowControl/>
              <w:rPr>
                <w:b/>
                <w:bCs/>
                <w:iCs/>
              </w:rPr>
            </w:pPr>
            <w:r>
              <w:rPr>
                <w:b/>
                <w:bCs/>
                <w:iCs/>
              </w:rPr>
              <w:t xml:space="preserve">Ответственный</w:t>
            </w:r>
            <w:r>
              <w:rPr>
                <w:b/>
                <w:bCs/>
                <w:iCs/>
              </w:rPr>
            </w:r>
          </w:p>
          <w:p>
            <w:pPr>
              <w:jc w:val="center"/>
              <w:widowControl/>
              <w:rPr>
                <w:b/>
                <w:bCs/>
                <w:iCs/>
              </w:rPr>
            </w:pPr>
            <w:r>
              <w:rPr>
                <w:b/>
                <w:bCs/>
                <w:iCs/>
              </w:rPr>
              <w:t xml:space="preserve">дежурный</w:t>
            </w:r>
            <w:r>
              <w:rPr>
                <w:b/>
                <w:bCs/>
                <w:iCs/>
              </w:rPr>
            </w:r>
          </w:p>
        </w:tc>
        <w:tc>
          <w:tcPr>
            <w:tcBorders>
              <w:top w:val="single" w:color="auto" w:sz="4" w:space="0"/>
              <w:left w:val="single" w:color="auto" w:sz="4" w:space="0"/>
              <w:bottom w:val="single" w:color="auto" w:sz="4" w:space="0"/>
              <w:right w:val="single" w:color="auto" w:sz="4" w:space="0"/>
            </w:tcBorders>
            <w:tcW w:w="1892" w:type="pct"/>
            <w:vAlign w:val="center"/>
            <w:textDirection w:val="lrTb"/>
            <w:noWrap w:val="false"/>
          </w:tcPr>
          <w:p>
            <w:pPr>
              <w:jc w:val="center"/>
              <w:widowControl/>
              <w:rPr>
                <w:b/>
                <w:bCs/>
                <w:iCs/>
              </w:rPr>
            </w:pPr>
            <w:r>
              <w:rPr>
                <w:b/>
                <w:bCs/>
                <w:iCs/>
              </w:rPr>
              <w:t xml:space="preserve">Должность</w:t>
            </w:r>
            <w:r>
              <w:rPr>
                <w:b/>
                <w:bCs/>
                <w:iCs/>
              </w:rPr>
            </w:r>
          </w:p>
        </w:tc>
        <w:tc>
          <w:tcPr>
            <w:tcBorders>
              <w:top w:val="single" w:color="auto" w:sz="4" w:space="0"/>
              <w:left w:val="single" w:color="auto" w:sz="4" w:space="0"/>
              <w:bottom w:val="single" w:color="auto" w:sz="4" w:space="0"/>
              <w:right w:val="single" w:color="auto" w:sz="4" w:space="0"/>
            </w:tcBorders>
            <w:tcW w:w="1798" w:type="pct"/>
            <w:vAlign w:val="center"/>
            <w:textDirection w:val="lrTb"/>
            <w:noWrap w:val="false"/>
          </w:tcPr>
          <w:p>
            <w:pPr>
              <w:jc w:val="center"/>
              <w:widowControl/>
              <w:rPr>
                <w:b/>
                <w:bCs/>
                <w:iCs/>
              </w:rPr>
            </w:pPr>
            <w:r>
              <w:rPr>
                <w:b/>
                <w:bCs/>
                <w:iCs/>
              </w:rPr>
              <w:t xml:space="preserve">Дата и время дежурства</w:t>
            </w:r>
            <w:r>
              <w:rPr>
                <w:b/>
                <w:bCs/>
                <w:iCs/>
              </w:rPr>
            </w:r>
          </w:p>
        </w:tc>
      </w:tr>
      <w:tr>
        <w:tblPrEx/>
        <w:trPr>
          <w:trHeight w:val="1104"/>
        </w:trPr>
        <w:tc>
          <w:tcPr>
            <w:tcBorders>
              <w:top w:val="single" w:color="auto" w:sz="4" w:space="0"/>
              <w:left w:val="single" w:color="auto" w:sz="4" w:space="0"/>
              <w:right w:val="single" w:color="auto" w:sz="4" w:space="0"/>
            </w:tcBorders>
            <w:tcW w:w="1310"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Пономарев Андрей Валерьевич</w:t>
            </w:r>
            <w:r>
              <w:rPr>
                <w:rFonts w:eastAsia="Arial Unicode MS"/>
                <w:sz w:val="22"/>
                <w:szCs w:val="22"/>
              </w:rPr>
            </w:r>
          </w:p>
        </w:tc>
        <w:tc>
          <w:tcPr>
            <w:tcBorders>
              <w:top w:val="single" w:color="auto" w:sz="4" w:space="0"/>
              <w:left w:val="single" w:color="auto" w:sz="4" w:space="0"/>
              <w:right w:val="single" w:color="auto" w:sz="4" w:space="0"/>
            </w:tcBorders>
            <w:tcW w:w="1892"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Заместитель Главы</w:t>
            </w:r>
            <w:r>
              <w:rPr>
                <w:rFonts w:eastAsia="Arial Unicode MS"/>
                <w:sz w:val="22"/>
                <w:szCs w:val="22"/>
              </w:rPr>
              <w:t xml:space="preserve"> Печенгского муниципального округа</w:t>
            </w:r>
            <w:r>
              <w:rPr>
                <w:rFonts w:eastAsia="Arial Unicode MS"/>
                <w:sz w:val="22"/>
                <w:szCs w:val="22"/>
              </w:rPr>
            </w:r>
          </w:p>
        </w:tc>
        <w:tc>
          <w:tcPr>
            <w:tcBorders>
              <w:top w:val="single" w:color="auto" w:sz="4" w:space="0"/>
              <w:left w:val="single" w:color="auto" w:sz="4" w:space="0"/>
              <w:right w:val="single" w:color="auto" w:sz="4" w:space="0"/>
            </w:tcBorders>
            <w:tcW w:w="1798" w:type="pct"/>
            <w:vAlign w:val="center"/>
            <w:textDirection w:val="lrTb"/>
            <w:noWrap w:val="false"/>
          </w:tcPr>
          <w:p>
            <w:pPr>
              <w:jc w:val="both"/>
              <w:widowControl/>
              <w:rPr>
                <w:bCs/>
                <w:iCs/>
              </w:rPr>
            </w:pPr>
            <w:r>
              <w:rPr>
                <w:bCs/>
                <w:iCs/>
              </w:rPr>
              <w:t xml:space="preserve">с 1</w:t>
            </w:r>
            <w:r>
              <w:rPr>
                <w:bCs/>
                <w:iCs/>
              </w:rPr>
              <w:t xml:space="preserve">8</w:t>
            </w:r>
            <w:r>
              <w:rPr>
                <w:bCs/>
                <w:iCs/>
              </w:rPr>
              <w:t xml:space="preserve">:00 0</w:t>
            </w:r>
            <w:r>
              <w:rPr>
                <w:bCs/>
                <w:iCs/>
              </w:rPr>
              <w:t xml:space="preserve">8</w:t>
            </w:r>
            <w:r>
              <w:rPr>
                <w:bCs/>
                <w:iCs/>
              </w:rPr>
              <w:t xml:space="preserve">.</w:t>
            </w:r>
            <w:r>
              <w:rPr>
                <w:bCs/>
                <w:iCs/>
              </w:rPr>
              <w:t xml:space="preserve">02</w:t>
            </w:r>
            <w:r>
              <w:rPr>
                <w:bCs/>
                <w:iCs/>
              </w:rPr>
              <w:t xml:space="preserve">.202</w:t>
            </w:r>
            <w:r>
              <w:rPr>
                <w:bCs/>
                <w:iCs/>
              </w:rPr>
              <w:t xml:space="preserve">4</w:t>
            </w:r>
            <w:r>
              <w:rPr>
                <w:bCs/>
                <w:iCs/>
              </w:rPr>
            </w:r>
          </w:p>
          <w:p>
            <w:pPr>
              <w:jc w:val="both"/>
              <w:widowControl/>
              <w:rPr>
                <w:bCs/>
                <w:iCs/>
                <w:sz w:val="22"/>
                <w:szCs w:val="22"/>
              </w:rPr>
            </w:pPr>
            <w:r>
              <w:rPr>
                <w:bCs/>
                <w:iCs/>
              </w:rPr>
              <w:t xml:space="preserve">до 09:00 0</w:t>
            </w:r>
            <w:r>
              <w:rPr>
                <w:bCs/>
                <w:iCs/>
              </w:rPr>
              <w:t xml:space="preserve">9</w:t>
            </w:r>
            <w:r>
              <w:rPr>
                <w:bCs/>
                <w:iCs/>
              </w:rPr>
              <w:t xml:space="preserve">.</w:t>
            </w:r>
            <w:r>
              <w:rPr>
                <w:bCs/>
                <w:iCs/>
              </w:rPr>
              <w:t xml:space="preserve">02</w:t>
            </w:r>
            <w:r>
              <w:rPr>
                <w:bCs/>
                <w:iCs/>
              </w:rPr>
              <w:t xml:space="preserve">.202</w:t>
            </w:r>
            <w:r>
              <w:rPr>
                <w:bCs/>
                <w:iCs/>
              </w:rPr>
              <w:t xml:space="preserve">4</w:t>
            </w:r>
            <w:r>
              <w:rPr>
                <w:bCs/>
                <w:iCs/>
                <w:sz w:val="22"/>
                <w:szCs w:val="22"/>
              </w:rPr>
            </w:r>
          </w:p>
        </w:tc>
      </w:tr>
      <w:tr>
        <w:tblPrEx/>
        <w:trPr>
          <w:trHeight w:val="557"/>
        </w:trPr>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Соболев Андрей Владимирович</w:t>
            </w:r>
            <w:r>
              <w:rPr>
                <w:rFonts w:eastAsia="Arial Unicode MS"/>
                <w:sz w:val="22"/>
                <w:szCs w:val="22"/>
              </w:rPr>
            </w:r>
          </w:p>
        </w:tc>
        <w:tc>
          <w:tcPr>
            <w:tcBorders>
              <w:top w:val="single" w:color="auto" w:sz="4" w:space="0"/>
              <w:left w:val="single" w:color="auto" w:sz="4" w:space="0"/>
              <w:bottom w:val="single" w:color="auto" w:sz="4" w:space="0"/>
              <w:right w:val="single" w:color="auto" w:sz="4" w:space="0"/>
            </w:tcBorders>
            <w:tcW w:w="1892"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Начальник отдела ГО, ЧС и ПБ администрации Печенгского муниципального округа</w:t>
            </w:r>
            <w:r>
              <w:rPr>
                <w:rFonts w:eastAsia="Arial Unicode MS"/>
                <w:sz w:val="22"/>
                <w:szCs w:val="22"/>
              </w:rPr>
            </w:r>
          </w:p>
        </w:tc>
        <w:tc>
          <w:tcPr>
            <w:tcBorders>
              <w:top w:val="single" w:color="auto" w:sz="4" w:space="0"/>
              <w:left w:val="single" w:color="auto" w:sz="4" w:space="0"/>
              <w:bottom w:val="single" w:color="auto" w:sz="4" w:space="0"/>
              <w:right w:val="single" w:color="auto" w:sz="4" w:space="0"/>
            </w:tcBorders>
            <w:tcW w:w="1798" w:type="pct"/>
            <w:vAlign w:val="center"/>
            <w:textDirection w:val="lrTb"/>
            <w:noWrap w:val="false"/>
          </w:tcPr>
          <w:p>
            <w:pPr>
              <w:jc w:val="both"/>
              <w:widowControl/>
              <w:rPr>
                <w:rFonts w:eastAsia="Arial Unicode MS"/>
                <w:bCs/>
                <w:iCs/>
              </w:rPr>
            </w:pPr>
            <w:r>
              <w:rPr>
                <w:rFonts w:eastAsia="Arial Unicode MS"/>
                <w:bCs/>
                <w:iCs/>
              </w:rPr>
              <w:t xml:space="preserve">с 09:00 0</w:t>
            </w:r>
            <w:r>
              <w:rPr>
                <w:rFonts w:eastAsia="Arial Unicode MS"/>
                <w:bCs/>
                <w:iCs/>
              </w:rPr>
              <w:t xml:space="preserve">9</w:t>
            </w:r>
            <w:r>
              <w:rPr>
                <w:rFonts w:eastAsia="Arial Unicode MS"/>
                <w:bCs/>
                <w:iCs/>
              </w:rPr>
              <w:t xml:space="preserve">.</w:t>
            </w:r>
            <w:r>
              <w:rPr>
                <w:rFonts w:eastAsia="Arial Unicode MS"/>
                <w:bCs/>
                <w:iCs/>
              </w:rPr>
              <w:t xml:space="preserve">02</w:t>
            </w:r>
            <w:r>
              <w:rPr>
                <w:rFonts w:eastAsia="Arial Unicode MS"/>
                <w:bCs/>
                <w:iCs/>
              </w:rPr>
              <w:t xml:space="preserve">.202</w:t>
            </w:r>
            <w:r>
              <w:rPr>
                <w:rFonts w:eastAsia="Arial Unicode MS"/>
                <w:bCs/>
                <w:iCs/>
              </w:rPr>
              <w:t xml:space="preserve">4</w:t>
            </w:r>
            <w:r>
              <w:rPr>
                <w:rFonts w:eastAsia="Arial Unicode MS"/>
                <w:bCs/>
                <w:iCs/>
              </w:rPr>
            </w:r>
          </w:p>
          <w:p>
            <w:pPr>
              <w:jc w:val="both"/>
              <w:widowControl/>
              <w:rPr>
                <w:rFonts w:eastAsia="Arial Unicode MS"/>
                <w:bCs/>
                <w:iCs/>
                <w:sz w:val="22"/>
                <w:szCs w:val="22"/>
              </w:rPr>
            </w:pPr>
            <w:r>
              <w:rPr>
                <w:rFonts w:eastAsia="Arial Unicode MS"/>
                <w:bCs/>
                <w:iCs/>
              </w:rPr>
              <w:t xml:space="preserve">до 09:00 </w:t>
            </w:r>
            <w:r>
              <w:rPr>
                <w:rFonts w:eastAsia="Arial Unicode MS"/>
                <w:bCs/>
                <w:iCs/>
              </w:rPr>
              <w:t xml:space="preserve">1</w:t>
            </w:r>
            <w:r>
              <w:rPr>
                <w:rFonts w:eastAsia="Arial Unicode MS"/>
                <w:bCs/>
                <w:iCs/>
              </w:rPr>
              <w:t xml:space="preserve">0.</w:t>
            </w:r>
            <w:r>
              <w:rPr>
                <w:rFonts w:eastAsia="Arial Unicode MS"/>
                <w:bCs/>
                <w:iCs/>
              </w:rPr>
              <w:t xml:space="preserve">02</w:t>
            </w:r>
            <w:r>
              <w:rPr>
                <w:rFonts w:eastAsia="Arial Unicode MS"/>
                <w:bCs/>
                <w:iCs/>
              </w:rPr>
              <w:t xml:space="preserve">.202</w:t>
            </w:r>
            <w:r>
              <w:rPr>
                <w:rFonts w:eastAsia="Arial Unicode MS"/>
                <w:bCs/>
                <w:iCs/>
              </w:rPr>
              <w:t xml:space="preserve">4</w:t>
            </w:r>
            <w:r>
              <w:rPr>
                <w:rFonts w:eastAsia="Arial Unicode MS"/>
                <w:bCs/>
                <w:iCs/>
                <w:sz w:val="22"/>
                <w:szCs w:val="22"/>
              </w:rPr>
            </w:r>
          </w:p>
        </w:tc>
      </w:tr>
    </w:tbl>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Дежурство согласно графику организовать по месту жительства ответственных лиц.</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w:t>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 Ответственным дежурным:</w:t>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.1. При возникновении аварийных ситуаций на объектах жилищно-коммунального хозяйства обеспечить немедленный устный доклад дежурному Министерства энергетики и жилищно-коммунального хозяйства Мурманской области.</w:t>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.2. При возникновении чрезвычайных ситуаций, аварий, стихийных бедствий, а также в случае производственной необходимости дежурство организуется в служебных кабинетах ответственных дежурных.</w:t>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.3. Обеспечить взаимодействие с дежурным оператором МКУ «ЕДДС Печенгского муниципального округа», диспетчерскими службами коммунального хозяйства: </w:t>
      </w:r>
      <w:r>
        <w:rPr>
          <w:rFonts w:eastAsia="Calibri"/>
          <w:bCs/>
        </w:rPr>
        <w:t xml:space="preserve">АО «МЭС» «Александровская теплосеть», МУП «Сети Никеля», ООО «</w:t>
      </w:r>
      <w:r>
        <w:rPr>
          <w:rFonts w:eastAsia="Calibri"/>
          <w:bCs/>
        </w:rPr>
        <w:t xml:space="preserve">Никельская</w:t>
      </w:r>
      <w:r>
        <w:rPr>
          <w:rFonts w:eastAsia="Calibri"/>
          <w:bCs/>
        </w:rPr>
        <w:t xml:space="preserve"> УК», ООО «</w:t>
      </w:r>
      <w:r>
        <w:rPr>
          <w:rFonts w:eastAsia="Calibri"/>
          <w:bCs/>
        </w:rPr>
        <w:t xml:space="preserve">Благоникель</w:t>
      </w:r>
      <w:r>
        <w:rPr>
          <w:rFonts w:eastAsia="Calibri"/>
          <w:bCs/>
        </w:rPr>
        <w:t xml:space="preserve">», МБУ «НДС», МБУ «Дорожно-эксплуатационная служба Печенги», «ИП </w:t>
      </w:r>
      <w:r>
        <w:rPr>
          <w:rFonts w:eastAsia="Calibri"/>
          <w:bCs/>
        </w:rPr>
        <w:t xml:space="preserve">Каюмова</w:t>
      </w:r>
      <w:r>
        <w:rPr>
          <w:rFonts w:eastAsia="Calibri"/>
          <w:bCs/>
        </w:rPr>
        <w:t xml:space="preserve">», ООО «УК Краски», МУП «Жилищный Сервис», АО «Городские Сети», МУП «Тепловые Сети», филиал «МЭС» «Заполярная </w:t>
      </w:r>
      <w:r>
        <w:rPr>
          <w:rFonts w:eastAsia="Calibri"/>
          <w:bCs/>
        </w:rPr>
        <w:t xml:space="preserve">горэлектросеть</w:t>
      </w:r>
      <w:r>
        <w:rPr>
          <w:rFonts w:eastAsia="Calibri"/>
          <w:bCs/>
        </w:rPr>
        <w:t xml:space="preserve">», «ЖКС № 5 (</w:t>
      </w:r>
      <w:r>
        <w:rPr>
          <w:rFonts w:eastAsia="Calibri"/>
          <w:bCs/>
        </w:rPr>
        <w:t xml:space="preserve">пгт</w:t>
      </w:r>
      <w:r>
        <w:rPr>
          <w:rFonts w:eastAsia="Calibri"/>
          <w:bCs/>
        </w:rPr>
        <w:t xml:space="preserve">.</w:t>
      </w:r>
      <w:r>
        <w:rPr>
          <w:rFonts w:eastAsia="Calibri"/>
          <w:bCs/>
        </w:rPr>
        <w:t xml:space="preserve"> </w:t>
      </w:r>
      <w:r>
        <w:rPr>
          <w:rFonts w:eastAsia="Calibri"/>
          <w:bCs/>
        </w:rPr>
        <w:t xml:space="preserve">Печенга) филиала ФГБУ «ЦЖКУ» Минобороны России по ОСК СФ, ООО «</w:t>
      </w:r>
      <w:r>
        <w:rPr>
          <w:rFonts w:eastAsia="Calibri"/>
          <w:bCs/>
        </w:rPr>
        <w:t xml:space="preserve">СпецНордПромООО</w:t>
      </w:r>
      <w:r>
        <w:rPr>
          <w:rFonts w:eastAsia="Calibri"/>
          <w:bCs/>
        </w:rPr>
        <w:t xml:space="preserve"> «</w:t>
      </w:r>
      <w:r>
        <w:rPr>
          <w:rFonts w:eastAsia="Calibri"/>
          <w:bCs/>
        </w:rPr>
        <w:t xml:space="preserve">Промвоенстрой</w:t>
      </w:r>
      <w:r>
        <w:rPr>
          <w:rFonts w:eastAsia="Calibri"/>
          <w:bCs/>
        </w:rPr>
        <w:t xml:space="preserve">», ООО «</w:t>
      </w:r>
      <w:r>
        <w:rPr>
          <w:rFonts w:eastAsia="Calibri"/>
          <w:bCs/>
        </w:rPr>
        <w:t xml:space="preserve">Теплострой</w:t>
      </w:r>
      <w:r>
        <w:rPr>
          <w:rFonts w:eastAsia="Calibri"/>
          <w:bCs/>
        </w:rPr>
        <w:t xml:space="preserve">», ООО «</w:t>
      </w:r>
      <w:r>
        <w:rPr>
          <w:rFonts w:eastAsia="Calibri"/>
          <w:bCs/>
        </w:rPr>
        <w:t xml:space="preserve">Технострой</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10</w:t>
      </w:r>
      <w:r>
        <w:rPr>
          <w:rFonts w:eastAsia="Calibri"/>
          <w:bCs/>
        </w:rPr>
        <w:t xml:space="preserve">. Дежурство осуществлять в соответствии с пунктами </w:t>
      </w:r>
      <w:r>
        <w:rPr>
          <w:rFonts w:eastAsia="Calibri"/>
          <w:bCs/>
        </w:rPr>
        <w:t xml:space="preserve">7</w:t>
      </w:r>
      <w:r>
        <w:rPr>
          <w:rFonts w:eastAsia="Calibri"/>
          <w:bCs/>
        </w:rPr>
        <w:t xml:space="preserve">, </w:t>
      </w:r>
      <w:r>
        <w:rPr>
          <w:rFonts w:eastAsia="Calibri"/>
          <w:bCs/>
        </w:rPr>
        <w:t xml:space="preserve">9</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11</w:t>
      </w:r>
      <w:r>
        <w:rPr>
          <w:rFonts w:eastAsia="Calibri"/>
          <w:lang w:eastAsia="ar-SA"/>
        </w:rPr>
        <w:t xml:space="preserve">. Настоящее </w:t>
      </w:r>
      <w:r>
        <w:rPr>
          <w:rFonts w:eastAsia="Calibri"/>
          <w:lang w:eastAsia="ar-SA"/>
        </w:rPr>
        <w:t xml:space="preserve">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12</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w:t>
      </w:r>
      <w:r>
        <w:rPr>
          <w:rFonts w:eastAsia="Calibri"/>
          <w:lang w:eastAsia="ar-SA"/>
        </w:rPr>
        <w:t xml:space="preserve">разместить</w:t>
      </w:r>
      <w:r>
        <w:rPr>
          <w:rFonts w:eastAsia="Calibri"/>
          <w:lang w:eastAsia="ar-SA"/>
        </w:rPr>
        <w:t xml:space="preserve">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9"/>
        <w:ind w:firstLine="720"/>
        <w:jc w:val="both"/>
        <w:rPr>
          <w:b w:val="0"/>
          <w:bCs w:val="0"/>
          <w:sz w:val="24"/>
          <w:szCs w:val="24"/>
        </w:rPr>
      </w:pPr>
      <w:r>
        <w:rPr>
          <w:b w:val="0"/>
          <w:sz w:val="24"/>
          <w:szCs w:val="24"/>
        </w:rPr>
        <w:t xml:space="preserve">13</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r/>
      <w:r/>
    </w:p>
    <w:p>
      <w:pPr>
        <w:rPr>
          <w:sz w:val="20"/>
          <w:szCs w:val="20"/>
        </w:rPr>
      </w:pPr>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t xml:space="preserve">   </w:t>
      </w:r>
      <w:r>
        <w:t xml:space="preserve">          </w:t>
      </w:r>
      <w:r>
        <w:t xml:space="preserve">А</w:t>
      </w:r>
      <w:r>
        <w:t xml:space="preserve">.</w:t>
      </w:r>
      <w:r>
        <w:t xml:space="preserve">В</w:t>
      </w:r>
      <w:r>
        <w:t xml:space="preserve">. </w:t>
      </w:r>
      <w:r>
        <w:t xml:space="preserve">Кузнецов</w:t>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bookmarkStart w:id="0" w:name="_GoBack"/>
      <w:r/>
      <w:bookmarkEnd w:id="0"/>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Unicode MS">
    <w:panose1 w:val="020B060402020202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tab"/>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23"/>
  </w:num>
  <w:num w:numId="27">
    <w:abstractNumId w:val="2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8"/>
    <w:next w:val="708"/>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10"/>
    <w:link w:val="13"/>
    <w:uiPriority w:val="9"/>
    <w:rPr>
      <w:rFonts w:ascii="Arial" w:hAnsi="Arial" w:eastAsia="Arial" w:cs="Arial"/>
      <w:sz w:val="40"/>
      <w:szCs w:val="40"/>
    </w:rPr>
  </w:style>
  <w:style w:type="character" w:styleId="16">
    <w:name w:val="Heading 2 Char"/>
    <w:basedOn w:val="710"/>
    <w:link w:val="709"/>
    <w:uiPriority w:val="9"/>
    <w:rPr>
      <w:rFonts w:ascii="Arial" w:hAnsi="Arial" w:eastAsia="Arial" w:cs="Arial"/>
      <w:sz w:val="34"/>
    </w:rPr>
  </w:style>
  <w:style w:type="paragraph" w:styleId="17">
    <w:name w:val="Heading 3"/>
    <w:basedOn w:val="708"/>
    <w:next w:val="708"/>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10"/>
    <w:link w:val="17"/>
    <w:uiPriority w:val="9"/>
    <w:rPr>
      <w:rFonts w:ascii="Arial" w:hAnsi="Arial" w:eastAsia="Arial" w:cs="Arial"/>
      <w:sz w:val="30"/>
      <w:szCs w:val="30"/>
    </w:rPr>
  </w:style>
  <w:style w:type="paragraph" w:styleId="19">
    <w:name w:val="Heading 4"/>
    <w:basedOn w:val="708"/>
    <w:next w:val="708"/>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10"/>
    <w:link w:val="19"/>
    <w:uiPriority w:val="9"/>
    <w:rPr>
      <w:rFonts w:ascii="Arial" w:hAnsi="Arial" w:eastAsia="Arial" w:cs="Arial"/>
      <w:b/>
      <w:bCs/>
      <w:sz w:val="26"/>
      <w:szCs w:val="26"/>
    </w:rPr>
  </w:style>
  <w:style w:type="paragraph" w:styleId="21">
    <w:name w:val="Heading 5"/>
    <w:basedOn w:val="708"/>
    <w:next w:val="708"/>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10"/>
    <w:link w:val="21"/>
    <w:uiPriority w:val="9"/>
    <w:rPr>
      <w:rFonts w:ascii="Arial" w:hAnsi="Arial" w:eastAsia="Arial" w:cs="Arial"/>
      <w:b/>
      <w:bCs/>
      <w:sz w:val="24"/>
      <w:szCs w:val="24"/>
    </w:rPr>
  </w:style>
  <w:style w:type="paragraph" w:styleId="23">
    <w:name w:val="Heading 6"/>
    <w:basedOn w:val="708"/>
    <w:next w:val="708"/>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10"/>
    <w:link w:val="23"/>
    <w:uiPriority w:val="9"/>
    <w:rPr>
      <w:rFonts w:ascii="Arial" w:hAnsi="Arial" w:eastAsia="Arial" w:cs="Arial"/>
      <w:b/>
      <w:bCs/>
      <w:sz w:val="22"/>
      <w:szCs w:val="22"/>
    </w:rPr>
  </w:style>
  <w:style w:type="paragraph" w:styleId="25">
    <w:name w:val="Heading 7"/>
    <w:basedOn w:val="708"/>
    <w:next w:val="708"/>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10"/>
    <w:link w:val="25"/>
    <w:uiPriority w:val="9"/>
    <w:rPr>
      <w:rFonts w:ascii="Arial" w:hAnsi="Arial" w:eastAsia="Arial" w:cs="Arial"/>
      <w:b/>
      <w:bCs/>
      <w:i/>
      <w:iCs/>
      <w:sz w:val="22"/>
      <w:szCs w:val="22"/>
    </w:rPr>
  </w:style>
  <w:style w:type="paragraph" w:styleId="27">
    <w:name w:val="Heading 8"/>
    <w:basedOn w:val="708"/>
    <w:next w:val="708"/>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10"/>
    <w:link w:val="27"/>
    <w:uiPriority w:val="9"/>
    <w:rPr>
      <w:rFonts w:ascii="Arial" w:hAnsi="Arial" w:eastAsia="Arial" w:cs="Arial"/>
      <w:i/>
      <w:iCs/>
      <w:sz w:val="22"/>
      <w:szCs w:val="22"/>
    </w:rPr>
  </w:style>
  <w:style w:type="paragraph" w:styleId="29">
    <w:name w:val="Heading 9"/>
    <w:basedOn w:val="708"/>
    <w:next w:val="708"/>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10"/>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8"/>
    <w:next w:val="708"/>
    <w:link w:val="35"/>
    <w:uiPriority w:val="10"/>
    <w:qFormat/>
    <w:pPr>
      <w:contextualSpacing/>
      <w:spacing w:before="300" w:after="200"/>
    </w:pPr>
    <w:rPr>
      <w:sz w:val="48"/>
      <w:szCs w:val="48"/>
    </w:rPr>
  </w:style>
  <w:style w:type="character" w:styleId="35">
    <w:name w:val="Title Char"/>
    <w:basedOn w:val="710"/>
    <w:link w:val="34"/>
    <w:uiPriority w:val="10"/>
    <w:rPr>
      <w:sz w:val="48"/>
      <w:szCs w:val="48"/>
    </w:rPr>
  </w:style>
  <w:style w:type="paragraph" w:styleId="36">
    <w:name w:val="Subtitle"/>
    <w:basedOn w:val="708"/>
    <w:next w:val="708"/>
    <w:link w:val="37"/>
    <w:uiPriority w:val="11"/>
    <w:qFormat/>
    <w:pPr>
      <w:spacing w:before="200" w:after="200"/>
    </w:pPr>
    <w:rPr>
      <w:sz w:val="24"/>
      <w:szCs w:val="24"/>
    </w:rPr>
  </w:style>
  <w:style w:type="character" w:styleId="37">
    <w:name w:val="Subtitle Char"/>
    <w:basedOn w:val="710"/>
    <w:link w:val="36"/>
    <w:uiPriority w:val="11"/>
    <w:rPr>
      <w:sz w:val="24"/>
      <w:szCs w:val="24"/>
    </w:rPr>
  </w:style>
  <w:style w:type="paragraph" w:styleId="38">
    <w:name w:val="Quote"/>
    <w:basedOn w:val="708"/>
    <w:next w:val="708"/>
    <w:link w:val="39"/>
    <w:uiPriority w:val="29"/>
    <w:qFormat/>
    <w:pPr>
      <w:ind w:left="720" w:right="720"/>
    </w:pPr>
    <w:rPr>
      <w:i/>
    </w:rPr>
  </w:style>
  <w:style w:type="character" w:styleId="39">
    <w:name w:val="Quote Char"/>
    <w:link w:val="38"/>
    <w:uiPriority w:val="29"/>
    <w:rPr>
      <w:i/>
    </w:rPr>
  </w:style>
  <w:style w:type="paragraph" w:styleId="40">
    <w:name w:val="Intense Quote"/>
    <w:basedOn w:val="708"/>
    <w:next w:val="708"/>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10"/>
    <w:link w:val="730"/>
    <w:uiPriority w:val="99"/>
  </w:style>
  <w:style w:type="paragraph" w:styleId="44">
    <w:name w:val="Footer"/>
    <w:basedOn w:val="708"/>
    <w:link w:val="47"/>
    <w:uiPriority w:val="99"/>
    <w:unhideWhenUsed/>
    <w:pPr>
      <w:spacing w:after="0" w:line="240" w:lineRule="auto"/>
      <w:tabs>
        <w:tab w:val="center" w:pos="7143" w:leader="none"/>
        <w:tab w:val="right" w:pos="14287" w:leader="none"/>
      </w:tabs>
    </w:pPr>
  </w:style>
  <w:style w:type="character" w:styleId="45">
    <w:name w:val="Footer Char"/>
    <w:basedOn w:val="710"/>
    <w:link w:val="44"/>
    <w:uiPriority w:val="99"/>
  </w:style>
  <w:style w:type="character" w:styleId="47">
    <w:name w:val="Caption Char"/>
    <w:basedOn w:val="727"/>
    <w:link w:val="44"/>
    <w:uiPriority w:val="99"/>
  </w:style>
  <w:style w:type="table" w:styleId="49">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8"/>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10"/>
    <w:uiPriority w:val="99"/>
    <w:unhideWhenUsed/>
    <w:rPr>
      <w:vertAlign w:val="superscript"/>
    </w:rPr>
  </w:style>
  <w:style w:type="paragraph" w:styleId="178">
    <w:name w:val="endnote text"/>
    <w:basedOn w:val="708"/>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10"/>
    <w:uiPriority w:val="99"/>
    <w:semiHidden/>
    <w:unhideWhenUsed/>
    <w:rPr>
      <w:vertAlign w:val="superscript"/>
    </w:rPr>
  </w:style>
  <w:style w:type="paragraph" w:styleId="181">
    <w:name w:val="toc 1"/>
    <w:basedOn w:val="708"/>
    <w:next w:val="708"/>
    <w:uiPriority w:val="39"/>
    <w:unhideWhenUsed/>
    <w:pPr>
      <w:ind w:left="0" w:right="0" w:firstLine="0"/>
      <w:spacing w:after="57"/>
    </w:pPr>
  </w:style>
  <w:style w:type="paragraph" w:styleId="182">
    <w:name w:val="toc 2"/>
    <w:basedOn w:val="708"/>
    <w:next w:val="708"/>
    <w:uiPriority w:val="39"/>
    <w:unhideWhenUsed/>
    <w:pPr>
      <w:ind w:left="283" w:right="0" w:firstLine="0"/>
      <w:spacing w:after="57"/>
    </w:pPr>
  </w:style>
  <w:style w:type="paragraph" w:styleId="183">
    <w:name w:val="toc 3"/>
    <w:basedOn w:val="708"/>
    <w:next w:val="708"/>
    <w:uiPriority w:val="39"/>
    <w:unhideWhenUsed/>
    <w:pPr>
      <w:ind w:left="567" w:right="0" w:firstLine="0"/>
      <w:spacing w:after="57"/>
    </w:pPr>
  </w:style>
  <w:style w:type="paragraph" w:styleId="184">
    <w:name w:val="toc 4"/>
    <w:basedOn w:val="708"/>
    <w:next w:val="708"/>
    <w:uiPriority w:val="39"/>
    <w:unhideWhenUsed/>
    <w:pPr>
      <w:ind w:left="850" w:right="0" w:firstLine="0"/>
      <w:spacing w:after="57"/>
    </w:pPr>
  </w:style>
  <w:style w:type="paragraph" w:styleId="185">
    <w:name w:val="toc 5"/>
    <w:basedOn w:val="708"/>
    <w:next w:val="708"/>
    <w:uiPriority w:val="39"/>
    <w:unhideWhenUsed/>
    <w:pPr>
      <w:ind w:left="1134" w:right="0" w:firstLine="0"/>
      <w:spacing w:after="57"/>
    </w:pPr>
  </w:style>
  <w:style w:type="paragraph" w:styleId="186">
    <w:name w:val="toc 6"/>
    <w:basedOn w:val="708"/>
    <w:next w:val="708"/>
    <w:uiPriority w:val="39"/>
    <w:unhideWhenUsed/>
    <w:pPr>
      <w:ind w:left="1417" w:right="0" w:firstLine="0"/>
      <w:spacing w:after="57"/>
    </w:pPr>
  </w:style>
  <w:style w:type="paragraph" w:styleId="187">
    <w:name w:val="toc 7"/>
    <w:basedOn w:val="708"/>
    <w:next w:val="708"/>
    <w:uiPriority w:val="39"/>
    <w:unhideWhenUsed/>
    <w:pPr>
      <w:ind w:left="1701" w:right="0" w:firstLine="0"/>
      <w:spacing w:after="57"/>
    </w:pPr>
  </w:style>
  <w:style w:type="paragraph" w:styleId="188">
    <w:name w:val="toc 8"/>
    <w:basedOn w:val="708"/>
    <w:next w:val="708"/>
    <w:uiPriority w:val="39"/>
    <w:unhideWhenUsed/>
    <w:pPr>
      <w:ind w:left="1984" w:right="0" w:firstLine="0"/>
      <w:spacing w:after="57"/>
    </w:pPr>
  </w:style>
  <w:style w:type="paragraph" w:styleId="189">
    <w:name w:val="toc 9"/>
    <w:basedOn w:val="708"/>
    <w:next w:val="708"/>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8"/>
    <w:next w:val="708"/>
    <w:uiPriority w:val="99"/>
    <w:unhideWhenUsed/>
    <w:pPr>
      <w:spacing w:after="0" w:afterAutospacing="0"/>
    </w:pPr>
  </w:style>
  <w:style w:type="paragraph" w:styleId="708" w:default="1">
    <w:name w:val="Normal"/>
    <w:qFormat/>
    <w:pPr>
      <w:widowControl w:val="off"/>
    </w:pPr>
    <w:rPr>
      <w:rFonts w:ascii="Times New Roman" w:hAnsi="Times New Roman" w:eastAsia="Times New Roman"/>
      <w:sz w:val="24"/>
      <w:szCs w:val="24"/>
    </w:rPr>
  </w:style>
  <w:style w:type="paragraph" w:styleId="709">
    <w:name w:val="Heading 2"/>
    <w:basedOn w:val="708"/>
    <w:next w:val="708"/>
    <w:qFormat/>
    <w:pPr>
      <w:jc w:val="center"/>
      <w:keepNext/>
      <w:widowControl/>
      <w:outlineLvl w:val="1"/>
    </w:pPr>
    <w:rPr>
      <w:b/>
      <w:sz w:val="44"/>
    </w:rPr>
  </w:style>
  <w:style w:type="character" w:styleId="710" w:default="1">
    <w:name w:val="Default Paragraph Font"/>
    <w:uiPriority w:val="1"/>
    <w:semiHidden/>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customStyle="1">
    <w:name w:val="Style5"/>
    <w:basedOn w:val="708"/>
    <w:uiPriority w:val="99"/>
    <w:pPr>
      <w:spacing w:line="307" w:lineRule="exact"/>
    </w:pPr>
  </w:style>
  <w:style w:type="paragraph" w:styleId="714" w:customStyle="1">
    <w:name w:val="Style6"/>
    <w:basedOn w:val="708"/>
    <w:uiPriority w:val="99"/>
    <w:pPr>
      <w:ind w:firstLine="749"/>
      <w:spacing w:line="302" w:lineRule="exact"/>
    </w:pPr>
  </w:style>
  <w:style w:type="paragraph" w:styleId="715" w:customStyle="1">
    <w:name w:val="Style7"/>
    <w:basedOn w:val="708"/>
    <w:uiPriority w:val="99"/>
    <w:pPr>
      <w:jc w:val="both"/>
      <w:spacing w:line="298" w:lineRule="exact"/>
    </w:pPr>
  </w:style>
  <w:style w:type="paragraph" w:styleId="716" w:customStyle="1">
    <w:name w:val="Style8"/>
    <w:basedOn w:val="708"/>
    <w:uiPriority w:val="99"/>
  </w:style>
  <w:style w:type="paragraph" w:styleId="717" w:customStyle="1">
    <w:name w:val="Style9"/>
    <w:basedOn w:val="708"/>
    <w:uiPriority w:val="99"/>
    <w:pPr>
      <w:ind w:hanging="125"/>
      <w:spacing w:line="298" w:lineRule="exact"/>
    </w:pPr>
  </w:style>
  <w:style w:type="paragraph" w:styleId="718" w:customStyle="1">
    <w:name w:val="Style10"/>
    <w:basedOn w:val="708"/>
    <w:uiPriority w:val="99"/>
    <w:pPr>
      <w:ind w:firstLine="720"/>
      <w:jc w:val="both"/>
      <w:spacing w:line="288" w:lineRule="exact"/>
    </w:pPr>
  </w:style>
  <w:style w:type="paragraph" w:styleId="719" w:customStyle="1">
    <w:name w:val="Style11"/>
    <w:basedOn w:val="708"/>
    <w:uiPriority w:val="99"/>
  </w:style>
  <w:style w:type="paragraph" w:styleId="720" w:customStyle="1">
    <w:name w:val="Style12"/>
    <w:basedOn w:val="708"/>
    <w:uiPriority w:val="99"/>
    <w:pPr>
      <w:jc w:val="both"/>
      <w:spacing w:line="302" w:lineRule="exact"/>
    </w:pPr>
  </w:style>
  <w:style w:type="character" w:styleId="721" w:customStyle="1">
    <w:name w:val="Font Style18"/>
    <w:uiPriority w:val="99"/>
    <w:rPr>
      <w:rFonts w:ascii="Times New Roman" w:hAnsi="Times New Roman" w:cs="Times New Roman"/>
      <w:b/>
      <w:bCs/>
      <w:sz w:val="16"/>
      <w:szCs w:val="16"/>
    </w:rPr>
  </w:style>
  <w:style w:type="character" w:styleId="722" w:customStyle="1">
    <w:name w:val="Font Style19"/>
    <w:uiPriority w:val="99"/>
    <w:rPr>
      <w:rFonts w:ascii="Times New Roman" w:hAnsi="Times New Roman" w:cs="Times New Roman"/>
      <w:sz w:val="24"/>
      <w:szCs w:val="24"/>
    </w:rPr>
  </w:style>
  <w:style w:type="paragraph" w:styleId="723">
    <w:name w:val="List Paragraph"/>
    <w:basedOn w:val="708"/>
    <w:uiPriority w:val="34"/>
    <w:qFormat/>
    <w:pPr>
      <w:contextualSpacing/>
      <w:ind w:left="720"/>
    </w:pPr>
  </w:style>
  <w:style w:type="paragraph" w:styleId="724" w:customStyle="1">
    <w:name w:val="Style2"/>
    <w:basedOn w:val="708"/>
    <w:uiPriority w:val="99"/>
  </w:style>
  <w:style w:type="character" w:styleId="725" w:customStyle="1">
    <w:name w:val="Font Style13"/>
    <w:uiPriority w:val="99"/>
    <w:rPr>
      <w:rFonts w:ascii="Times New Roman" w:hAnsi="Times New Roman" w:cs="Times New Roman"/>
      <w:sz w:val="26"/>
      <w:szCs w:val="26"/>
    </w:rPr>
  </w:style>
  <w:style w:type="table" w:styleId="726">
    <w:name w:val="Table Grid"/>
    <w:basedOn w:val="711"/>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27">
    <w:name w:val="Caption"/>
    <w:basedOn w:val="708"/>
    <w:next w:val="708"/>
    <w:qFormat/>
    <w:pPr>
      <w:jc w:val="center"/>
      <w:widowControl/>
    </w:pPr>
    <w:rPr>
      <w:b/>
      <w:sz w:val="32"/>
      <w:szCs w:val="20"/>
    </w:rPr>
  </w:style>
  <w:style w:type="character" w:styleId="728">
    <w:name w:val="Hyperlink"/>
    <w:rPr>
      <w:color w:val="0000ff"/>
      <w:u w:val="single"/>
    </w:rPr>
  </w:style>
  <w:style w:type="paragraph" w:styleId="72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8"/>
    <w:pPr>
      <w:jc w:val="right"/>
      <w:spacing w:after="160" w:line="240" w:lineRule="exact"/>
    </w:pPr>
    <w:rPr>
      <w:sz w:val="20"/>
      <w:szCs w:val="20"/>
      <w:lang w:val="en-GB" w:eastAsia="en-US"/>
    </w:rPr>
  </w:style>
  <w:style w:type="paragraph" w:styleId="730">
    <w:name w:val="Header"/>
    <w:basedOn w:val="708"/>
    <w:pPr>
      <w:widowControl/>
      <w:tabs>
        <w:tab w:val="center" w:pos="4677" w:leader="none"/>
        <w:tab w:val="right" w:pos="9355" w:leader="none"/>
      </w:tabs>
    </w:pPr>
    <w:rPr>
      <w:sz w:val="28"/>
      <w:szCs w:val="20"/>
    </w:rPr>
  </w:style>
  <w:style w:type="paragraph" w:styleId="731">
    <w:name w:val="Body Text Indent 2"/>
    <w:basedOn w:val="708"/>
    <w:link w:val="734"/>
    <w:pPr>
      <w:ind w:firstLine="851"/>
      <w:jc w:val="both"/>
      <w:widowControl/>
    </w:pPr>
    <w:rPr>
      <w:sz w:val="28"/>
      <w:szCs w:val="20"/>
    </w:rPr>
  </w:style>
  <w:style w:type="paragraph" w:styleId="732">
    <w:name w:val="Body Text"/>
    <w:basedOn w:val="708"/>
    <w:link w:val="733"/>
    <w:pPr>
      <w:spacing w:after="120"/>
      <w:widowControl/>
    </w:pPr>
    <w:rPr>
      <w:sz w:val="20"/>
      <w:szCs w:val="20"/>
    </w:rPr>
  </w:style>
  <w:style w:type="character" w:styleId="733" w:customStyle="1">
    <w:name w:val="Основной текст Знак"/>
    <w:link w:val="732"/>
    <w:rPr>
      <w:lang w:val="ru-RU" w:eastAsia="ru-RU" w:bidi="ar-SA"/>
    </w:rPr>
  </w:style>
  <w:style w:type="character" w:styleId="734" w:customStyle="1">
    <w:name w:val="Основной текст с отступом 2 Знак"/>
    <w:link w:val="731"/>
    <w:rPr>
      <w:sz w:val="28"/>
      <w:lang w:bidi="ar-SA"/>
    </w:rPr>
  </w:style>
  <w:style w:type="paragraph" w:styleId="735">
    <w:name w:val="Normal (Web)"/>
    <w:basedOn w:val="708"/>
    <w:pPr>
      <w:spacing w:before="100" w:beforeAutospacing="1" w:after="100" w:afterAutospacing="1"/>
      <w:widowControl/>
    </w:pPr>
  </w:style>
  <w:style w:type="paragraph" w:styleId="736">
    <w:name w:val="Body Text Indent"/>
    <w:basedOn w:val="708"/>
    <w:pPr>
      <w:ind w:left="283"/>
      <w:spacing w:after="120"/>
    </w:pPr>
  </w:style>
  <w:style w:type="paragraph" w:styleId="737">
    <w:name w:val="Balloon Text"/>
    <w:basedOn w:val="708"/>
    <w:link w:val="738"/>
    <w:uiPriority w:val="99"/>
    <w:semiHidden/>
    <w:unhideWhenUsed/>
    <w:rPr>
      <w:rFonts w:ascii="Tahoma" w:hAnsi="Tahoma" w:cs="Tahoma"/>
      <w:sz w:val="16"/>
      <w:szCs w:val="16"/>
    </w:rPr>
  </w:style>
  <w:style w:type="character" w:styleId="738" w:customStyle="1">
    <w:name w:val="Текст выноски Знак"/>
    <w:link w:val="737"/>
    <w:uiPriority w:val="99"/>
    <w:semiHidden/>
    <w:rPr>
      <w:rFonts w:ascii="Tahoma" w:hAnsi="Tahoma" w:eastAsia="Times New Roman" w:cs="Tahoma"/>
      <w:sz w:val="16"/>
      <w:szCs w:val="16"/>
    </w:rPr>
  </w:style>
  <w:style w:type="paragraph" w:styleId="739" w:customStyle="1">
    <w:name w:val="ConsPlusNormal"/>
    <w:rPr>
      <w:rFonts w:ascii="Times New Roman" w:hAnsi="Times New Roman"/>
      <w:b/>
      <w:bCs/>
    </w:rPr>
  </w:style>
  <w:style w:type="paragraph" w:styleId="740" w:customStyle="1">
    <w:name w:val="Знак Знак1 Знак Знак Знак Знак Знак Знак Знак Знак Знак Знак Знак Знак Знак Знак"/>
    <w:basedOn w:val="708"/>
    <w:pPr>
      <w:spacing w:after="160" w:line="240" w:lineRule="exact"/>
      <w:widowControl/>
    </w:pPr>
    <w:rPr>
      <w:rFonts w:ascii="Verdana" w:hAnsi="Verdana" w:cs="Verdana"/>
      <w:sz w:val="20"/>
      <w:szCs w:val="20"/>
      <w:lang w:val="en-US" w:eastAsia="en-US"/>
    </w:rPr>
  </w:style>
  <w:style w:type="paragraph" w:styleId="74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9C51C-8E4F-451E-84CF-A389B715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2024-02-08T12:13:00Z</dcterms:created>
  <dcterms:modified xsi:type="dcterms:W3CDTF">2024-02-08T13:34:18Z</dcterms:modified>
</cp:coreProperties>
</file>