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b/>
          <w:color w:val="000000"/>
          <w:sz w:val="28"/>
        </w:rPr>
      </w:pPr>
      <w:r>
        <w:rPr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2663190</wp:posOffset>
                </wp:positionH>
                <wp:positionV relativeFrom="paragraph">
                  <wp:posOffset>12700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09.70pt;mso-position-horizontal:absolute;mso-position-vertical-relative:text;margin-top:1.0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</w:p>
    <w:p>
      <w:pPr>
        <w:jc w:val="center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jc w:val="center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jc w:val="both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</w:rPr>
        <w:t xml:space="preserve"> 13.10.2023 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№ </w:t>
      </w:r>
      <w:r>
        <w:rPr>
          <w:b/>
          <w:color w:val="000000"/>
          <w:sz w:val="24"/>
        </w:rPr>
        <w:t xml:space="preserve">1511</w:t>
      </w:r>
      <w:bookmarkStart w:id="0" w:name="_GoBack"/>
      <w:r/>
      <w:bookmarkEnd w:id="0"/>
      <w:r/>
      <w:r>
        <w:rPr>
          <w:b/>
          <w:color w:val="000000"/>
          <w:sz w:val="24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  <w:sz w:val="28"/>
        </w:rPr>
      </w:r>
    </w:p>
    <w:p>
      <w:pPr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rPr>
          <w:b/>
          <w:bCs/>
          <w:iCs/>
        </w:rPr>
      </w:pPr>
      <w:r>
        <w:rPr>
          <w:b/>
        </w:rPr>
        <w:t xml:space="preserve">О внесении изменений </w:t>
      </w:r>
      <w:r>
        <w:rPr>
          <w:b/>
        </w:rPr>
        <w:t xml:space="preserve">в </w:t>
      </w:r>
      <w:r>
        <w:rPr>
          <w:b/>
          <w:bCs/>
          <w:iCs/>
        </w:rPr>
        <w:t xml:space="preserve">П</w:t>
      </w:r>
      <w:r>
        <w:rPr>
          <w:b/>
          <w:bCs/>
          <w:iCs/>
        </w:rPr>
        <w:t xml:space="preserve">орядок установления лимитов потребления топливно-энергетических ресурсов, услуг водоснабжения и водоотведения, электроэнергии для органов местного самоуправления и муниципальных учреждений, </w:t>
      </w:r>
      <w:r>
        <w:rPr>
          <w:b/>
          <w:bCs/>
          <w:iCs/>
        </w:rPr>
        <w:t xml:space="preserve">финансируемых за счет средств бюджета Печенгского муниципального округа</w:t>
      </w:r>
      <w:r>
        <w:rPr>
          <w:b/>
          <w:bCs/>
          <w:iCs/>
        </w:rPr>
        <w:t xml:space="preserve">, утверждённый </w:t>
      </w:r>
      <w:r>
        <w:rPr>
          <w:b/>
        </w:rPr>
        <w:t xml:space="preserve">постановлением администрации </w:t>
      </w:r>
      <w:r>
        <w:rPr>
          <w:b/>
        </w:rPr>
        <w:br/>
      </w:r>
      <w:r>
        <w:rPr>
          <w:b/>
        </w:rPr>
        <w:t xml:space="preserve">Печенгского муниципального округа</w:t>
      </w:r>
      <w:r>
        <w:rPr>
          <w:b/>
          <w:bCs/>
          <w:iCs/>
          <w:sz w:val="18"/>
        </w:rPr>
        <w:t xml:space="preserve"> </w:t>
      </w:r>
      <w:r>
        <w:rPr>
          <w:b/>
          <w:bCs/>
          <w:iCs/>
        </w:rPr>
        <w:t xml:space="preserve">от 30.09.2021 №1041</w:t>
      </w:r>
      <w:r>
        <w:rPr>
          <w:b/>
          <w:bCs/>
          <w:iCs/>
        </w:rPr>
      </w:r>
    </w:p>
    <w:p>
      <w:pPr>
        <w:jc w:val="center"/>
        <w:shd w:val="clear" w:color="auto" w:fill="ffffff"/>
        <w:rPr>
          <w:b/>
        </w:rPr>
      </w:pPr>
      <w:r>
        <w:rPr>
          <w:b/>
        </w:rPr>
      </w:r>
      <w:r>
        <w:rPr>
          <w:b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связи с выявленными техническими ошибками</w:t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10"/>
        <w:jc w:val="both"/>
        <w:spacing w:after="0"/>
        <w:tabs>
          <w:tab w:val="left" w:pos="90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705"/>
        <w:ind w:firstLine="709"/>
        <w:jc w:val="both"/>
        <w:tabs>
          <w:tab w:val="center" w:pos="993" w:leader="none"/>
          <w:tab w:val="clear" w:pos="4677" w:leader="none"/>
          <w:tab w:val="right" w:pos="9214" w:leader="none"/>
          <w:tab w:val="clear" w:pos="9355" w:leader="none"/>
        </w:tabs>
        <w:rPr>
          <w:sz w:val="24"/>
        </w:rPr>
      </w:pPr>
      <w:r>
        <w:rPr>
          <w:sz w:val="24"/>
        </w:rPr>
        <w:t xml:space="preserve">1.</w:t>
      </w:r>
      <w:r>
        <w:rPr>
          <w:sz w:val="24"/>
        </w:rPr>
        <w:tab/>
      </w:r>
      <w:r>
        <w:rPr>
          <w:sz w:val="24"/>
        </w:rPr>
        <w:t xml:space="preserve"> </w:t>
      </w:r>
      <w:r>
        <w:rPr>
          <w:sz w:val="24"/>
        </w:rPr>
        <w:t xml:space="preserve">Внести </w:t>
      </w:r>
      <w:r>
        <w:rPr>
          <w:sz w:val="24"/>
        </w:rPr>
        <w:t xml:space="preserve">в </w:t>
      </w:r>
      <w:r>
        <w:rPr>
          <w:sz w:val="24"/>
        </w:rPr>
        <w:t xml:space="preserve">П</w:t>
      </w:r>
      <w:r>
        <w:rPr>
          <w:sz w:val="24"/>
        </w:rPr>
        <w:t xml:space="preserve">орядок</w:t>
      </w:r>
      <w:r>
        <w:rPr>
          <w:sz w:val="24"/>
        </w:rPr>
        <w:t xml:space="preserve"> установления лимитов потребления топливно-энергетических ресурсов, услуг водоснабжения и водоотведения, электроэнергии органами местного самоуправления и муниципальными учреждениями, финансируемыми за счет средств бюджета Печенгского муниципального округа</w:t>
      </w:r>
      <w:r>
        <w:rPr>
          <w:sz w:val="24"/>
        </w:rPr>
        <w:t xml:space="preserve">, утвержденный </w:t>
      </w:r>
      <w:r>
        <w:rPr>
          <w:sz w:val="24"/>
        </w:rPr>
        <w:t xml:space="preserve">постановлением администрации Печенгского муниципального округа от </w:t>
      </w:r>
      <w:r>
        <w:rPr>
          <w:sz w:val="24"/>
        </w:rPr>
        <w:t xml:space="preserve"> 30.09.2021</w:t>
      </w:r>
      <w:r>
        <w:rPr>
          <w:sz w:val="24"/>
        </w:rPr>
        <w:t xml:space="preserve"> № </w:t>
      </w:r>
      <w:r>
        <w:rPr>
          <w:sz w:val="24"/>
        </w:rPr>
        <w:t xml:space="preserve">1041</w:t>
      </w:r>
      <w:r>
        <w:rPr>
          <w:sz w:val="24"/>
        </w:rPr>
        <w:t xml:space="preserve"> </w:t>
      </w:r>
      <w:r>
        <w:rPr>
          <w:sz w:val="24"/>
        </w:rPr>
        <w:t xml:space="preserve">(далее – Порядок) </w:t>
      </w:r>
      <w:r>
        <w:rPr>
          <w:sz w:val="24"/>
        </w:rPr>
        <w:t xml:space="preserve">следующие изменения</w:t>
      </w:r>
      <w:r>
        <w:rPr>
          <w:sz w:val="24"/>
        </w:rPr>
        <w:t xml:space="preserve">:</w:t>
      </w:r>
      <w:r>
        <w:rPr>
          <w:sz w:val="24"/>
        </w:rPr>
      </w:r>
    </w:p>
    <w:p>
      <w:pPr>
        <w:pStyle w:val="705"/>
        <w:ind w:firstLine="709"/>
        <w:jc w:val="both"/>
        <w:tabs>
          <w:tab w:val="center" w:pos="993" w:leader="none"/>
          <w:tab w:val="clear" w:pos="4677" w:leader="none"/>
          <w:tab w:val="right" w:pos="9214" w:leader="none"/>
          <w:tab w:val="clear" w:pos="9355" w:leader="none"/>
        </w:tabs>
        <w:rPr>
          <w:sz w:val="24"/>
        </w:rPr>
      </w:pPr>
      <w:r>
        <w:rPr>
          <w:sz w:val="24"/>
        </w:rPr>
        <w:t xml:space="preserve">1.</w:t>
      </w:r>
      <w:r>
        <w:rPr>
          <w:sz w:val="24"/>
        </w:rPr>
        <w:t xml:space="preserve">1</w:t>
      </w:r>
      <w:r>
        <w:rPr>
          <w:sz w:val="24"/>
        </w:rPr>
        <w:t xml:space="preserve">. </w:t>
      </w:r>
      <w:r>
        <w:rPr>
          <w:sz w:val="24"/>
        </w:rPr>
        <w:t xml:space="preserve">В абзаце седьмом п</w:t>
      </w:r>
      <w:r>
        <w:rPr>
          <w:sz w:val="24"/>
        </w:rPr>
        <w:t xml:space="preserve">ункт</w:t>
      </w:r>
      <w:r>
        <w:rPr>
          <w:sz w:val="24"/>
        </w:rPr>
        <w:t xml:space="preserve">а</w:t>
      </w:r>
      <w:r>
        <w:rPr>
          <w:sz w:val="24"/>
        </w:rPr>
        <w:t xml:space="preserve"> </w:t>
      </w:r>
      <w:r>
        <w:rPr>
          <w:sz w:val="24"/>
        </w:rPr>
        <w:t xml:space="preserve">2</w:t>
      </w:r>
      <w:r>
        <w:rPr>
          <w:sz w:val="24"/>
        </w:rPr>
        <w:t xml:space="preserve">.4 раздела 2</w:t>
      </w:r>
      <w:r>
        <w:rPr>
          <w:sz w:val="24"/>
        </w:rPr>
        <w:t xml:space="preserve"> </w:t>
      </w:r>
      <w:r>
        <w:rPr>
          <w:sz w:val="24"/>
        </w:rPr>
        <w:t xml:space="preserve">Порядка слово «постановления» заменить словом «распоряжения».</w:t>
      </w:r>
      <w:r>
        <w:rPr>
          <w:sz w:val="24"/>
        </w:rPr>
      </w:r>
    </w:p>
    <w:p>
      <w:pPr>
        <w:pStyle w:val="705"/>
        <w:ind w:firstLine="709"/>
        <w:jc w:val="both"/>
        <w:tabs>
          <w:tab w:val="center" w:pos="993" w:leader="none"/>
          <w:tab w:val="clear" w:pos="4677" w:leader="none"/>
          <w:tab w:val="right" w:pos="9214" w:leader="none"/>
          <w:tab w:val="clear" w:pos="9355" w:leader="none"/>
        </w:tabs>
        <w:rPr>
          <w:sz w:val="24"/>
        </w:rPr>
      </w:pPr>
      <w:r>
        <w:rPr>
          <w:sz w:val="24"/>
        </w:rPr>
        <w:t xml:space="preserve">1.2. В пункте 2.5 раздела 2 Порядка слово «постановлением» заменить словом «распоряжением».</w:t>
      </w:r>
      <w:r>
        <w:rPr>
          <w:sz w:val="24"/>
        </w:rPr>
      </w:r>
    </w:p>
    <w:p>
      <w:pPr>
        <w:pStyle w:val="705"/>
        <w:ind w:firstLine="709"/>
        <w:jc w:val="both"/>
        <w:tabs>
          <w:tab w:val="center" w:pos="993" w:leader="none"/>
          <w:tab w:val="clear" w:pos="4677" w:leader="none"/>
          <w:tab w:val="right" w:pos="9214" w:leader="none"/>
          <w:tab w:val="clear" w:pos="9355" w:leader="none"/>
        </w:tabs>
        <w:rPr>
          <w:sz w:val="24"/>
        </w:rPr>
      </w:pPr>
      <w:r>
        <w:rPr>
          <w:sz w:val="24"/>
        </w:rPr>
        <w:t xml:space="preserve">1.3. В пункте 3.5 раздела 3 Порядка слово «постановление» заменить словом «распоряжение».</w:t>
      </w:r>
      <w:r>
        <w:rPr>
          <w:sz w:val="24"/>
        </w:rPr>
      </w:r>
    </w:p>
    <w:p>
      <w:pPr>
        <w:pStyle w:val="705"/>
        <w:ind w:firstLine="709"/>
        <w:jc w:val="both"/>
        <w:tabs>
          <w:tab w:val="left" w:pos="851" w:leader="none"/>
          <w:tab w:val="left" w:pos="993" w:leader="none"/>
          <w:tab w:val="clear" w:pos="4677" w:leader="none"/>
          <w:tab w:val="right" w:pos="9498" w:leader="none"/>
        </w:tabs>
        <w:rPr>
          <w:sz w:val="24"/>
        </w:rPr>
      </w:pPr>
      <w:r>
        <w:rPr>
          <w:sz w:val="24"/>
        </w:rPr>
        <w:t xml:space="preserve">2</w:t>
      </w:r>
      <w:r>
        <w:rPr>
          <w:sz w:val="24"/>
        </w:rPr>
        <w:t xml:space="preserve">.</w:t>
      </w:r>
      <w:r>
        <w:rPr>
          <w:sz w:val="24"/>
        </w:rPr>
        <w:tab/>
      </w:r>
      <w:r>
        <w:rPr>
          <w:sz w:val="24"/>
        </w:rPr>
        <w:t xml:space="preserve"> </w:t>
      </w:r>
      <w:r>
        <w:rPr>
          <w:sz w:val="24"/>
        </w:rPr>
        <w:t xml:space="preserve">Настоящее постановление вступает </w:t>
      </w:r>
      <w:r>
        <w:rPr>
          <w:sz w:val="24"/>
        </w:rPr>
        <w:t xml:space="preserve">в силу </w:t>
      </w:r>
      <w:r>
        <w:rPr>
          <w:sz w:val="24"/>
        </w:rPr>
        <w:t xml:space="preserve">после </w:t>
      </w:r>
      <w:r>
        <w:rPr>
          <w:sz w:val="24"/>
        </w:rPr>
        <w:t xml:space="preserve">его </w:t>
      </w:r>
      <w:r>
        <w:rPr>
          <w:sz w:val="24"/>
        </w:rPr>
        <w:t xml:space="preserve">подписания</w:t>
      </w:r>
      <w:r>
        <w:rPr>
          <w:sz w:val="24"/>
        </w:rPr>
        <w:t xml:space="preserve"> и распространяет</w:t>
      </w:r>
      <w:r>
        <w:rPr>
          <w:sz w:val="24"/>
        </w:rPr>
        <w:t xml:space="preserve">ся на право</w:t>
      </w:r>
      <w:r>
        <w:rPr>
          <w:sz w:val="24"/>
        </w:rPr>
        <w:t xml:space="preserve">отношения, возникшие с 1 января 202</w:t>
      </w:r>
      <w:r>
        <w:rPr>
          <w:sz w:val="24"/>
        </w:rPr>
        <w:t xml:space="preserve">3</w:t>
      </w:r>
      <w:r>
        <w:rPr>
          <w:sz w:val="24"/>
        </w:rPr>
        <w:t xml:space="preserve"> года.</w:t>
      </w:r>
      <w:r>
        <w:rPr>
          <w:sz w:val="24"/>
        </w:rPr>
      </w:r>
    </w:p>
    <w:p>
      <w:pPr>
        <w:pStyle w:val="705"/>
        <w:ind w:firstLine="709"/>
        <w:jc w:val="both"/>
        <w:tabs>
          <w:tab w:val="left" w:pos="851" w:leader="none"/>
          <w:tab w:val="left" w:pos="993" w:leader="none"/>
          <w:tab w:val="clear" w:pos="4677" w:leader="none"/>
          <w:tab w:val="right" w:pos="9498" w:leader="none"/>
        </w:tabs>
        <w:rPr>
          <w:sz w:val="24"/>
        </w:rPr>
      </w:pPr>
      <w:r>
        <w:rPr>
          <w:sz w:val="24"/>
        </w:rPr>
        <w:t xml:space="preserve">3</w:t>
      </w:r>
      <w:r>
        <w:rPr>
          <w:sz w:val="24"/>
        </w:rPr>
        <w:t xml:space="preserve">.</w:t>
      </w:r>
      <w:r>
        <w:rPr>
          <w:sz w:val="24"/>
        </w:rPr>
        <w:tab/>
      </w:r>
      <w:r>
        <w:rPr>
          <w:sz w:val="24"/>
        </w:rPr>
        <w:t xml:space="preserve"> </w:t>
      </w:r>
      <w:r>
        <w:rPr>
          <w:sz w:val="24"/>
        </w:rPr>
        <w:t xml:space="preserve">Настоящее постановление разместить на официальном сайте Печенгского муниципального округа в сети Интернет.</w:t>
      </w:r>
      <w:r>
        <w:rPr>
          <w:sz w:val="24"/>
        </w:rPr>
      </w:r>
    </w:p>
    <w:p>
      <w:pPr>
        <w:pStyle w:val="705"/>
        <w:ind w:firstLine="709"/>
        <w:jc w:val="both"/>
        <w:tabs>
          <w:tab w:val="left" w:pos="993" w:leader="none"/>
          <w:tab w:val="clear" w:pos="4677" w:leader="none"/>
          <w:tab w:val="right" w:pos="9498" w:leader="none"/>
        </w:tabs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jc w:val="both"/>
        <w:tabs>
          <w:tab w:val="righ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righ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                                                        </w:t>
      </w:r>
      <w:r>
        <w:rPr>
          <w:sz w:val="24"/>
          <w:szCs w:val="24"/>
        </w:rPr>
        <w:t xml:space="preserve">А.В. Кузнецов</w:t>
      </w:r>
      <w:r>
        <w:rPr>
          <w:sz w:val="24"/>
          <w:szCs w:val="24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r/>
      <w:bookmarkStart w:id="1" w:name="Par557"/>
      <w:r/>
      <w:bookmarkEnd w:id="1"/>
      <w:r>
        <w:t xml:space="preserve">Чупина</w:t>
      </w:r>
      <w:r>
        <w:t xml:space="preserve"> Н.В.,62041</w:t>
      </w:r>
      <w:r/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sectPr>
      <w:footnotePr/>
      <w:endnotePr/>
      <w:type w:val="continuous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Sun">
    <w:panose1 w:val="02010600030101010101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onstantia">
    <w:panose1 w:val="02030602050306030303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*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7.%1."/>
      <w:lvlJc w:val="left"/>
      <w:pPr>
        <w:ind w:left="0" w:firstLine="0"/>
        <w:tabs>
          <w:tab w:val="num" w:pos="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6.%1."/>
      <w:lvlJc w:val="left"/>
      <w:pPr>
        <w:ind w:left="709" w:firstLine="709"/>
        <w:tabs>
          <w:tab w:val="num" w:pos="1843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4.%1."/>
      <w:lvlJc w:val="left"/>
      <w:pPr>
        <w:ind w:left="0" w:firstLine="709"/>
        <w:tabs>
          <w:tab w:val="num" w:pos="1134" w:leader="none"/>
        </w:tabs>
      </w:pPr>
      <w:rPr>
        <w:rFonts w:hint="default" w:ascii="Times New Roman" w:hAnsi="Times New Roman" w:cs="Times New Roman"/>
        <w:i w:val="0"/>
        <w:color w:val="auto"/>
      </w:rPr>
    </w:lvl>
    <w:lvl w:ilvl="1">
      <w:start w:val="1"/>
      <w:numFmt w:val="russianLower"/>
      <w:isLgl w:val="false"/>
      <w:suff w:val="tab"/>
      <w:lvlText w:val="%2)"/>
      <w:lvlJc w:val="left"/>
      <w:pPr>
        <w:ind w:left="371" w:firstLine="709"/>
        <w:tabs>
          <w:tab w:val="num" w:pos="1505" w:leader="none"/>
        </w:tabs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8.%1."/>
      <w:lvlJc w:val="left"/>
      <w:pPr>
        <w:ind w:left="709" w:firstLine="709"/>
        <w:tabs>
          <w:tab w:val="num" w:pos="1843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­"/>
      <w:lvlJc w:val="left"/>
      <w:pPr>
        <w:ind w:left="1440" w:hanging="360"/>
        <w:tabs>
          <w:tab w:val="num" w:pos="1440" w:leader="none"/>
        </w:tabs>
      </w:pPr>
      <w:rPr>
        <w:rFonts w:hint="default" w:ascii="Constantia" w:hAnsi="Constantia"/>
      </w:rPr>
    </w:lvl>
    <w:lvl w:ilvl="2">
      <w:start w:val="8"/>
      <w:numFmt w:val="bullet"/>
      <w:isLgl w:val="false"/>
      <w:suff w:val="tab"/>
      <w:lvlText w:val=""/>
      <w:lvlJc w:val="left"/>
      <w:pPr>
        <w:ind w:left="2340" w:hanging="360"/>
      </w:pPr>
      <w:rPr>
        <w:rFonts w:hint="default" w:ascii="Symbol" w:hAnsi="Symbol" w:eastAsia="Times New Roman"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3.%1."/>
      <w:lvlJc w:val="left"/>
      <w:pPr>
        <w:ind w:left="709" w:firstLine="0"/>
        <w:tabs>
          <w:tab w:val="num" w:pos="709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decimal"/>
      <w:isLgl w:val="false"/>
      <w:suff w:val="tab"/>
      <w:lvlText w:val="3.%2."/>
      <w:lvlJc w:val="left"/>
      <w:pPr>
        <w:ind w:left="1080" w:firstLine="0"/>
        <w:tabs>
          <w:tab w:val="num" w:pos="1080" w:leader="none"/>
        </w:tabs>
      </w:pPr>
      <w:rPr>
        <w:rFonts w:hint="default" w:ascii="Times New Roman" w:hAnsi="Times New Roman" w:cs="Times New Roman"/>
      </w:rPr>
    </w:lvl>
    <w:lvl w:ilvl="2">
      <w:start w:val="1"/>
      <w:numFmt w:val="russianLower"/>
      <w:isLgl w:val="false"/>
      <w:suff w:val="tab"/>
      <w:lvlText w:val="%3)"/>
      <w:lvlJc w:val="left"/>
      <w:pPr>
        <w:ind w:left="0" w:firstLine="709"/>
        <w:tabs>
          <w:tab w:val="num" w:pos="1134" w:leader="none"/>
        </w:tabs>
      </w:pPr>
      <w:rPr>
        <w:rFonts w:hint="default"/>
      </w:rPr>
    </w:lvl>
    <w:lvl w:ilvl="3">
      <w:start w:val="1"/>
      <w:numFmt w:val="bullet"/>
      <w:isLgl w:val="false"/>
      <w:suff w:val="tab"/>
      <w:lvlText w:val="­"/>
      <w:lvlJc w:val="left"/>
      <w:pPr>
        <w:ind w:left="2880" w:hanging="360"/>
        <w:tabs>
          <w:tab w:val="num" w:pos="2880" w:leader="none"/>
        </w:tabs>
      </w:pPr>
      <w:rPr>
        <w:rFonts w:hint="default" w:ascii="Constantia" w:hAnsi="Constantia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260" w:hanging="360"/>
        <w:tabs>
          <w:tab w:val="num" w:pos="1260" w:leader="none"/>
        </w:tabs>
      </w:pPr>
      <w:rPr>
        <w:rFonts w:hint="default"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  <w:tabs>
          <w:tab w:val="num" w:pos="198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  <w:tabs>
          <w:tab w:val="num" w:pos="270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  <w:tabs>
          <w:tab w:val="num" w:pos="342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  <w:tabs>
          <w:tab w:val="num" w:pos="414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  <w:tabs>
          <w:tab w:val="num" w:pos="486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  <w:tabs>
          <w:tab w:val="num" w:pos="558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  <w:tabs>
          <w:tab w:val="num" w:pos="630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  <w:tabs>
          <w:tab w:val="num" w:pos="7020" w:leader="none"/>
        </w:tabs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9.%1."/>
      <w:lvlJc w:val="left"/>
      <w:pPr>
        <w:ind w:left="-141" w:firstLine="709"/>
        <w:tabs>
          <w:tab w:val="num" w:pos="568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99" w:hanging="360"/>
        <w:tabs>
          <w:tab w:val="num" w:pos="129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019" w:hanging="180"/>
        <w:tabs>
          <w:tab w:val="num" w:pos="201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739" w:hanging="360"/>
        <w:tabs>
          <w:tab w:val="num" w:pos="273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459" w:hanging="360"/>
        <w:tabs>
          <w:tab w:val="num" w:pos="345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179" w:hanging="180"/>
        <w:tabs>
          <w:tab w:val="num" w:pos="417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899" w:hanging="360"/>
        <w:tabs>
          <w:tab w:val="num" w:pos="489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619" w:hanging="360"/>
        <w:tabs>
          <w:tab w:val="num" w:pos="561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339" w:hanging="180"/>
        <w:tabs>
          <w:tab w:val="num" w:pos="6339" w:leader="none"/>
        </w:tabs>
      </w:p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  <w:tabs>
          <w:tab w:val="num" w:pos="720" w:leader="none"/>
        </w:tabs>
      </w:pPr>
      <w:rPr>
        <w:rFonts w:hint="default"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  <w:tabs>
          <w:tab w:val="num" w:pos="1080" w:leader="none"/>
        </w:tabs>
      </w:pPr>
      <w:rPr>
        <w:rFonts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5.%1."/>
      <w:lvlJc w:val="left"/>
      <w:pPr>
        <w:ind w:left="709" w:firstLine="709"/>
        <w:tabs>
          <w:tab w:val="num" w:pos="1843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  <w:tabs>
          <w:tab w:val="num" w:pos="214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  <w:tabs>
          <w:tab w:val="num" w:pos="286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  <w:tabs>
          <w:tab w:val="num" w:pos="358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  <w:tabs>
          <w:tab w:val="num" w:pos="430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  <w:tabs>
          <w:tab w:val="num" w:pos="502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  <w:tabs>
          <w:tab w:val="num" w:pos="574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  <w:tabs>
          <w:tab w:val="num" w:pos="646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  <w:tabs>
          <w:tab w:val="num" w:pos="7189" w:leader="none"/>
        </w:tabs>
      </w:pPr>
    </w:lvl>
  </w:abstractNum>
  <w:abstractNum w:abstractNumId="1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  <w:i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6.%1."/>
      <w:lvlJc w:val="left"/>
      <w:pPr>
        <w:ind w:left="709" w:firstLine="709"/>
        <w:tabs>
          <w:tab w:val="num" w:pos="1843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6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5" w:hanging="97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8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4"/>
      <w:numFmt w:val="decimal"/>
      <w:isLgl w:val="false"/>
      <w:suff w:val="tab"/>
      <w:lvlText w:val="10.%1"/>
      <w:lvlJc w:val="left"/>
      <w:pPr>
        <w:ind w:left="0" w:firstLine="0"/>
        <w:tabs>
          <w:tab w:val="num" w:pos="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1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9.%1."/>
      <w:lvlJc w:val="left"/>
      <w:pPr>
        <w:ind w:left="915" w:firstLine="709"/>
        <w:tabs>
          <w:tab w:val="num" w:pos="1624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355" w:hanging="360"/>
        <w:tabs>
          <w:tab w:val="num" w:pos="2355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3075" w:hanging="180"/>
        <w:tabs>
          <w:tab w:val="num" w:pos="3075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795" w:hanging="360"/>
        <w:tabs>
          <w:tab w:val="num" w:pos="3795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515" w:hanging="360"/>
        <w:tabs>
          <w:tab w:val="num" w:pos="4515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235" w:hanging="180"/>
        <w:tabs>
          <w:tab w:val="num" w:pos="5235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955" w:hanging="360"/>
        <w:tabs>
          <w:tab w:val="num" w:pos="5955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675" w:hanging="360"/>
        <w:tabs>
          <w:tab w:val="num" w:pos="6675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395" w:hanging="180"/>
        <w:tabs>
          <w:tab w:val="num" w:pos="7395" w:leader="none"/>
        </w:tabs>
      </w:pPr>
    </w:lvl>
  </w:abstractNum>
  <w:abstractNum w:abstractNumId="25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isLgl w:val="false"/>
      <w:suff w:val="tab"/>
      <w:lvlText w:val="­"/>
      <w:lvlJc w:val="left"/>
      <w:pPr>
        <w:ind w:left="1069" w:hanging="360"/>
      </w:pPr>
      <w:rPr>
        <w:rFonts w:hint="default" w:ascii="Constantia" w:hAnsi="Constanti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6.%1."/>
      <w:lvlJc w:val="left"/>
      <w:pPr>
        <w:ind w:left="0" w:firstLine="0"/>
        <w:tabs>
          <w:tab w:val="num" w:pos="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1.%1."/>
      <w:lvlJc w:val="left"/>
      <w:pPr>
        <w:ind w:left="0" w:firstLine="0"/>
        <w:tabs>
          <w:tab w:val="num" w:pos="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2.%1."/>
      <w:lvlJc w:val="left"/>
      <w:pPr>
        <w:ind w:left="709" w:firstLine="0"/>
        <w:tabs>
          <w:tab w:val="num" w:pos="709" w:leader="none"/>
        </w:tabs>
      </w:pPr>
      <w:rPr>
        <w:rFonts w:hint="default" w:ascii="Times New Roman" w:hAnsi="Times New Roman" w:cs="Times New Roman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  <w:tabs>
          <w:tab w:val="num" w:pos="214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  <w:tabs>
          <w:tab w:val="num" w:pos="286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  <w:tabs>
          <w:tab w:val="num" w:pos="358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  <w:tabs>
          <w:tab w:val="num" w:pos="430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  <w:tabs>
          <w:tab w:val="num" w:pos="502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  <w:tabs>
          <w:tab w:val="num" w:pos="574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  <w:tabs>
          <w:tab w:val="num" w:pos="646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  <w:tabs>
          <w:tab w:val="num" w:pos="7189" w:leader="none"/>
        </w:tabs>
      </w:pPr>
    </w:lvl>
  </w:abstractNum>
  <w:abstractNum w:abstractNumId="33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429" w:hanging="360"/>
      </w:pPr>
      <w:rPr>
        <w:rFonts w:hint="default"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34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  <w:tabs>
          <w:tab w:val="num" w:pos="720" w:leader="none"/>
        </w:tabs>
      </w:pPr>
      <w:rPr>
        <w:rFonts w:hint="default"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3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SimSun" w:cs="Times New Roman"/>
        <w:b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num w:numId="1">
    <w:abstractNumId w:val="31"/>
  </w:num>
  <w:num w:numId="2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360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3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162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4">
    <w:abstractNumId w:val="26"/>
  </w:num>
  <w:num w:numId="5">
    <w:abstractNumId w:val="1"/>
  </w:num>
  <w:num w:numId="6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177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7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364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8">
    <w:abstractNumId w:val="20"/>
  </w:num>
  <w:num w:numId="9">
    <w:abstractNumId w:val="11"/>
  </w:num>
  <w:num w:numId="10">
    <w:abstractNumId w:val="32"/>
  </w:num>
  <w:num w:numId="11">
    <w:abstractNumId w:val="10"/>
  </w:num>
  <w:num w:numId="12">
    <w:abstractNumId w:val="7"/>
  </w:num>
  <w:num w:numId="13">
    <w:abstractNumId w:val="4"/>
  </w:num>
  <w:num w:numId="14">
    <w:abstractNumId w:val="12"/>
  </w:num>
  <w:num w:numId="15">
    <w:abstractNumId w:val="2"/>
  </w:num>
  <w:num w:numId="16">
    <w:abstractNumId w:val="8"/>
  </w:num>
  <w:num w:numId="17">
    <w:abstractNumId w:val="0"/>
    <w:lvlOverride w:ilvl="0">
      <w:lvl w:ilvl="0">
        <w:start w:val="1"/>
        <w:numFmt w:val="decimal"/>
        <w:isLgl w:val="false"/>
        <w:suff w:val="tab"/>
        <w:lvlText w:val="7.%1."/>
        <w:lvlJc w:val="left"/>
        <w:pPr>
          <w:ind w:left="0" w:firstLine="0"/>
          <w:tabs>
            <w:tab w:val="num" w:pos="0" w:leader="none"/>
          </w:tabs>
        </w:pPr>
        <w:rPr>
          <w:rFonts w:hint="default" w:ascii="Times New Roman" w:hAnsi="Times New Roman" w:cs="Times New Roman"/>
        </w:rPr>
      </w:lvl>
    </w:lvlOverride>
  </w:num>
  <w:num w:numId="18">
    <w:abstractNumId w:val="14"/>
  </w:num>
  <w:num w:numId="19">
    <w:abstractNumId w:val="6"/>
  </w:num>
  <w:num w:numId="20">
    <w:abstractNumId w:val="9"/>
  </w:num>
  <w:num w:numId="21">
    <w:abstractNumId w:val="24"/>
  </w:num>
  <w:num w:numId="22">
    <w:abstractNumId w:val="35"/>
  </w:num>
  <w:num w:numId="23">
    <w:abstractNumId w:val="17"/>
  </w:num>
  <w:num w:numId="24">
    <w:abstractNumId w:val="23"/>
  </w:num>
  <w:num w:numId="25">
    <w:abstractNumId w:val="15"/>
  </w:num>
  <w:num w:numId="26">
    <w:abstractNumId w:val="3"/>
  </w:num>
  <w:num w:numId="27">
    <w:abstractNumId w:val="13"/>
  </w:num>
  <w:num w:numId="28">
    <w:abstractNumId w:val="25"/>
  </w:num>
  <w:num w:numId="29">
    <w:abstractNumId w:val="33"/>
  </w:num>
  <w:num w:numId="30">
    <w:abstractNumId w:val="18"/>
  </w:num>
  <w:num w:numId="31">
    <w:abstractNumId w:val="19"/>
  </w:num>
  <w:num w:numId="32">
    <w:abstractNumId w:val="28"/>
  </w:num>
  <w:num w:numId="33">
    <w:abstractNumId w:val="16"/>
  </w:num>
  <w:num w:numId="34">
    <w:abstractNumId w:val="21"/>
  </w:num>
  <w:num w:numId="35">
    <w:abstractNumId w:val="36"/>
  </w:num>
  <w:num w:numId="36">
    <w:abstractNumId w:val="5"/>
  </w:num>
  <w:num w:numId="37">
    <w:abstractNumId w:val="22"/>
  </w:num>
  <w:num w:numId="38">
    <w:abstractNumId w:val="27"/>
  </w:num>
  <w:num w:numId="39">
    <w:abstractNumId w:val="29"/>
  </w:num>
  <w:num w:numId="40">
    <w:abstractNumId w:val="34"/>
  </w:num>
  <w:num w:numId="4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95"/>
    <w:next w:val="695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97"/>
    <w:link w:val="13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697"/>
    <w:link w:val="696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95"/>
    <w:next w:val="695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97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95"/>
    <w:next w:val="695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97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95"/>
    <w:next w:val="695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97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95"/>
    <w:next w:val="695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97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95"/>
    <w:next w:val="695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97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95"/>
    <w:next w:val="695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97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95"/>
    <w:next w:val="695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97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695"/>
    <w:next w:val="695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97"/>
    <w:link w:val="34"/>
    <w:uiPriority w:val="10"/>
    <w:rPr>
      <w:sz w:val="48"/>
      <w:szCs w:val="48"/>
    </w:rPr>
  </w:style>
  <w:style w:type="paragraph" w:styleId="36">
    <w:name w:val="Subtitle"/>
    <w:basedOn w:val="695"/>
    <w:next w:val="695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97"/>
    <w:link w:val="36"/>
    <w:uiPriority w:val="11"/>
    <w:rPr>
      <w:sz w:val="24"/>
      <w:szCs w:val="24"/>
    </w:rPr>
  </w:style>
  <w:style w:type="paragraph" w:styleId="38">
    <w:name w:val="Quote"/>
    <w:basedOn w:val="695"/>
    <w:next w:val="695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95"/>
    <w:next w:val="695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697"/>
    <w:link w:val="705"/>
    <w:uiPriority w:val="99"/>
  </w:style>
  <w:style w:type="character" w:styleId="45">
    <w:name w:val="Footer Char"/>
    <w:basedOn w:val="697"/>
    <w:link w:val="719"/>
    <w:uiPriority w:val="99"/>
  </w:style>
  <w:style w:type="character" w:styleId="47">
    <w:name w:val="Caption Char"/>
    <w:basedOn w:val="712"/>
    <w:link w:val="719"/>
    <w:uiPriority w:val="99"/>
  </w:style>
  <w:style w:type="table" w:styleId="49">
    <w:name w:val="Table Grid Light"/>
    <w:basedOn w:val="69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9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9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9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9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9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9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9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9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9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9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9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9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9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9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9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9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9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9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9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9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9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9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9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695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97"/>
    <w:uiPriority w:val="99"/>
    <w:unhideWhenUsed/>
    <w:rPr>
      <w:vertAlign w:val="superscript"/>
    </w:rPr>
  </w:style>
  <w:style w:type="paragraph" w:styleId="178">
    <w:name w:val="endnote text"/>
    <w:basedOn w:val="695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97"/>
    <w:uiPriority w:val="99"/>
    <w:semiHidden/>
    <w:unhideWhenUsed/>
    <w:rPr>
      <w:vertAlign w:val="superscript"/>
    </w:rPr>
  </w:style>
  <w:style w:type="paragraph" w:styleId="181">
    <w:name w:val="toc 1"/>
    <w:basedOn w:val="695"/>
    <w:next w:val="695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95"/>
    <w:next w:val="695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95"/>
    <w:next w:val="695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95"/>
    <w:next w:val="695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95"/>
    <w:next w:val="695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95"/>
    <w:next w:val="695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95"/>
    <w:next w:val="695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95"/>
    <w:next w:val="695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95"/>
    <w:next w:val="695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95"/>
    <w:next w:val="695"/>
    <w:uiPriority w:val="99"/>
    <w:unhideWhenUsed/>
    <w:pPr>
      <w:spacing w:after="0" w:afterAutospacing="0"/>
    </w:pPr>
  </w:style>
  <w:style w:type="paragraph" w:styleId="695" w:default="1">
    <w:name w:val="Normal"/>
    <w:qFormat/>
    <w:pPr>
      <w:widowControl w:val="off"/>
    </w:pPr>
    <w:rPr>
      <w:rFonts w:ascii="Times New Roman" w:hAnsi="Times New Roman" w:eastAsia="Times New Roman"/>
    </w:rPr>
  </w:style>
  <w:style w:type="paragraph" w:styleId="696">
    <w:name w:val="Heading 2"/>
    <w:basedOn w:val="695"/>
    <w:next w:val="695"/>
    <w:link w:val="700"/>
    <w:qFormat/>
    <w:pPr>
      <w:jc w:val="center"/>
      <w:keepNext/>
      <w:widowControl/>
      <w:outlineLvl w:val="1"/>
    </w:pPr>
    <w:rPr>
      <w:b/>
      <w:sz w:val="44"/>
      <w:szCs w:val="24"/>
    </w:rPr>
  </w:style>
  <w:style w:type="character" w:styleId="697" w:default="1">
    <w:name w:val="Default Paragraph Font"/>
    <w:uiPriority w:val="1"/>
    <w:semiHidden/>
    <w:unhideWhenUsed/>
  </w:style>
  <w:style w:type="table" w:styleId="69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9" w:default="1">
    <w:name w:val="No List"/>
    <w:uiPriority w:val="99"/>
    <w:semiHidden/>
    <w:unhideWhenUsed/>
  </w:style>
  <w:style w:type="character" w:styleId="700" w:customStyle="1">
    <w:name w:val="Заголовок 2 Знак"/>
    <w:link w:val="696"/>
    <w:rPr>
      <w:rFonts w:ascii="Times New Roman" w:hAnsi="Times New Roman" w:eastAsia="Times New Roman" w:cs="Times New Roman"/>
      <w:b/>
      <w:sz w:val="44"/>
      <w:szCs w:val="24"/>
      <w:lang w:eastAsia="ru-RU"/>
    </w:rPr>
  </w:style>
  <w:style w:type="paragraph" w:styleId="701">
    <w:name w:val="Balloon Text"/>
    <w:basedOn w:val="695"/>
    <w:link w:val="702"/>
    <w:semiHidden/>
    <w:rPr>
      <w:rFonts w:ascii="Tahoma" w:hAnsi="Tahoma" w:cs="Tahoma"/>
      <w:sz w:val="16"/>
      <w:szCs w:val="16"/>
    </w:rPr>
  </w:style>
  <w:style w:type="character" w:styleId="702" w:customStyle="1">
    <w:name w:val="Текст выноски Знак"/>
    <w:link w:val="701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703">
    <w:name w:val="Normal (Web)"/>
    <w:basedOn w:val="695"/>
    <w:pPr>
      <w:spacing w:before="100" w:beforeAutospacing="1" w:after="100" w:afterAutospacing="1"/>
      <w:widowControl/>
    </w:pPr>
    <w:rPr>
      <w:sz w:val="24"/>
      <w:szCs w:val="24"/>
    </w:rPr>
  </w:style>
  <w:style w:type="table" w:styleId="704">
    <w:name w:val="Table Grid"/>
    <w:basedOn w:val="698"/>
    <w:pPr>
      <w:widowControl w:val="off"/>
    </w:pPr>
    <w:rPr>
      <w:rFonts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705">
    <w:name w:val="Header"/>
    <w:basedOn w:val="695"/>
    <w:link w:val="706"/>
    <w:pPr>
      <w:widowControl/>
      <w:tabs>
        <w:tab w:val="center" w:pos="4677" w:leader="none"/>
        <w:tab w:val="right" w:pos="9355" w:leader="none"/>
      </w:tabs>
    </w:pPr>
    <w:rPr>
      <w:sz w:val="28"/>
      <w:szCs w:val="24"/>
    </w:rPr>
  </w:style>
  <w:style w:type="character" w:styleId="706" w:customStyle="1">
    <w:name w:val="Верхний колонтитул Знак"/>
    <w:link w:val="705"/>
    <w:rPr>
      <w:rFonts w:ascii="Times New Roman" w:hAnsi="Times New Roman" w:eastAsia="Times New Roman" w:cs="Times New Roman"/>
      <w:sz w:val="28"/>
      <w:szCs w:val="24"/>
      <w:lang w:eastAsia="ru-RU"/>
    </w:rPr>
  </w:style>
  <w:style w:type="paragraph" w:styleId="707">
    <w:name w:val="Body Text Indent"/>
    <w:basedOn w:val="695"/>
    <w:link w:val="708"/>
    <w:pPr>
      <w:ind w:left="283"/>
      <w:spacing w:after="120"/>
      <w:widowControl/>
    </w:pPr>
    <w:rPr>
      <w:sz w:val="24"/>
      <w:szCs w:val="24"/>
    </w:rPr>
  </w:style>
  <w:style w:type="character" w:styleId="708" w:customStyle="1">
    <w:name w:val="Основной текст с отступом Знак"/>
    <w:link w:val="707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09" w:customStyle="1">
    <w:name w:val="ConsPlusNonformat"/>
    <w:rPr>
      <w:rFonts w:ascii="Courier New" w:hAnsi="Courier New" w:eastAsia="Times New Roman" w:cs="Courier New"/>
    </w:rPr>
  </w:style>
  <w:style w:type="paragraph" w:styleId="710">
    <w:name w:val="Body Text"/>
    <w:basedOn w:val="695"/>
    <w:link w:val="711"/>
    <w:pPr>
      <w:spacing w:after="120"/>
    </w:pPr>
  </w:style>
  <w:style w:type="character" w:styleId="711" w:customStyle="1">
    <w:name w:val="Основной текст Знак"/>
    <w:link w:val="710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712">
    <w:name w:val="Caption"/>
    <w:basedOn w:val="695"/>
    <w:next w:val="695"/>
    <w:qFormat/>
    <w:pPr>
      <w:jc w:val="center"/>
      <w:widowControl/>
    </w:pPr>
    <w:rPr>
      <w:b/>
      <w:sz w:val="32"/>
    </w:rPr>
  </w:style>
  <w:style w:type="paragraph" w:styleId="713">
    <w:name w:val="Body Text Indent 2"/>
    <w:basedOn w:val="695"/>
    <w:link w:val="714"/>
    <w:pPr>
      <w:ind w:left="283"/>
      <w:spacing w:after="120" w:line="480" w:lineRule="auto"/>
      <w:widowControl/>
    </w:pPr>
    <w:rPr>
      <w:sz w:val="24"/>
      <w:szCs w:val="24"/>
    </w:rPr>
  </w:style>
  <w:style w:type="character" w:styleId="714" w:customStyle="1">
    <w:name w:val="Основной текст с отступом 2 Знак"/>
    <w:link w:val="713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15">
    <w:name w:val="List Paragraph"/>
    <w:basedOn w:val="695"/>
    <w:uiPriority w:val="34"/>
    <w:qFormat/>
    <w:pPr>
      <w:contextualSpacing/>
      <w:ind w:left="720"/>
      <w:spacing w:after="200" w:line="276" w:lineRule="auto"/>
      <w:widowControl/>
    </w:pPr>
    <w:rPr>
      <w:rFonts w:ascii="Calibri" w:hAnsi="Calibri" w:eastAsia="Calibri"/>
      <w:sz w:val="22"/>
      <w:szCs w:val="22"/>
      <w:lang w:eastAsia="en-US"/>
    </w:rPr>
  </w:style>
  <w:style w:type="paragraph" w:styleId="716">
    <w:name w:val="No Spacing"/>
    <w:uiPriority w:val="1"/>
    <w:qFormat/>
    <w:rPr>
      <w:rFonts w:cs="Calibri"/>
      <w:sz w:val="22"/>
      <w:szCs w:val="22"/>
      <w:lang w:eastAsia="en-US"/>
    </w:rPr>
  </w:style>
  <w:style w:type="paragraph" w:styleId="717" w:customStyle="1">
    <w:name w:val="ConsPlusNormal"/>
    <w:rPr>
      <w:rFonts w:ascii="Times New Roman" w:hAnsi="Times New Roman" w:eastAsia="Times New Roman"/>
      <w:sz w:val="24"/>
      <w:szCs w:val="24"/>
    </w:rPr>
  </w:style>
  <w:style w:type="character" w:styleId="718" w:customStyle="1">
    <w:name w:val="Font Style33"/>
    <w:uiPriority w:val="99"/>
    <w:rPr>
      <w:rFonts w:ascii="Times New Roman" w:hAnsi="Times New Roman" w:cs="Times New Roman"/>
      <w:b/>
      <w:bCs/>
      <w:sz w:val="24"/>
      <w:szCs w:val="24"/>
    </w:rPr>
  </w:style>
  <w:style w:type="paragraph" w:styleId="719">
    <w:name w:val="Footer"/>
    <w:basedOn w:val="695"/>
    <w:link w:val="720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720" w:customStyle="1">
    <w:name w:val="Нижний колонтитул Знак"/>
    <w:link w:val="719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721">
    <w:name w:val="Hyperlink"/>
    <w:basedOn w:val="697"/>
    <w:uiPriority w:val="99"/>
    <w:unhideWhenUsed/>
    <w:rPr>
      <w:color w:val="0000ff" w:themeColor="hyperlink"/>
      <w:u w:val="single"/>
    </w:rPr>
  </w:style>
  <w:style w:type="character" w:styleId="722">
    <w:name w:val="FollowedHyperlink"/>
    <w:basedOn w:val="697"/>
    <w:uiPriority w:val="99"/>
    <w:semiHidden/>
    <w:unhideWhenUsed/>
    <w:rPr>
      <w:color w:val="800080" w:themeColor="followed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C4E0E9-4E34-48B2-B287-98065F9C6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Татаринцева Наталия Андреевна</dc:creator>
  <cp:revision>3</cp:revision>
  <dcterms:created xsi:type="dcterms:W3CDTF">2023-10-13T06:20:00Z</dcterms:created>
  <dcterms:modified xsi:type="dcterms:W3CDTF">2024-02-15T13:39:40Z</dcterms:modified>
</cp:coreProperties>
</file>