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31.07.2023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1113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2023-2025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03.11.2022</w:t>
      </w:r>
      <w:r>
        <w:rPr>
          <w:b/>
        </w:rPr>
        <w:t xml:space="preserve"> № </w:t>
      </w:r>
      <w:r>
        <w:rPr>
          <w:b/>
        </w:rPr>
        <w:t xml:space="preserve">150</w:t>
      </w:r>
      <w:r>
        <w:rPr>
          <w:b/>
        </w:rPr>
        <w:t xml:space="preserve">4</w:t>
      </w:r>
      <w:r>
        <w:rPr>
          <w:b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43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43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2023-2025 годы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1.03</w:t>
      </w:r>
      <w:r>
        <w:rPr>
          <w:sz w:val="24"/>
          <w:szCs w:val="24"/>
        </w:rPr>
        <w:t xml:space="preserve">.2023 № </w:t>
      </w:r>
      <w:r>
        <w:rPr>
          <w:sz w:val="24"/>
          <w:szCs w:val="24"/>
        </w:rPr>
        <w:t xml:space="preserve">439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right="-143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«Исполнители программы» в паспорте Программы изложить в следующей редакции:</w:t>
      </w:r>
      <w:r>
        <w:rPr>
          <w:sz w:val="24"/>
          <w:szCs w:val="24"/>
        </w:rPr>
      </w:r>
    </w:p>
    <w:tbl>
      <w:tblPr>
        <w:tblW w:w="9564" w:type="dxa"/>
        <w:jc w:val="center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02"/>
        <w:gridCol w:w="7662"/>
      </w:tblGrid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2" w:type="dxa"/>
            <w:textDirection w:val="lrTb"/>
            <w:noWrap w:val="false"/>
          </w:tcPr>
          <w:p>
            <w:pPr>
              <w:rPr>
                <w:bCs/>
                <w:color w:val="000000"/>
                <w:spacing w:val="1"/>
                <w:sz w:val="22"/>
                <w:szCs w:val="22"/>
              </w:rPr>
            </w:pPr>
            <w:r>
              <w:rPr>
                <w:bCs/>
                <w:color w:val="000000"/>
                <w:spacing w:val="1"/>
                <w:sz w:val="22"/>
                <w:szCs w:val="22"/>
              </w:rPr>
              <w:t xml:space="preserve">«</w:t>
            </w:r>
            <w:r>
              <w:rPr>
                <w:bCs/>
                <w:color w:val="000000"/>
                <w:spacing w:val="1"/>
                <w:sz w:val="22"/>
                <w:szCs w:val="22"/>
              </w:rPr>
              <w:t xml:space="preserve">Исполнители программы</w:t>
            </w:r>
            <w:r>
              <w:rPr>
                <w:bCs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6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Муниципальное бюджетное учреждение «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Никельская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дорожная служба» (далее - </w:t>
            </w:r>
            <w:r>
              <w:rPr>
                <w:sz w:val="22"/>
                <w:szCs w:val="22"/>
              </w:rPr>
              <w:t xml:space="preserve">МБУ «НДС»), м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униципальное казенное учреждение «</w:t>
            </w:r>
            <w:r>
              <w:rPr>
                <w:sz w:val="22"/>
                <w:szCs w:val="22"/>
              </w:rPr>
              <w:t xml:space="preserve">Управление благоустройства и развития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» (далее - </w:t>
            </w: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»), муниципальное бюджетное учреждение «Дорожно-эксплуатационная служба Печенги» (далее - МБУ «ДЭСП»), Администрация Печенгского муниципального округа (комитет по управлению имущества администрации Печенгского муниципального округа) (далее – КУИ)</w:t>
            </w:r>
            <w:r>
              <w:rPr>
                <w:sz w:val="22"/>
                <w:szCs w:val="22"/>
              </w:rPr>
              <w:t xml:space="preserve">, муниципальное бюджетное учреждение «Ремонтно-эксплуатационная служба» (далее - МБУ «РЭС»)»;</w:t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2.1 и 2.6 в таблице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851"/>
        <w:gridCol w:w="850"/>
        <w:gridCol w:w="851"/>
        <w:gridCol w:w="850"/>
        <w:gridCol w:w="851"/>
        <w:gridCol w:w="850"/>
        <w:gridCol w:w="1418"/>
      </w:tblGrid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2.1.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rFonts w:eastAsia="Calibri"/>
                <w:lang w:eastAsia="en-US"/>
              </w:rPr>
              <w:t xml:space="preserve">Эксплуатационное содержание </w:t>
            </w:r>
            <w:r>
              <w:rPr>
                <w:rFonts w:eastAsia="Calibri"/>
                <w:lang w:eastAsia="en-US"/>
              </w:rPr>
              <w:t xml:space="preserve">автомобильных дорог в соответствии с требованиями стандартов, норм и правил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Отчеты исполнителей </w:t>
            </w:r>
            <w:r>
              <w:rPr>
                <w:spacing w:val="1"/>
              </w:rPr>
              <w:t xml:space="preserve">программы</w:t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2.6.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Обеспечение дорожно-уличной системы Печенгского муниципального округа дорожными знаками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Отчеты исполнителей программы»;</w:t>
            </w:r>
            <w:r>
              <w:rPr>
                <w:spacing w:val="1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1.1</w:t>
      </w:r>
      <w:r>
        <w:rPr>
          <w:sz w:val="24"/>
          <w:szCs w:val="24"/>
        </w:rPr>
        <w:t xml:space="preserve">, 1.3, 1.5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1.6. </w:t>
      </w:r>
      <w:r>
        <w:rPr>
          <w:sz w:val="24"/>
          <w:szCs w:val="24"/>
        </w:rPr>
        <w:t xml:space="preserve">в приложении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«Перечень мероприятий программы с объемом финансирования»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рограмме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4944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813"/>
        <w:gridCol w:w="977"/>
        <w:gridCol w:w="840"/>
        <w:gridCol w:w="1117"/>
        <w:gridCol w:w="979"/>
        <w:gridCol w:w="977"/>
        <w:gridCol w:w="962"/>
        <w:gridCol w:w="1096"/>
      </w:tblGrid>
      <w:tr>
        <w:tblPrEx/>
        <w:trPr>
          <w:trHeight w:val="126"/>
        </w:trPr>
        <w:tc>
          <w:tcPr>
            <w:shd w:val="clear" w:color="auto" w:fill="auto"/>
            <w:tcW w:w="37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95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автомобильных дорог общего пользования местного значения, городских площадей и проездов </w:t>
            </w:r>
            <w:r/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МБУ «НДС»;           МБУ «ДЭСП; МБУ «РЭС»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15</w:t>
            </w:r>
            <w:r>
              <w:t xml:space="preserve">8388</w:t>
            </w:r>
            <w:r>
              <w:t xml:space="preserve">,</w:t>
            </w:r>
            <w:r>
              <w:t xml:space="preserve">3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4</w:t>
            </w:r>
            <w:r>
              <w:t xml:space="preserve">7359</w:t>
            </w:r>
            <w:r>
              <w:t xml:space="preserve">,</w:t>
            </w:r>
            <w:r>
              <w:t xml:space="preserve">2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54908,6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56120,5</w:t>
            </w:r>
            <w:r/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158388,3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47359,2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54908,6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56120,5</w:t>
            </w:r>
            <w:r>
              <w:rPr>
                <w:b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1.3.</w:t>
            </w:r>
            <w:r/>
          </w:p>
        </w:tc>
        <w:tc>
          <w:tcPr>
            <w:shd w:val="clear" w:color="auto" w:fill="auto"/>
            <w:tcW w:w="95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карточному (ямочному) ремонту автомобильных дорог</w:t>
            </w:r>
            <w:r/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202</w:t>
            </w:r>
            <w:r>
              <w:t xml:space="preserve">3</w:t>
            </w:r>
            <w:r>
              <w:rPr>
                <w:lang w:val="en-US"/>
              </w:rPr>
              <w:t xml:space="preserve">-202</w:t>
            </w:r>
            <w:r>
              <w:t xml:space="preserve">5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</w:t>
            </w:r>
            <w:r/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МБУ «ДЭСП»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>
              <w:t xml:space="preserve">010</w:t>
            </w:r>
            <w:r>
              <w:t xml:space="preserve">,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>
              <w:t xml:space="preserve">21</w:t>
            </w:r>
            <w:r>
              <w:t xml:space="preserve">0,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1400,0</w:t>
            </w:r>
            <w:r/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</w:rPr>
              <w:t xml:space="preserve">401</w:t>
            </w:r>
            <w:r>
              <w:rPr>
                <w:b/>
                <w:bCs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  <w:t xml:space="preserve">21</w:t>
            </w:r>
            <w:r>
              <w:rPr>
                <w:b/>
                <w:bCs/>
              </w:rPr>
              <w:t xml:space="preserve">0,</w:t>
            </w:r>
            <w:r>
              <w:rPr>
                <w:b/>
                <w:bCs/>
              </w:rPr>
              <w:t xml:space="preserve">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</w:rPr>
              <w:t xml:space="preserve">1400,0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</w:rPr>
              <w:t xml:space="preserve">1400,0</w:t>
            </w:r>
            <w:r>
              <w:rPr>
                <w:b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1.5.</w:t>
            </w:r>
            <w:r/>
          </w:p>
        </w:tc>
        <w:tc>
          <w:tcPr>
            <w:shd w:val="clear" w:color="auto" w:fill="auto"/>
            <w:tcW w:w="95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нанесению дорожной разметки на дорогах общего пользования местного значения</w:t>
            </w:r>
            <w:r/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</w:t>
            </w:r>
            <w:r/>
          </w:p>
          <w:p>
            <w:pPr>
              <w:jc w:val="center"/>
            </w:pPr>
            <w:r>
              <w:t xml:space="preserve">МБУ «ДЭСП»</w:t>
            </w:r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t xml:space="preserve">ОБ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t xml:space="preserve">МБ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3</w:t>
            </w:r>
            <w:r>
              <w:t xml:space="preserve">328</w:t>
            </w:r>
            <w:r>
              <w:t xml:space="preserve">,</w:t>
            </w:r>
            <w:r>
              <w:t xml:space="preserve">8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928</w:t>
            </w:r>
            <w:r>
              <w:t xml:space="preserve">,</w:t>
            </w:r>
            <w:r>
              <w:t xml:space="preserve">8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1200,0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1200,0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t xml:space="preserve">ВБС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328</w:t>
            </w:r>
            <w:r>
              <w:rPr>
                <w:b/>
              </w:rPr>
              <w:t xml:space="preserve">,</w:t>
            </w:r>
            <w:r>
              <w:rPr>
                <w:b/>
              </w:rPr>
              <w:t xml:space="preserve">8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 xml:space="preserve">928</w:t>
            </w:r>
            <w:r>
              <w:rPr>
                <w:b/>
              </w:rPr>
              <w:t xml:space="preserve">,</w:t>
            </w:r>
            <w:r>
              <w:rPr>
                <w:b/>
              </w:rPr>
              <w:t xml:space="preserve">8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 xml:space="preserve">1200,0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08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 xml:space="preserve">1200,0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1.6.</w:t>
            </w:r>
            <w:r/>
          </w:p>
        </w:tc>
        <w:tc>
          <w:tcPr>
            <w:shd w:val="clear" w:color="auto" w:fill="auto"/>
            <w:tcW w:w="95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обустройству автомобильных дорог дорожными знаками</w:t>
            </w:r>
            <w:r/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both"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8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</w:t>
            </w:r>
            <w:r/>
          </w:p>
          <w:p>
            <w:pPr>
              <w:jc w:val="center"/>
            </w:pPr>
            <w:r>
              <w:t xml:space="preserve">МБУ «ДЭ</w:t>
            </w:r>
            <w:r>
              <w:t xml:space="preserve">СП»;  МБУ «РЭС»</w:t>
            </w:r>
            <w:r>
              <w:t xml:space="preserve">»;</w:t>
            </w:r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t xml:space="preserve">ОБ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t xml:space="preserve">МБ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750,0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250,0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250,0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250,0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t xml:space="preserve">ВБС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58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9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</w:p>
        </w:tc>
        <w:tc>
          <w:tcPr>
            <w:tcW w:w="58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1.1 и 1.6 в приложении 2 «Перечень мероприятий программы с показателями результативности выполнения мероприятий»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</w:p>
    <w:tbl>
      <w:tblPr>
        <w:tblW w:w="97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2126"/>
        <w:gridCol w:w="567"/>
        <w:gridCol w:w="850"/>
        <w:gridCol w:w="851"/>
        <w:gridCol w:w="850"/>
        <w:gridCol w:w="1134"/>
      </w:tblGrid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«1.1.</w:t>
            </w:r>
            <w:r/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Содержание автомобильных дорог общего пользования местного значения, городских площадей и проездов 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Эксплуатационное содержание автомобильных дорог в соответствии с требованиями стандартов, норм и правил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</w:t>
            </w:r>
            <w:r/>
          </w:p>
          <w:p>
            <w:pPr>
              <w:jc w:val="center"/>
            </w:pPr>
            <w:r>
              <w:t xml:space="preserve">МБУ «ДЭСП»;</w:t>
            </w:r>
            <w:r/>
          </w:p>
          <w:p>
            <w:pPr>
              <w:jc w:val="center"/>
            </w:pPr>
            <w:r>
              <w:t xml:space="preserve">МБУ «РЭС»</w:t>
            </w:r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1.6.</w:t>
            </w:r>
            <w:r/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обустройству автомобильных дорог дорожными </w:t>
            </w:r>
            <w:r>
              <w:t xml:space="preserve">знаками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дорожно-уличной системы Печенгского муниципального </w:t>
            </w:r>
            <w:r>
              <w:t xml:space="preserve">округа дорожными знаками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</w:t>
            </w:r>
            <w:r/>
          </w:p>
          <w:p>
            <w:pPr>
              <w:jc w:val="center"/>
            </w:pPr>
            <w:r>
              <w:t xml:space="preserve">МБУ «ДЭСП»;</w:t>
            </w:r>
            <w:r/>
          </w:p>
          <w:p>
            <w:pPr>
              <w:jc w:val="center"/>
            </w:pPr>
            <w:r>
              <w:t xml:space="preserve">МБУ «РЭС»</w:t>
            </w:r>
            <w:r>
              <w:t xml:space="preserve">».</w:t>
            </w:r>
            <w:r/>
          </w:p>
        </w:tc>
      </w:tr>
    </w:tbl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bookmarkStart w:id="0" w:name="_GoBack"/>
      <w:r/>
      <w:bookmarkEnd w:id="0"/>
      <w:r>
        <w:t xml:space="preserve">Жулидова Н.Ю., 50833</w:t>
      </w:r>
      <w:r/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/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/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/>
      <w:r>
        <w:rPr>
          <w:sz w:val="18"/>
          <w:szCs w:val="18"/>
        </w:rPr>
      </w:r>
      <w:r>
        <w:rPr>
          <w:sz w:val="18"/>
          <w:szCs w:val="18"/>
        </w:rPr>
      </w:r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/>
    <w:r>
      <w:rPr>
        <w:rStyle w:val="763"/>
      </w:rPr>
    </w:r>
  </w:p>
  <w:p>
    <w:pPr>
      <w:pStyle w:val="76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>
      <w:rPr>
        <w:rStyle w:val="763"/>
      </w:rPr>
      <w:fldChar w:fldCharType="begin"/>
    </w:r>
    <w:r>
      <w:rPr>
        <w:rStyle w:val="763"/>
      </w:rPr>
      <w:instrText xml:space="preserve">PAGE  </w:instrText>
    </w:r>
    <w:r>
      <w:rPr>
        <w:rStyle w:val="763"/>
      </w:rPr>
      <w:fldChar w:fldCharType="end"/>
    </w:r>
    <w:r>
      <w:rPr>
        <w:rStyle w:val="763"/>
      </w:rPr>
    </w:r>
  </w:p>
  <w:p>
    <w:pPr>
      <w:pStyle w:val="7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0"/>
    <w:link w:val="74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0"/>
    <w:link w:val="74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7"/>
    <w:next w:val="74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5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7"/>
    <w:next w:val="74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7"/>
    <w:next w:val="74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7"/>
    <w:next w:val="74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7"/>
    <w:next w:val="74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7"/>
    <w:next w:val="74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7"/>
    <w:next w:val="74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0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0"/>
    <w:link w:val="779"/>
    <w:uiPriority w:val="10"/>
    <w:rPr>
      <w:sz w:val="48"/>
      <w:szCs w:val="48"/>
    </w:rPr>
  </w:style>
  <w:style w:type="paragraph" w:styleId="36">
    <w:name w:val="Subtitle"/>
    <w:basedOn w:val="747"/>
    <w:next w:val="74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0"/>
    <w:link w:val="36"/>
    <w:uiPriority w:val="11"/>
    <w:rPr>
      <w:sz w:val="24"/>
      <w:szCs w:val="24"/>
    </w:rPr>
  </w:style>
  <w:style w:type="paragraph" w:styleId="38">
    <w:name w:val="Quote"/>
    <w:basedOn w:val="747"/>
    <w:next w:val="74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7"/>
    <w:next w:val="74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0"/>
    <w:link w:val="764"/>
    <w:uiPriority w:val="99"/>
  </w:style>
  <w:style w:type="character" w:styleId="45">
    <w:name w:val="Footer Char"/>
    <w:basedOn w:val="750"/>
    <w:link w:val="761"/>
    <w:uiPriority w:val="99"/>
  </w:style>
  <w:style w:type="paragraph" w:styleId="46">
    <w:name w:val="Caption"/>
    <w:basedOn w:val="747"/>
    <w:next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61"/>
    <w:uiPriority w:val="99"/>
  </w:style>
  <w:style w:type="table" w:styleId="49">
    <w:name w:val="Table Grid Light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4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0"/>
    <w:uiPriority w:val="99"/>
    <w:unhideWhenUsed/>
    <w:rPr>
      <w:vertAlign w:val="superscript"/>
    </w:rPr>
  </w:style>
  <w:style w:type="paragraph" w:styleId="178">
    <w:name w:val="endnote text"/>
    <w:basedOn w:val="74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0"/>
    <w:uiPriority w:val="99"/>
    <w:semiHidden/>
    <w:unhideWhenUsed/>
    <w:rPr>
      <w:vertAlign w:val="superscript"/>
    </w:rPr>
  </w:style>
  <w:style w:type="paragraph" w:styleId="181">
    <w:name w:val="toc 1"/>
    <w:basedOn w:val="747"/>
    <w:next w:val="74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7"/>
    <w:next w:val="74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7"/>
    <w:next w:val="74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7"/>
    <w:next w:val="74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7"/>
    <w:next w:val="74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7"/>
    <w:next w:val="74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7"/>
    <w:next w:val="74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7"/>
    <w:next w:val="74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7"/>
    <w:next w:val="74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</w:style>
  <w:style w:type="paragraph" w:styleId="748">
    <w:name w:val="Heading 1"/>
    <w:basedOn w:val="747"/>
    <w:next w:val="747"/>
    <w:qFormat/>
    <w:pPr>
      <w:jc w:val="center"/>
      <w:keepNext/>
      <w:outlineLvl w:val="0"/>
    </w:pPr>
    <w:rPr>
      <w:sz w:val="24"/>
    </w:rPr>
  </w:style>
  <w:style w:type="paragraph" w:styleId="749">
    <w:name w:val="Heading 2"/>
    <w:basedOn w:val="747"/>
    <w:next w:val="747"/>
    <w:link w:val="75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750" w:default="1">
    <w:name w:val="Default Paragraph Font"/>
    <w:uiPriority w:val="1"/>
    <w:semiHidden/>
    <w:unhideWhenUsed/>
  </w:style>
  <w:style w:type="table" w:styleId="7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2" w:default="1">
    <w:name w:val="No List"/>
    <w:uiPriority w:val="99"/>
    <w:semiHidden/>
    <w:unhideWhenUsed/>
  </w:style>
  <w:style w:type="paragraph" w:styleId="753">
    <w:name w:val="Body Text"/>
    <w:basedOn w:val="747"/>
    <w:pPr>
      <w:jc w:val="both"/>
    </w:pPr>
    <w:rPr>
      <w:sz w:val="24"/>
      <w:szCs w:val="24"/>
    </w:rPr>
  </w:style>
  <w:style w:type="paragraph" w:styleId="754">
    <w:name w:val="Body Text Indent"/>
    <w:basedOn w:val="747"/>
    <w:link w:val="778"/>
    <w:uiPriority w:val="99"/>
    <w:pPr>
      <w:ind w:left="283"/>
      <w:spacing w:after="120"/>
    </w:pPr>
  </w:style>
  <w:style w:type="paragraph" w:styleId="755">
    <w:name w:val="Body Text 2"/>
    <w:basedOn w:val="74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756">
    <w:name w:val="Body Text Indent 2"/>
    <w:basedOn w:val="747"/>
    <w:link w:val="786"/>
    <w:pPr>
      <w:ind w:firstLine="709"/>
      <w:jc w:val="both"/>
    </w:pPr>
    <w:rPr>
      <w:bCs/>
      <w:sz w:val="26"/>
      <w:szCs w:val="26"/>
    </w:rPr>
  </w:style>
  <w:style w:type="paragraph" w:styleId="757">
    <w:name w:val="Body Text Indent 3"/>
    <w:basedOn w:val="74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758" w:customStyle="1">
    <w:name w:val="Знак Знак2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59" w:customStyle="1">
    <w:name w:val="Заголовок 2 Знак"/>
    <w:link w:val="749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76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61">
    <w:name w:val="Footer"/>
    <w:basedOn w:val="747"/>
    <w:link w:val="76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2" w:customStyle="1">
    <w:name w:val="Нижний колонтитул Знак"/>
    <w:link w:val="761"/>
    <w:uiPriority w:val="99"/>
    <w:rPr>
      <w:rFonts w:ascii="Arial" w:hAnsi="Arial" w:cs="Arial"/>
    </w:rPr>
  </w:style>
  <w:style w:type="character" w:styleId="763">
    <w:name w:val="page number"/>
    <w:uiPriority w:val="99"/>
  </w:style>
  <w:style w:type="paragraph" w:styleId="764">
    <w:name w:val="Header"/>
    <w:basedOn w:val="747"/>
    <w:link w:val="76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5" w:customStyle="1">
    <w:name w:val="Верхний колонтитул Знак"/>
    <w:link w:val="764"/>
    <w:uiPriority w:val="99"/>
    <w:rPr>
      <w:rFonts w:ascii="Arial" w:hAnsi="Arial" w:cs="Arial"/>
    </w:rPr>
  </w:style>
  <w:style w:type="paragraph" w:styleId="76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767">
    <w:name w:val="Table Grid"/>
    <w:basedOn w:val="75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68">
    <w:name w:val="Balloon Text"/>
    <w:basedOn w:val="747"/>
    <w:link w:val="769"/>
    <w:uiPriority w:val="99"/>
    <w:rPr>
      <w:rFonts w:ascii="Arial" w:hAnsi="Arial" w:cs="Arial"/>
      <w:sz w:val="16"/>
      <w:szCs w:val="16"/>
    </w:rPr>
  </w:style>
  <w:style w:type="character" w:styleId="769" w:customStyle="1">
    <w:name w:val="Текст выноски Знак"/>
    <w:link w:val="768"/>
    <w:uiPriority w:val="99"/>
    <w:rPr>
      <w:rFonts w:ascii="Arial" w:hAnsi="Arial" w:cs="Arial"/>
      <w:sz w:val="16"/>
      <w:szCs w:val="16"/>
    </w:rPr>
  </w:style>
  <w:style w:type="paragraph" w:styleId="770">
    <w:name w:val="List Paragraph"/>
    <w:basedOn w:val="747"/>
    <w:link w:val="771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1" w:customStyle="1">
    <w:name w:val="Абзац списка Знак"/>
    <w:link w:val="770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772" w:customStyle="1">
    <w:name w:val="Абзац списка1"/>
    <w:basedOn w:val="747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3">
    <w:name w:val="Hyperlink"/>
    <w:rPr>
      <w:color w:val="0000ff"/>
      <w:u w:val="single"/>
    </w:rPr>
  </w:style>
  <w:style w:type="paragraph" w:styleId="77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7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76">
    <w:name w:val="Body Text 3"/>
    <w:basedOn w:val="747"/>
    <w:link w:val="777"/>
    <w:uiPriority w:val="99"/>
    <w:pPr>
      <w:spacing w:after="120"/>
    </w:pPr>
    <w:rPr>
      <w:sz w:val="16"/>
      <w:szCs w:val="16"/>
    </w:rPr>
  </w:style>
  <w:style w:type="character" w:styleId="777" w:customStyle="1">
    <w:name w:val="Основной текст 3 Знак"/>
    <w:basedOn w:val="750"/>
    <w:link w:val="776"/>
    <w:uiPriority w:val="99"/>
    <w:rPr>
      <w:sz w:val="16"/>
      <w:szCs w:val="16"/>
    </w:rPr>
  </w:style>
  <w:style w:type="character" w:styleId="778" w:customStyle="1">
    <w:name w:val="Основной текст с отступом Знак"/>
    <w:link w:val="754"/>
    <w:uiPriority w:val="99"/>
  </w:style>
  <w:style w:type="paragraph" w:styleId="779">
    <w:name w:val="Title"/>
    <w:basedOn w:val="747"/>
    <w:link w:val="780"/>
    <w:uiPriority w:val="99"/>
    <w:qFormat/>
    <w:pPr>
      <w:jc w:val="center"/>
    </w:pPr>
    <w:rPr>
      <w:caps/>
      <w:sz w:val="24"/>
      <w:szCs w:val="24"/>
    </w:rPr>
  </w:style>
  <w:style w:type="character" w:styleId="780" w:customStyle="1">
    <w:name w:val="Название Знак"/>
    <w:basedOn w:val="750"/>
    <w:link w:val="779"/>
    <w:uiPriority w:val="99"/>
    <w:rPr>
      <w:caps/>
      <w:sz w:val="24"/>
      <w:szCs w:val="24"/>
    </w:rPr>
  </w:style>
  <w:style w:type="paragraph" w:styleId="781" w:customStyle="1">
    <w:name w:val="Знак1"/>
    <w:basedOn w:val="747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78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83" w:customStyle="1">
    <w:name w:val="Знак Знак Знак Знак Знак Знак 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84">
    <w:name w:val="Emphasis"/>
    <w:qFormat/>
    <w:rPr>
      <w:i/>
      <w:iCs/>
    </w:rPr>
  </w:style>
  <w:style w:type="table" w:styleId="785" w:customStyle="1">
    <w:name w:val="Сетка таблицы1"/>
    <w:basedOn w:val="751"/>
    <w:next w:val="76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86" w:customStyle="1">
    <w:name w:val="Основной текст с отступом 2 Знак"/>
    <w:link w:val="756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4387E-99F3-4057-93DC-2A5E102D1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</cp:revision>
  <dcterms:created xsi:type="dcterms:W3CDTF">2023-08-09T11:51:00Z</dcterms:created>
  <dcterms:modified xsi:type="dcterms:W3CDTF">2024-02-15T13:38:58Z</dcterms:modified>
</cp:coreProperties>
</file>