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szCs w:val="16"/>
        </w:rPr>
      </w:pPr>
      <w:r>
        <w:rPr>
          <w:szCs w:val="16"/>
        </w:rPr>
      </w:r>
      <w:r>
        <w:rPr>
          <w:szCs w:val="16"/>
        </w:rPr>
      </w:r>
    </w:p>
    <w:p>
      <w:pPr>
        <w:jc w:val="center"/>
        <w:rPr>
          <w:szCs w:val="16"/>
        </w:rPr>
      </w:pPr>
      <w:r>
        <w:rPr>
          <w:b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0075" cy="739140"/>
                <wp:effectExtent l="0" t="0" r="9525" b="381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00075" cy="739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25pt;height:58.20pt;mso-wrap-distance-left:0.00pt;mso-wrap-distance-top:0.00pt;mso-wrap-distance-right:0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szCs w:val="16"/>
        </w:rPr>
      </w:r>
    </w:p>
    <w:p>
      <w:pPr>
        <w:jc w:val="center"/>
        <w:widowControl w:val="off"/>
        <w:rPr>
          <w:b/>
          <w:color w:val="000000"/>
          <w:sz w:val="28"/>
          <w:szCs w:val="44"/>
        </w:rPr>
      </w:pP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 </w:t>
      </w:r>
      <w:r>
        <w:rPr>
          <w:b/>
          <w:color w:val="000000"/>
          <w:sz w:val="24"/>
        </w:rPr>
        <w:t xml:space="preserve">13.10.2023</w:t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  <w:t xml:space="preserve">№ </w:t>
      </w:r>
      <w:r>
        <w:rPr>
          <w:b/>
          <w:color w:val="000000"/>
          <w:sz w:val="24"/>
        </w:rPr>
        <w:t xml:space="preserve">1524</w:t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п.г.т. Никель</w:t>
      </w:r>
      <w:r>
        <w:rPr>
          <w:b/>
          <w:color w:val="000000"/>
          <w:sz w:val="2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</w:t>
      </w:r>
      <w:r>
        <w:rPr>
          <w:b/>
        </w:rPr>
        <w:t xml:space="preserve">муниципальн</w:t>
      </w:r>
      <w:r>
        <w:rPr>
          <w:b/>
        </w:rPr>
        <w:t xml:space="preserve">ую</w:t>
      </w:r>
      <w:r>
        <w:rPr>
          <w:b/>
        </w:rPr>
        <w:t xml:space="preserve"> программ</w:t>
      </w:r>
      <w:r>
        <w:rPr>
          <w:b/>
        </w:rPr>
        <w:t xml:space="preserve">у</w:t>
      </w:r>
      <w:r>
        <w:rPr>
          <w:b/>
        </w:rPr>
        <w:t xml:space="preserve"> Печенгского муниципального округа</w:t>
      </w:r>
      <w:r>
        <w:rPr>
          <w:b/>
        </w:rPr>
        <w:t xml:space="preserve"> </w:t>
      </w:r>
      <w:r>
        <w:rPr>
          <w:b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 </w:t>
      </w:r>
      <w:r>
        <w:rPr>
          <w:b/>
        </w:rPr>
        <w:t xml:space="preserve">«</w:t>
      </w:r>
      <w:r>
        <w:rPr>
          <w:b/>
        </w:rPr>
        <w:t xml:space="preserve">Формирование современной городской среды»</w:t>
      </w:r>
      <w:r>
        <w:rPr>
          <w:b/>
        </w:rPr>
        <w:t xml:space="preserve"> </w:t>
      </w:r>
      <w:r>
        <w:rPr>
          <w:b/>
        </w:rPr>
        <w:t xml:space="preserve">на 202</w:t>
      </w:r>
      <w:r>
        <w:rPr>
          <w:b/>
        </w:rPr>
        <w:t xml:space="preserve">3</w:t>
      </w:r>
      <w:r>
        <w:rPr>
          <w:b/>
        </w:rPr>
        <w:t xml:space="preserve">-202</w:t>
      </w:r>
      <w:r>
        <w:rPr>
          <w:b/>
        </w:rPr>
        <w:t xml:space="preserve">5</w:t>
      </w:r>
      <w:r>
        <w:rPr>
          <w:b/>
        </w:rPr>
        <w:t xml:space="preserve"> годы</w:t>
      </w:r>
      <w:r>
        <w:rPr>
          <w:b/>
        </w:rPr>
        <w:t xml:space="preserve">, утвержденную постановлением администрации Печенгского муниципального округа от </w:t>
      </w:r>
      <w:r>
        <w:rPr>
          <w:b/>
        </w:rPr>
        <w:t xml:space="preserve">03.11.2022</w:t>
      </w:r>
      <w:r>
        <w:rPr>
          <w:b/>
        </w:rPr>
        <w:t xml:space="preserve"> № </w:t>
      </w:r>
      <w:r>
        <w:rPr>
          <w:b/>
        </w:rPr>
        <w:t xml:space="preserve">150</w:t>
      </w:r>
      <w:r>
        <w:rPr>
          <w:b/>
        </w:rPr>
        <w:t xml:space="preserve">5</w:t>
      </w:r>
      <w:r>
        <w:rPr>
          <w:b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статьей 179 Бюдж</w:t>
      </w:r>
      <w:r>
        <w:rPr>
          <w:sz w:val="24"/>
          <w:szCs w:val="24"/>
        </w:rPr>
        <w:t xml:space="preserve">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</w:t>
      </w:r>
      <w:r>
        <w:rPr>
          <w:color w:val="000000"/>
          <w:sz w:val="24"/>
          <w:szCs w:val="24"/>
        </w:rPr>
        <w:t xml:space="preserve">овышения эффективности использования бюджетных средств</w:t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</w:p>
    <w:p>
      <w:pPr>
        <w:ind w:right="-5"/>
        <w:jc w:val="both"/>
        <w:widowControl w:val="off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ind w:right="-5"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Внести в муниципальную программу</w:t>
      </w:r>
      <w:r>
        <w:t xml:space="preserve"> </w:t>
      </w:r>
      <w:r>
        <w:rPr>
          <w:sz w:val="24"/>
          <w:szCs w:val="24"/>
        </w:rPr>
        <w:t xml:space="preserve">Печенгского муниципального округа</w:t>
      </w:r>
      <w:r>
        <w:t xml:space="preserve">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Формирование современной городской среды» </w:t>
      </w:r>
      <w:r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2023-2025</w:t>
      </w:r>
      <w:r>
        <w:rPr>
          <w:sz w:val="24"/>
          <w:szCs w:val="24"/>
        </w:rPr>
        <w:t xml:space="preserve"> годы</w:t>
      </w:r>
      <w:r>
        <w:rPr>
          <w:sz w:val="24"/>
          <w:szCs w:val="24"/>
        </w:rPr>
        <w:t xml:space="preserve">, утвержденную постановлением администрации  Печенгского муниципального округа от </w:t>
      </w:r>
      <w:r>
        <w:rPr>
          <w:sz w:val="24"/>
          <w:szCs w:val="24"/>
        </w:rPr>
        <w:t xml:space="preserve">03.11.2022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bookmarkStart w:id="0" w:name="_GoBack"/>
      <w:r/>
      <w:bookmarkEnd w:id="0"/>
      <w:r>
        <w:rPr>
          <w:sz w:val="24"/>
          <w:szCs w:val="24"/>
        </w:rPr>
        <w:t xml:space="preserve">№ </w:t>
      </w:r>
      <w:r>
        <w:rPr>
          <w:sz w:val="24"/>
          <w:szCs w:val="24"/>
        </w:rPr>
        <w:t xml:space="preserve">150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(в редакции постановления администрации Печенгского</w:t>
      </w:r>
      <w:r>
        <w:rPr>
          <w:sz w:val="24"/>
          <w:szCs w:val="24"/>
        </w:rPr>
        <w:t xml:space="preserve"> муниципального округа от </w:t>
      </w:r>
      <w:r>
        <w:rPr>
          <w:sz w:val="24"/>
          <w:szCs w:val="24"/>
        </w:rPr>
        <w:t xml:space="preserve">12.07</w:t>
      </w:r>
      <w:r>
        <w:rPr>
          <w:sz w:val="24"/>
          <w:szCs w:val="24"/>
        </w:rPr>
        <w:t xml:space="preserve">.2023 № </w:t>
      </w:r>
      <w:r>
        <w:rPr>
          <w:sz w:val="24"/>
          <w:szCs w:val="24"/>
        </w:rPr>
        <w:t xml:space="preserve">1018</w:t>
      </w:r>
      <w:r>
        <w:rPr>
          <w:sz w:val="24"/>
          <w:szCs w:val="24"/>
        </w:rPr>
        <w:t xml:space="preserve">)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(далее </w:t>
      </w:r>
      <w:r>
        <w:rPr>
          <w:sz w:val="24"/>
          <w:szCs w:val="24"/>
        </w:rPr>
        <w:t xml:space="preserve">–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рограмма)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следующие изменения:</w:t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</w:t>
      </w:r>
      <w:r>
        <w:rPr>
          <w:sz w:val="24"/>
          <w:szCs w:val="24"/>
        </w:rPr>
        <w:t xml:space="preserve">троку «Финансовое обеспечение программы» в паспорте Программы изложить в  следующей редакции:</w:t>
      </w:r>
      <w:r>
        <w:rPr>
          <w:sz w:val="24"/>
          <w:szCs w:val="24"/>
        </w:rPr>
      </w:r>
    </w:p>
    <w:tbl>
      <w:tblPr>
        <w:tblW w:w="9470" w:type="dxa"/>
        <w:jc w:val="center"/>
        <w:tblInd w:w="-306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82"/>
        <w:gridCol w:w="7088"/>
      </w:tblGrid>
      <w:tr>
        <w:tblPrEx/>
        <w:trPr>
          <w:jc w:val="center"/>
          <w:trHeight w:val="27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2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программы</w:t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8" w:type="dxa"/>
            <w:textDirection w:val="lrTb"/>
            <w:noWrap w:val="false"/>
          </w:tcPr>
          <w:p>
            <w:pPr>
              <w:pStyle w:val="77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программе: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103 767,8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pStyle w:val="7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2023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26285,7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2023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26285,7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77482,1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2023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44793,4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16344,4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16344,4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2023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widowControl w:val="off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2025 год: 0,0 тыс. рублей</w:t>
            </w:r>
            <w:r>
              <w:rPr>
                <w:sz w:val="24"/>
                <w:szCs w:val="24"/>
              </w:rPr>
              <w:t xml:space="preserve">.»;</w:t>
            </w:r>
            <w:r>
              <w:rPr>
                <w:i/>
                <w:sz w:val="24"/>
                <w:szCs w:val="24"/>
              </w:rPr>
            </w:r>
          </w:p>
        </w:tc>
      </w:tr>
    </w:tbl>
    <w:p>
      <w:pPr>
        <w:contextualSpacing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>
        <w:rPr>
          <w:sz w:val="24"/>
          <w:szCs w:val="24"/>
        </w:rPr>
        <w:t xml:space="preserve">- строки 1.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, 1.3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 </w:t>
      </w:r>
      <w:r>
        <w:rPr>
          <w:sz w:val="24"/>
          <w:szCs w:val="24"/>
        </w:rPr>
        <w:t xml:space="preserve">строки «Итого по мероприятию 1» </w:t>
      </w:r>
      <w:r>
        <w:rPr>
          <w:sz w:val="24"/>
          <w:szCs w:val="24"/>
        </w:rPr>
        <w:t xml:space="preserve">таблицы 1 «Перечень мероприятий программы с объемом финансирования» изложить в следующей редакции:</w:t>
      </w:r>
      <w:r>
        <w:rPr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706"/>
        <w:gridCol w:w="1987"/>
        <w:gridCol w:w="850"/>
        <w:gridCol w:w="850"/>
        <w:gridCol w:w="992"/>
        <w:gridCol w:w="994"/>
        <w:gridCol w:w="13"/>
        <w:gridCol w:w="977"/>
        <w:gridCol w:w="994"/>
        <w:gridCol w:w="994"/>
      </w:tblGrid>
      <w:tr>
        <w:tblPrEx/>
        <w:trPr>
          <w:trHeight w:val="98"/>
        </w:trPr>
        <w:tc>
          <w:tcPr>
            <w:shd w:val="clear" w:color="auto" w:fill="auto"/>
            <w:tcW w:w="378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«</w:t>
            </w:r>
            <w:r>
              <w:t xml:space="preserve">1.1.</w:t>
            </w:r>
            <w:r/>
          </w:p>
        </w:tc>
        <w:tc>
          <w:tcPr>
            <w:shd w:val="clear" w:color="auto" w:fill="auto"/>
            <w:tcW w:w="1062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Благоустройство дворовых территорий многоквартирных домов</w:t>
            </w:r>
            <w:r/>
          </w:p>
        </w:tc>
        <w:tc>
          <w:tcPr>
            <w:shd w:val="clear" w:color="auto" w:fill="auto"/>
            <w:tcW w:w="454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  <w:spacing w:val="1"/>
              </w:rPr>
              <w:t xml:space="preserve">2023-2025</w:t>
            </w:r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53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МКУ «</w:t>
            </w:r>
            <w:r>
              <w:t xml:space="preserve">УБиР</w:t>
            </w:r>
            <w:r>
              <w:t xml:space="preserve">»</w:t>
            </w:r>
            <w:r/>
          </w:p>
          <w:p>
            <w:pPr>
              <w:jc w:val="center"/>
            </w:pPr>
            <w:r/>
            <w:r/>
          </w:p>
        </w:tc>
      </w:tr>
      <w:tr>
        <w:tblPrEx/>
        <w:trPr>
          <w:trHeight w:val="181"/>
        </w:trPr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62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r>
              <w:t xml:space="preserve">25687,5</w:t>
            </w:r>
            <w:r/>
          </w:p>
        </w:tc>
        <w:tc>
          <w:tcPr>
            <w:gridSpan w:val="2"/>
            <w:shd w:val="clear" w:color="auto" w:fill="auto"/>
            <w:tcW w:w="53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val="en-US"/>
              </w:rPr>
              <w:t xml:space="preserve">25687</w:t>
            </w:r>
            <w:r>
              <w:t xml:space="preserve">,5</w:t>
            </w:r>
            <w:r/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85"/>
        </w:trPr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62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r>
              <w:t xml:space="preserve">15925,9</w:t>
            </w:r>
            <w:r/>
          </w:p>
        </w:tc>
        <w:tc>
          <w:tcPr>
            <w:gridSpan w:val="2"/>
            <w:shd w:val="clear" w:color="auto" w:fill="auto"/>
            <w:tcW w:w="538" w:type="pct"/>
            <w:textDirection w:val="lrTb"/>
            <w:noWrap w:val="false"/>
          </w:tcPr>
          <w:p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2659</w:t>
            </w:r>
            <w:r>
              <w:t xml:space="preserve">,</w:t>
            </w:r>
            <w:r>
              <w:rPr>
                <w:lang w:val="en-US"/>
              </w:rPr>
              <w:t xml:space="preserve">9</w:t>
            </w:r>
            <w:r>
              <w:rPr>
                <w:lang w:val="en-US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6633,0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6633,0</w:t>
            </w:r>
            <w:r/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85"/>
        </w:trPr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62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53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85"/>
        </w:trPr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62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41613,4</w:t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3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28347,4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6633,0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6633,0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98"/>
        </w:trPr>
        <w:tc>
          <w:tcPr>
            <w:shd w:val="clear" w:color="auto" w:fill="auto"/>
            <w:tcW w:w="378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1.</w:t>
            </w:r>
            <w:r>
              <w:rPr>
                <w:lang w:val="en-US"/>
              </w:rPr>
              <w:t xml:space="preserve">3</w:t>
            </w:r>
            <w:r>
              <w:t xml:space="preserve">.</w:t>
            </w:r>
            <w:r/>
          </w:p>
        </w:tc>
        <w:tc>
          <w:tcPr>
            <w:shd w:val="clear" w:color="auto" w:fill="auto"/>
            <w:tcW w:w="1062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Ремонт проездов к дворовым территориям</w:t>
            </w:r>
            <w:r/>
          </w:p>
        </w:tc>
        <w:tc>
          <w:tcPr>
            <w:shd w:val="clear" w:color="auto" w:fill="auto"/>
            <w:tcW w:w="454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  <w:spacing w:val="1"/>
              </w:rPr>
              <w:t xml:space="preserve">2023</w:t>
            </w:r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53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МКУ «</w:t>
            </w:r>
            <w:r>
              <w:t xml:space="preserve">УБиР</w:t>
            </w:r>
            <w:r>
              <w:t xml:space="preserve">»</w:t>
            </w:r>
            <w:r/>
          </w:p>
          <w:p>
            <w:pPr>
              <w:jc w:val="center"/>
            </w:pPr>
            <w:r/>
            <w:r/>
          </w:p>
        </w:tc>
      </w:tr>
      <w:tr>
        <w:tblPrEx/>
        <w:trPr>
          <w:trHeight w:val="181"/>
        </w:trPr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62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53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85"/>
        </w:trPr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62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17930,1</w:t>
            </w:r>
            <w:r/>
          </w:p>
        </w:tc>
        <w:tc>
          <w:tcPr>
            <w:gridSpan w:val="2"/>
            <w:shd w:val="clear" w:color="auto" w:fill="auto"/>
            <w:tcW w:w="53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17930,1</w:t>
            </w:r>
            <w:r>
              <w:t xml:space="preserve">   </w:t>
            </w:r>
            <w:r/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85"/>
        </w:trPr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62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538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85"/>
        </w:trPr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62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17930,1</w:t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3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17</w:t>
            </w:r>
            <w:r>
              <w:rPr>
                <w:b/>
              </w:rPr>
              <w:t xml:space="preserve">930,1</w:t>
            </w:r>
            <w:r>
              <w:rPr>
                <w:b/>
              </w:rPr>
              <w:t xml:space="preserve">   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94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Итого по мероприятию 1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94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26285,7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26285,7</w:t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29"/>
        </w:trPr>
        <w:tc>
          <w:tcPr>
            <w:gridSpan w:val="3"/>
            <w:shd w:val="clear" w:color="auto" w:fill="auto"/>
            <w:tcW w:w="1894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</w:rPr>
              <w:t xml:space="preserve">33856,0</w:t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20590,0</w:t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6633,0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6633,0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94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94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</w:rPr>
              <w:t xml:space="preserve">60141,7</w:t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46875,7</w:t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6633,0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6633,0</w:t>
            </w:r>
            <w:r>
              <w:rPr>
                <w:b/>
              </w:rPr>
              <w:t xml:space="preserve">»</w:t>
            </w:r>
            <w:r>
              <w:rPr>
                <w:b/>
              </w:rPr>
              <w:t xml:space="preserve">;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contextualSpacing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- строк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2.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«Итого по мероприятию 2» </w:t>
      </w:r>
      <w:r>
        <w:rPr>
          <w:sz w:val="24"/>
          <w:szCs w:val="24"/>
        </w:rPr>
        <w:t xml:space="preserve">и «Всего по программе»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таблицы 1 «Перечень мероприятий программы с объемом финансирования» изложить в следующей редакции:</w:t>
      </w:r>
      <w:r>
        <w:rPr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721"/>
        <w:gridCol w:w="1987"/>
        <w:gridCol w:w="694"/>
        <w:gridCol w:w="851"/>
        <w:gridCol w:w="992"/>
        <w:gridCol w:w="992"/>
        <w:gridCol w:w="992"/>
        <w:gridCol w:w="1134"/>
        <w:gridCol w:w="994"/>
      </w:tblGrid>
      <w:tr>
        <w:tblPrEx/>
        <w:trPr>
          <w:trHeight w:val="98"/>
        </w:trPr>
        <w:tc>
          <w:tcPr>
            <w:shd w:val="clear" w:color="auto" w:fill="auto"/>
            <w:tcW w:w="385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«</w:t>
            </w:r>
            <w:r>
              <w:t xml:space="preserve">2</w:t>
            </w:r>
            <w:r>
              <w:t xml:space="preserve">.</w:t>
            </w:r>
            <w:r>
              <w:t xml:space="preserve">1</w:t>
            </w:r>
            <w:r>
              <w:t xml:space="preserve">.</w:t>
            </w:r>
            <w:r/>
          </w:p>
        </w:tc>
        <w:tc>
          <w:tcPr>
            <w:shd w:val="clear" w:color="auto" w:fill="auto"/>
            <w:tcW w:w="1062" w:type="pct"/>
            <w:vMerge w:val="restart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Благоустройство общественных территорий</w:t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371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  <w:spacing w:val="1"/>
              </w:rPr>
              <w:t xml:space="preserve">2023-2025</w:t>
            </w:r>
            <w:r/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МКУ «</w:t>
            </w:r>
            <w:r>
              <w:t xml:space="preserve">УБиР</w:t>
            </w:r>
            <w:r>
              <w:t xml:space="preserve">»</w:t>
            </w:r>
            <w:r/>
          </w:p>
          <w:p>
            <w:pPr>
              <w:jc w:val="center"/>
            </w:pPr>
            <w:r/>
            <w:r/>
          </w:p>
        </w:tc>
      </w:tr>
      <w:tr>
        <w:tblPrEx/>
        <w:trPr>
          <w:trHeight w:val="181"/>
        </w:trPr>
        <w:tc>
          <w:tcPr>
            <w:shd w:val="clear" w:color="auto" w:fill="auto"/>
            <w:tcW w:w="38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62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71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85"/>
        </w:trPr>
        <w:tc>
          <w:tcPr>
            <w:shd w:val="clear" w:color="auto" w:fill="auto"/>
            <w:tcW w:w="38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62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71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43626,1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24203,3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9711,4</w:t>
            </w:r>
            <w:r/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9711,4</w:t>
            </w:r>
            <w:r/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85"/>
        </w:trPr>
        <w:tc>
          <w:tcPr>
            <w:shd w:val="clear" w:color="auto" w:fill="auto"/>
            <w:tcW w:w="38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62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71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85"/>
        </w:trPr>
        <w:tc>
          <w:tcPr>
            <w:shd w:val="clear" w:color="auto" w:fill="auto"/>
            <w:tcW w:w="38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62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71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43626,1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24203,3</w:t>
            </w:r>
            <w:r>
              <w:rPr>
                <w:b/>
              </w:rPr>
              <w:t xml:space="preserve">   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9711,4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9711,4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18" w:type="pct"/>
            <w:vMerge w:val="restart"/>
            <w:textDirection w:val="lrTb"/>
            <w:noWrap w:val="false"/>
          </w:tcPr>
          <w:p>
            <w:pPr>
              <w:jc w:val="right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Итого по мероприятию </w:t>
            </w:r>
            <w:r>
              <w:rPr>
                <w:b/>
              </w:rPr>
              <w:t xml:space="preserve">2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18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29"/>
        </w:trPr>
        <w:tc>
          <w:tcPr>
            <w:gridSpan w:val="3"/>
            <w:shd w:val="clear" w:color="auto" w:fill="auto"/>
            <w:tcW w:w="1818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43626,1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24203,3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9711,4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9711,4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18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18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43626,1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24203,3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9711,4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9711,4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1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Всего </w:t>
            </w:r>
            <w:r>
              <w:rPr>
                <w:b/>
                <w:color w:val="000000"/>
                <w:spacing w:val="1"/>
              </w:rPr>
              <w:t xml:space="preserve">по программе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18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26285,7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26285,7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1818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77482,1</w:t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44793,3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16344,4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16344,0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18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18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103767,8</w:t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71079,0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16344,4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16344,4</w:t>
            </w:r>
            <w:r>
              <w:rPr>
                <w:b/>
              </w:rPr>
              <w:t xml:space="preserve">»;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ind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строки 2.1 </w:t>
      </w:r>
      <w:r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 xml:space="preserve">2 «Перечень мероприятий программы с показателями результативности выполнения мероприятий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к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рограмме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изложить в следующей редакции:</w:t>
      </w:r>
      <w:r>
        <w:rPr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701"/>
        <w:gridCol w:w="709"/>
        <w:gridCol w:w="1843"/>
        <w:gridCol w:w="708"/>
        <w:gridCol w:w="851"/>
        <w:gridCol w:w="850"/>
        <w:gridCol w:w="851"/>
        <w:gridCol w:w="1134"/>
      </w:tblGrid>
      <w:tr>
        <w:tblPrEx/>
        <w:trPr>
          <w:trHeight w:val="916"/>
        </w:trPr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ind w:left="-22"/>
              <w:jc w:val="center"/>
              <w:spacing w:after="200" w:line="276" w:lineRule="auto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«</w:t>
            </w:r>
            <w:r>
              <w:rPr>
                <w:rFonts w:eastAsiaTheme="minorHAnsi"/>
                <w:lang w:eastAsia="en-US"/>
              </w:rPr>
              <w:t xml:space="preserve">2</w:t>
            </w:r>
            <w:r>
              <w:rPr>
                <w:rFonts w:eastAsiaTheme="minorHAnsi"/>
                <w:lang w:eastAsia="en-US"/>
              </w:rPr>
              <w:t xml:space="preserve">.</w:t>
            </w:r>
            <w:r>
              <w:rPr>
                <w:rFonts w:eastAsiaTheme="minorHAnsi"/>
                <w:lang w:eastAsia="en-US"/>
              </w:rPr>
              <w:t xml:space="preserve">1</w:t>
            </w:r>
            <w:r>
              <w:rPr>
                <w:rFonts w:eastAsiaTheme="minorHAnsi"/>
                <w:lang w:eastAsia="en-US"/>
              </w:rPr>
              <w:t xml:space="preserve">.</w:t>
            </w:r>
            <w:r>
              <w:rPr>
                <w:rFonts w:eastAsiaTheme="minorHAnsi"/>
                <w:lang w:eastAsia="en-US"/>
              </w:rPr>
            </w:r>
          </w:p>
        </w:tc>
        <w:tc>
          <w:tcPr>
            <w:shd w:val="clear" w:color="auto" w:fill="auto"/>
            <w:tcW w:w="1701" w:type="dxa"/>
            <w:vMerge w:val="restart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Благоустройство общественных территорий</w:t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  <w:spacing w:val="1"/>
              </w:rPr>
              <w:t xml:space="preserve">2023-2025</w:t>
            </w:r>
            <w:r/>
          </w:p>
        </w:tc>
        <w:tc>
          <w:tcPr>
            <w:shd w:val="clear" w:color="auto" w:fill="auto"/>
            <w:tcW w:w="1843" w:type="dxa"/>
            <w:vAlign w:val="center"/>
            <w:textDirection w:val="lrTb"/>
            <w:noWrap w:val="false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Площадь благоустроенных общественных территорий</w:t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кв. м</w:t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970,8</w:t>
            </w:r>
            <w:r>
              <w:rPr>
                <w:bCs/>
                <w:color w:val="000000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не менее 10000</w:t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не менее 10000</w:t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МКУ «</w:t>
            </w:r>
            <w:r>
              <w:t xml:space="preserve">УБиР</w:t>
            </w:r>
            <w:r>
              <w:t xml:space="preserve">»</w:t>
            </w:r>
            <w:r/>
          </w:p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846"/>
        </w:trPr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ind w:left="-22"/>
              <w:jc w:val="center"/>
              <w:spacing w:after="200" w:line="276" w:lineRule="auto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  <w:tc>
          <w:tcPr>
            <w:shd w:val="clear" w:color="auto" w:fill="auto"/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1843" w:type="dxa"/>
            <w:vAlign w:val="center"/>
            <w:textDirection w:val="lrTb"/>
            <w:noWrap w:val="false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Количество благоустроенных общественных территорий</w:t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шт.</w:t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1</w:t>
            </w:r>
            <w:r>
              <w:rPr>
                <w:bCs/>
                <w:color w:val="000000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</w:t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</w:t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МКУ «</w:t>
            </w:r>
            <w:r>
              <w:t xml:space="preserve">УБиР</w:t>
            </w:r>
            <w:r>
              <w:t xml:space="preserve">»</w:t>
            </w:r>
            <w:r>
              <w:t xml:space="preserve">».</w:t>
            </w:r>
            <w:r/>
          </w:p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</w:tbl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Настоящее постановление вступает в силу после его подписания.</w:t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Lucida Sans Unicode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sz w:val="24"/>
          <w:szCs w:val="24"/>
          <w:lang w:eastAsia="en-US"/>
        </w:rPr>
        <w:t xml:space="preserve"> </w:t>
      </w:r>
      <w:r>
        <w:rPr>
          <w:rFonts w:eastAsia="Lucida Sans Unicode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Глава Печенгского муниципального округа                       </w:t>
      </w:r>
      <w:r>
        <w:rPr>
          <w:rFonts w:eastAsia="Calibri"/>
          <w:sz w:val="24"/>
          <w:szCs w:val="24"/>
          <w:lang w:eastAsia="en-US"/>
        </w:rPr>
        <w:t xml:space="preserve">      </w:t>
      </w:r>
      <w:r>
        <w:rPr>
          <w:rFonts w:eastAsia="Calibri"/>
          <w:sz w:val="24"/>
          <w:szCs w:val="24"/>
          <w:lang w:eastAsia="en-US"/>
        </w:rPr>
        <w:t xml:space="preserve">                           А.В. Кузнецов </w:t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widowControl w:val="off"/>
        <w:rPr>
          <w:sz w:val="14"/>
          <w:szCs w:val="18"/>
        </w:rPr>
      </w:pPr>
      <w:r>
        <w:rPr>
          <w:rFonts w:eastAsia="Calibri"/>
          <w:szCs w:val="24"/>
          <w:lang w:eastAsia="en-US"/>
        </w:rPr>
        <w:t xml:space="preserve">Князева </w:t>
      </w:r>
      <w:r>
        <w:rPr>
          <w:rFonts w:eastAsia="Calibri"/>
          <w:szCs w:val="24"/>
          <w:lang w:eastAsia="en-US"/>
        </w:rPr>
        <w:t xml:space="preserve">Э.Г., 60623</w:t>
      </w:r>
      <w:r>
        <w:rPr>
          <w:sz w:val="14"/>
          <w:szCs w:val="18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sz w:val="14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4"/>
          <w:szCs w:val="18"/>
        </w:rPr>
      </w:r>
    </w:p>
    <w:sectPr>
      <w:headerReference w:type="default" r:id="rId9"/>
      <w:headerReference w:type="even" r:id="rId10"/>
      <w:footnotePr/>
      <w:endnotePr/>
      <w:type w:val="nextPage"/>
      <w:pgSz w:w="11906" w:h="16838" w:orient="portrait"/>
      <w:pgMar w:top="567" w:right="851" w:bottom="567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Lucida Sans Unicode">
    <w:panose1 w:val="020B0602030504020204"/>
  </w:font>
  <w:font w:name="Verdana">
    <w:panose1 w:val="020B0604030504040204"/>
  </w:font>
  <w:font w:name="Cambria">
    <w:panose1 w:val="0204050305040603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4"/>
      <w:rPr>
        <w:rStyle w:val="763"/>
      </w:rPr>
      <w:framePr w:wrap="around" w:vAnchor="text" w:hAnchor="margin" w:xAlign="center" w:y="1"/>
    </w:pPr>
    <w:r/>
    <w:r>
      <w:rPr>
        <w:rStyle w:val="763"/>
      </w:rPr>
    </w:r>
  </w:p>
  <w:p>
    <w:pPr>
      <w:pStyle w:val="764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4"/>
      <w:rPr>
        <w:rStyle w:val="763"/>
      </w:rPr>
      <w:framePr w:wrap="around" w:vAnchor="text" w:hAnchor="margin" w:xAlign="center" w:y="1"/>
    </w:pPr>
    <w:r>
      <w:rPr>
        <w:rStyle w:val="763"/>
      </w:rPr>
      <w:fldChar w:fldCharType="begin"/>
    </w:r>
    <w:r>
      <w:rPr>
        <w:rStyle w:val="763"/>
      </w:rPr>
      <w:instrText xml:space="preserve">PAGE  </w:instrText>
    </w:r>
    <w:r>
      <w:rPr>
        <w:rStyle w:val="763"/>
      </w:rPr>
      <w:fldChar w:fldCharType="end"/>
    </w:r>
    <w:r>
      <w:rPr>
        <w:rStyle w:val="763"/>
      </w:rPr>
    </w:r>
  </w:p>
  <w:p>
    <w:pPr>
      <w:pStyle w:val="764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8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abstractNum w:abstractNumId="15">
    <w:multiLevelType w:val="hybridMultilevel"/>
    <w:lvl w:ilvl="0">
      <w:start w:val="2025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17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8" w:hanging="99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31"/>
  </w:num>
  <w:num w:numId="4">
    <w:abstractNumId w:val="25"/>
  </w:num>
  <w:num w:numId="5">
    <w:abstractNumId w:val="19"/>
  </w:num>
  <w:num w:numId="6">
    <w:abstractNumId w:val="8"/>
  </w:num>
  <w:num w:numId="7">
    <w:abstractNumId w:val="29"/>
  </w:num>
  <w:num w:numId="8">
    <w:abstractNumId w:val="20"/>
  </w:num>
  <w:num w:numId="9">
    <w:abstractNumId w:val="30"/>
  </w:num>
  <w:num w:numId="10">
    <w:abstractNumId w:val="3"/>
  </w:num>
  <w:num w:numId="11">
    <w:abstractNumId w:val="21"/>
  </w:num>
  <w:num w:numId="12">
    <w:abstractNumId w:val="22"/>
  </w:num>
  <w:num w:numId="13">
    <w:abstractNumId w:val="7"/>
  </w:num>
  <w:num w:numId="14">
    <w:abstractNumId w:val="4"/>
  </w:num>
  <w:num w:numId="15">
    <w:abstractNumId w:val="24"/>
  </w:num>
  <w:num w:numId="16">
    <w:abstractNumId w:val="27"/>
  </w:num>
  <w:num w:numId="17">
    <w:abstractNumId w:val="26"/>
  </w:num>
  <w:num w:numId="18">
    <w:abstractNumId w:val="23"/>
  </w:num>
  <w:num w:numId="19">
    <w:abstractNumId w:val="5"/>
  </w:num>
  <w:num w:numId="20">
    <w:abstractNumId w:val="16"/>
  </w:num>
  <w:num w:numId="21">
    <w:abstractNumId w:val="6"/>
  </w:num>
  <w:num w:numId="22">
    <w:abstractNumId w:val="28"/>
  </w:num>
  <w:num w:numId="23">
    <w:abstractNumId w:val="2"/>
  </w:num>
  <w:num w:numId="24">
    <w:abstractNumId w:val="9"/>
  </w:num>
  <w:num w:numId="25">
    <w:abstractNumId w:val="18"/>
  </w:num>
  <w:num w:numId="26">
    <w:abstractNumId w:val="13"/>
  </w:num>
  <w:num w:numId="27">
    <w:abstractNumId w:val="11"/>
  </w:num>
  <w:num w:numId="28">
    <w:abstractNumId w:val="17"/>
  </w:num>
  <w:num w:numId="29">
    <w:abstractNumId w:val="14"/>
  </w:num>
  <w:num w:numId="30">
    <w:abstractNumId w:val="12"/>
  </w:num>
  <w:num w:numId="31">
    <w:abstractNumId w:val="1"/>
  </w:num>
  <w:num w:numId="3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">
    <w:name w:val="Heading 1 Char"/>
    <w:basedOn w:val="750"/>
    <w:link w:val="748"/>
    <w:uiPriority w:val="9"/>
    <w:rPr>
      <w:rFonts w:ascii="Arial" w:hAnsi="Arial" w:eastAsia="Arial" w:cs="Arial"/>
      <w:sz w:val="40"/>
      <w:szCs w:val="40"/>
    </w:rPr>
  </w:style>
  <w:style w:type="character" w:styleId="16">
    <w:name w:val="Heading 2 Char"/>
    <w:basedOn w:val="750"/>
    <w:link w:val="749"/>
    <w:uiPriority w:val="9"/>
    <w:rPr>
      <w:rFonts w:ascii="Arial" w:hAnsi="Arial" w:eastAsia="Arial" w:cs="Arial"/>
      <w:sz w:val="34"/>
    </w:rPr>
  </w:style>
  <w:style w:type="paragraph" w:styleId="17">
    <w:name w:val="Heading 3"/>
    <w:basedOn w:val="747"/>
    <w:next w:val="747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750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747"/>
    <w:next w:val="747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750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747"/>
    <w:next w:val="747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750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747"/>
    <w:next w:val="747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750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747"/>
    <w:next w:val="747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750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747"/>
    <w:next w:val="747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750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747"/>
    <w:next w:val="747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750"/>
    <w:link w:val="29"/>
    <w:uiPriority w:val="9"/>
    <w:rPr>
      <w:rFonts w:ascii="Arial" w:hAnsi="Arial" w:eastAsia="Arial" w:cs="Arial"/>
      <w:i/>
      <w:iCs/>
      <w:sz w:val="21"/>
      <w:szCs w:val="21"/>
    </w:rPr>
  </w:style>
  <w:style w:type="character" w:styleId="35">
    <w:name w:val="Title Char"/>
    <w:basedOn w:val="750"/>
    <w:link w:val="779"/>
    <w:uiPriority w:val="10"/>
    <w:rPr>
      <w:sz w:val="48"/>
      <w:szCs w:val="48"/>
    </w:rPr>
  </w:style>
  <w:style w:type="paragraph" w:styleId="36">
    <w:name w:val="Subtitle"/>
    <w:basedOn w:val="747"/>
    <w:next w:val="747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750"/>
    <w:link w:val="36"/>
    <w:uiPriority w:val="11"/>
    <w:rPr>
      <w:sz w:val="24"/>
      <w:szCs w:val="24"/>
    </w:rPr>
  </w:style>
  <w:style w:type="paragraph" w:styleId="38">
    <w:name w:val="Quote"/>
    <w:basedOn w:val="747"/>
    <w:next w:val="747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747"/>
    <w:next w:val="747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character" w:styleId="43">
    <w:name w:val="Header Char"/>
    <w:basedOn w:val="750"/>
    <w:link w:val="764"/>
    <w:uiPriority w:val="99"/>
  </w:style>
  <w:style w:type="character" w:styleId="45">
    <w:name w:val="Footer Char"/>
    <w:basedOn w:val="750"/>
    <w:link w:val="761"/>
    <w:uiPriority w:val="99"/>
  </w:style>
  <w:style w:type="paragraph" w:styleId="46">
    <w:name w:val="Caption"/>
    <w:basedOn w:val="747"/>
    <w:next w:val="74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761"/>
    <w:uiPriority w:val="99"/>
  </w:style>
  <w:style w:type="table" w:styleId="49">
    <w:name w:val="Table Grid Light"/>
    <w:basedOn w:val="75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75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75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7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7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7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7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7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7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7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7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7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7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7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7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7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7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7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7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7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7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7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7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7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7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747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750"/>
    <w:uiPriority w:val="99"/>
    <w:unhideWhenUsed/>
    <w:rPr>
      <w:vertAlign w:val="superscript"/>
    </w:rPr>
  </w:style>
  <w:style w:type="paragraph" w:styleId="178">
    <w:name w:val="endnote text"/>
    <w:basedOn w:val="747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750"/>
    <w:uiPriority w:val="99"/>
    <w:semiHidden/>
    <w:unhideWhenUsed/>
    <w:rPr>
      <w:vertAlign w:val="superscript"/>
    </w:rPr>
  </w:style>
  <w:style w:type="paragraph" w:styleId="181">
    <w:name w:val="toc 1"/>
    <w:basedOn w:val="747"/>
    <w:next w:val="747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747"/>
    <w:next w:val="747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747"/>
    <w:next w:val="747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747"/>
    <w:next w:val="747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747"/>
    <w:next w:val="747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747"/>
    <w:next w:val="747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747"/>
    <w:next w:val="747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747"/>
    <w:next w:val="747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747"/>
    <w:next w:val="747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747"/>
    <w:next w:val="747"/>
    <w:uiPriority w:val="99"/>
    <w:unhideWhenUsed/>
    <w:pPr>
      <w:spacing w:after="0" w:afterAutospacing="0"/>
    </w:pPr>
  </w:style>
  <w:style w:type="paragraph" w:styleId="747" w:default="1">
    <w:name w:val="Normal"/>
    <w:qFormat/>
  </w:style>
  <w:style w:type="paragraph" w:styleId="748">
    <w:name w:val="Heading 1"/>
    <w:basedOn w:val="747"/>
    <w:next w:val="747"/>
    <w:qFormat/>
    <w:pPr>
      <w:jc w:val="center"/>
      <w:keepNext/>
      <w:outlineLvl w:val="0"/>
    </w:pPr>
    <w:rPr>
      <w:sz w:val="24"/>
    </w:rPr>
  </w:style>
  <w:style w:type="paragraph" w:styleId="749">
    <w:name w:val="Heading 2"/>
    <w:basedOn w:val="747"/>
    <w:next w:val="747"/>
    <w:link w:val="759"/>
    <w:uiPriority w:val="99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750" w:default="1">
    <w:name w:val="Default Paragraph Font"/>
    <w:uiPriority w:val="1"/>
    <w:semiHidden/>
    <w:unhideWhenUsed/>
  </w:style>
  <w:style w:type="table" w:styleId="75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52" w:default="1">
    <w:name w:val="No List"/>
    <w:uiPriority w:val="99"/>
    <w:semiHidden/>
    <w:unhideWhenUsed/>
  </w:style>
  <w:style w:type="paragraph" w:styleId="753">
    <w:name w:val="Body Text"/>
    <w:basedOn w:val="747"/>
    <w:pPr>
      <w:jc w:val="both"/>
    </w:pPr>
    <w:rPr>
      <w:sz w:val="24"/>
      <w:szCs w:val="24"/>
    </w:rPr>
  </w:style>
  <w:style w:type="paragraph" w:styleId="754">
    <w:name w:val="Body Text Indent"/>
    <w:basedOn w:val="747"/>
    <w:link w:val="778"/>
    <w:uiPriority w:val="99"/>
    <w:pPr>
      <w:ind w:left="283"/>
      <w:spacing w:after="120"/>
    </w:pPr>
  </w:style>
  <w:style w:type="paragraph" w:styleId="755">
    <w:name w:val="Body Text 2"/>
    <w:basedOn w:val="747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756">
    <w:name w:val="Body Text Indent 2"/>
    <w:basedOn w:val="747"/>
    <w:pPr>
      <w:ind w:firstLine="709"/>
      <w:jc w:val="both"/>
    </w:pPr>
    <w:rPr>
      <w:bCs/>
      <w:sz w:val="26"/>
      <w:szCs w:val="26"/>
    </w:rPr>
  </w:style>
  <w:style w:type="paragraph" w:styleId="757">
    <w:name w:val="Body Text Indent 3"/>
    <w:basedOn w:val="747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758" w:customStyle="1">
    <w:name w:val="Знак Знак2"/>
    <w:basedOn w:val="747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759" w:customStyle="1">
    <w:name w:val="Заголовок 2 Знак"/>
    <w:link w:val="749"/>
    <w:uiPriority w:val="99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760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761">
    <w:name w:val="Footer"/>
    <w:basedOn w:val="747"/>
    <w:link w:val="762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762" w:customStyle="1">
    <w:name w:val="Нижний колонтитул Знак"/>
    <w:link w:val="761"/>
    <w:uiPriority w:val="99"/>
    <w:rPr>
      <w:rFonts w:ascii="Arial" w:hAnsi="Arial" w:cs="Arial"/>
    </w:rPr>
  </w:style>
  <w:style w:type="character" w:styleId="763">
    <w:name w:val="page number"/>
    <w:uiPriority w:val="99"/>
  </w:style>
  <w:style w:type="paragraph" w:styleId="764">
    <w:name w:val="Header"/>
    <w:basedOn w:val="747"/>
    <w:link w:val="765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765" w:customStyle="1">
    <w:name w:val="Верхний колонтитул Знак"/>
    <w:link w:val="764"/>
    <w:uiPriority w:val="99"/>
    <w:rPr>
      <w:rFonts w:ascii="Arial" w:hAnsi="Arial" w:cs="Arial"/>
    </w:rPr>
  </w:style>
  <w:style w:type="paragraph" w:styleId="766" w:customStyle="1">
    <w:name w:val="ConsPlusCell"/>
    <w:uiPriority w:val="99"/>
    <w:pPr>
      <w:widowControl w:val="off"/>
    </w:pPr>
    <w:rPr>
      <w:rFonts w:ascii="Arial" w:hAnsi="Arial" w:cs="Arial"/>
    </w:rPr>
  </w:style>
  <w:style w:type="table" w:styleId="767">
    <w:name w:val="Table Grid"/>
    <w:basedOn w:val="751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768">
    <w:name w:val="Balloon Text"/>
    <w:basedOn w:val="747"/>
    <w:link w:val="769"/>
    <w:uiPriority w:val="99"/>
    <w:rPr>
      <w:rFonts w:ascii="Arial" w:hAnsi="Arial" w:cs="Arial"/>
      <w:sz w:val="16"/>
      <w:szCs w:val="16"/>
    </w:rPr>
  </w:style>
  <w:style w:type="character" w:styleId="769" w:customStyle="1">
    <w:name w:val="Текст выноски Знак"/>
    <w:link w:val="768"/>
    <w:uiPriority w:val="99"/>
    <w:rPr>
      <w:rFonts w:ascii="Arial" w:hAnsi="Arial" w:cs="Arial"/>
      <w:sz w:val="16"/>
      <w:szCs w:val="16"/>
    </w:rPr>
  </w:style>
  <w:style w:type="paragraph" w:styleId="770">
    <w:name w:val="List Paragraph"/>
    <w:basedOn w:val="747"/>
    <w:link w:val="771"/>
    <w:uiPriority w:val="34"/>
    <w:qFormat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771" w:customStyle="1">
    <w:name w:val="Абзац списка Знак"/>
    <w:link w:val="770"/>
    <w:uiPriority w:val="34"/>
    <w:rPr>
      <w:rFonts w:ascii="Calibri" w:hAnsi="Calibri" w:eastAsia="Calibri" w:cs="Calibri"/>
      <w:sz w:val="22"/>
      <w:szCs w:val="22"/>
      <w:lang w:eastAsia="en-US"/>
    </w:rPr>
  </w:style>
  <w:style w:type="paragraph" w:styleId="772" w:customStyle="1">
    <w:name w:val="Абзац списка1"/>
    <w:basedOn w:val="747"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773">
    <w:name w:val="Hyperlink"/>
    <w:rPr>
      <w:color w:val="0000ff"/>
      <w:u w:val="single"/>
    </w:rPr>
  </w:style>
  <w:style w:type="paragraph" w:styleId="774">
    <w:name w:val="No Spacing"/>
    <w:uiPriority w:val="1"/>
    <w:qFormat/>
    <w:rPr>
      <w:rFonts w:ascii="Calibri" w:hAnsi="Calibri" w:eastAsia="Calibri" w:cs="Calibri"/>
      <w:sz w:val="22"/>
      <w:szCs w:val="22"/>
      <w:lang w:eastAsia="en-US"/>
    </w:rPr>
  </w:style>
  <w:style w:type="paragraph" w:styleId="775" w:customStyle="1">
    <w:name w:val="ConsPlusTitle"/>
    <w:uiPriority w:val="99"/>
    <w:pPr>
      <w:widowControl w:val="off"/>
    </w:pPr>
    <w:rPr>
      <w:b/>
      <w:bCs/>
      <w:sz w:val="24"/>
      <w:szCs w:val="24"/>
    </w:rPr>
  </w:style>
  <w:style w:type="paragraph" w:styleId="776">
    <w:name w:val="Body Text 3"/>
    <w:basedOn w:val="747"/>
    <w:link w:val="777"/>
    <w:uiPriority w:val="99"/>
    <w:pPr>
      <w:spacing w:after="120"/>
    </w:pPr>
    <w:rPr>
      <w:sz w:val="16"/>
      <w:szCs w:val="16"/>
    </w:rPr>
  </w:style>
  <w:style w:type="character" w:styleId="777" w:customStyle="1">
    <w:name w:val="Основной текст 3 Знак"/>
    <w:basedOn w:val="750"/>
    <w:link w:val="776"/>
    <w:uiPriority w:val="99"/>
    <w:rPr>
      <w:sz w:val="16"/>
      <w:szCs w:val="16"/>
    </w:rPr>
  </w:style>
  <w:style w:type="character" w:styleId="778" w:customStyle="1">
    <w:name w:val="Основной текст с отступом Знак"/>
    <w:link w:val="754"/>
    <w:uiPriority w:val="99"/>
  </w:style>
  <w:style w:type="paragraph" w:styleId="779">
    <w:name w:val="Title"/>
    <w:basedOn w:val="747"/>
    <w:link w:val="780"/>
    <w:uiPriority w:val="99"/>
    <w:qFormat/>
    <w:pPr>
      <w:jc w:val="center"/>
    </w:pPr>
    <w:rPr>
      <w:caps/>
      <w:sz w:val="24"/>
      <w:szCs w:val="24"/>
    </w:rPr>
  </w:style>
  <w:style w:type="character" w:styleId="780" w:customStyle="1">
    <w:name w:val="Название Знак"/>
    <w:basedOn w:val="750"/>
    <w:link w:val="779"/>
    <w:uiPriority w:val="99"/>
    <w:rPr>
      <w:caps/>
      <w:sz w:val="24"/>
      <w:szCs w:val="24"/>
    </w:rPr>
  </w:style>
  <w:style w:type="paragraph" w:styleId="781" w:customStyle="1">
    <w:name w:val="Знак1"/>
    <w:basedOn w:val="747"/>
    <w:uiPriority w:val="99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782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783" w:customStyle="1">
    <w:name w:val="Знак Знак Знак Знак Знак Знак Знак Знак Знак Знак"/>
    <w:basedOn w:val="747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784">
    <w:name w:val="Emphasis"/>
    <w:qFormat/>
    <w:rPr>
      <w:i/>
      <w:iCs/>
    </w:rPr>
  </w:style>
  <w:style w:type="table" w:styleId="785" w:customStyle="1">
    <w:name w:val="Сетка таблицы1"/>
    <w:basedOn w:val="751"/>
    <w:next w:val="767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Relationship Id="rId12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4555BC-9179-48D5-9C72-1353BFDBC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4</cp:revision>
  <dcterms:created xsi:type="dcterms:W3CDTF">2023-10-19T06:51:00Z</dcterms:created>
  <dcterms:modified xsi:type="dcterms:W3CDTF">2024-02-15T13:40:01Z</dcterms:modified>
</cp:coreProperties>
</file>