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48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27.11.2023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1749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О внесении изменений в </w:t>
      </w:r>
      <w:r>
        <w:rPr>
          <w:b/>
          <w:szCs w:val="24"/>
        </w:rPr>
        <w:t xml:space="preserve">с</w:t>
      </w:r>
      <w:r>
        <w:rPr>
          <w:b/>
          <w:szCs w:val="24"/>
        </w:rPr>
        <w:t xml:space="preserve">хем</w:t>
      </w:r>
      <w:r>
        <w:rPr>
          <w:b/>
          <w:szCs w:val="24"/>
        </w:rPr>
        <w:t xml:space="preserve">у</w:t>
      </w:r>
      <w:r>
        <w:rPr>
          <w:b/>
          <w:szCs w:val="24"/>
        </w:rPr>
        <w:t xml:space="preserve"> размещения нестационарных торговых объектов </w:t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на территории Печенгского муниципального </w:t>
      </w:r>
      <w:r>
        <w:rPr>
          <w:b/>
        </w:rPr>
        <w:t xml:space="preserve">округа</w:t>
      </w:r>
      <w:r>
        <w:rPr>
          <w:b/>
        </w:rPr>
        <w:t xml:space="preserve">, утвержденную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постановление</w:t>
      </w:r>
      <w:r>
        <w:rPr>
          <w:b/>
          <w:szCs w:val="24"/>
        </w:rPr>
        <w:t xml:space="preserve">м</w:t>
      </w:r>
      <w:r>
        <w:rPr>
          <w:b/>
          <w:szCs w:val="24"/>
        </w:rPr>
        <w:t xml:space="preserve"> администр</w:t>
      </w:r>
      <w:r>
        <w:rPr>
          <w:b/>
          <w:szCs w:val="24"/>
        </w:rPr>
        <w:t xml:space="preserve">ации Печенгского муниципального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округа от </w:t>
      </w:r>
      <w:r>
        <w:rPr>
          <w:b/>
          <w:szCs w:val="24"/>
        </w:rPr>
        <w:t xml:space="preserve">31.03.2021</w:t>
      </w:r>
      <w:r>
        <w:rPr>
          <w:b/>
          <w:szCs w:val="24"/>
        </w:rPr>
        <w:t xml:space="preserve"> № </w:t>
      </w:r>
      <w:r>
        <w:rPr>
          <w:b/>
          <w:szCs w:val="24"/>
        </w:rPr>
        <w:t xml:space="preserve">251</w:t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актуализацией </w:t>
      </w:r>
      <w:r>
        <w:rPr>
          <w:sz w:val="24"/>
          <w:szCs w:val="24"/>
        </w:rPr>
        <w:t xml:space="preserve">муниципального правового</w:t>
      </w:r>
      <w:r>
        <w:rPr>
          <w:sz w:val="24"/>
          <w:szCs w:val="24"/>
        </w:rPr>
        <w:t xml:space="preserve"> акта</w:t>
      </w:r>
      <w:r>
        <w:rPr>
          <w:sz w:val="24"/>
          <w:szCs w:val="24"/>
        </w:rPr>
        <w:t xml:space="preserve">, на основании протокола</w:t>
      </w:r>
      <w:r>
        <w:rPr>
          <w:sz w:val="24"/>
          <w:szCs w:val="24"/>
        </w:rPr>
        <w:t xml:space="preserve"> заседания комиссии по организации размещения нестационарных торговых объектов на территории Печенгског</w:t>
      </w:r>
      <w:r>
        <w:rPr>
          <w:sz w:val="24"/>
          <w:szCs w:val="24"/>
        </w:rPr>
        <w:t xml:space="preserve">о муниципального округа от 24.11.2023 № 13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в схему размещения нестационарных торговых объектов на территории Печенгского муниципального округа, утвержденную</w:t>
      </w:r>
      <w:r>
        <w:rPr>
          <w:sz w:val="24"/>
          <w:szCs w:val="24"/>
        </w:rPr>
        <w:t xml:space="preserve"> постановлени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31.03.2021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251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</w:t>
      </w:r>
      <w:r>
        <w:rPr>
          <w:sz w:val="24"/>
          <w:szCs w:val="24"/>
        </w:rPr>
        <w:t xml:space="preserve">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25.10.2023 № 1594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Схема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</w:p>
    <w:p>
      <w:pPr>
        <w:pStyle w:val="632"/>
        <w:ind w:firstLine="709"/>
        <w:jc w:val="both"/>
        <w:spacing w:after="0" w:line="240" w:lineRule="auto"/>
        <w:tabs>
          <w:tab w:val="left" w:pos="9355" w:leader="none"/>
        </w:tabs>
        <w:rPr>
          <w:bCs/>
          <w:color w:val="auto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раздел «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 Заполярный</w:t>
      </w:r>
      <w:r>
        <w:rPr>
          <w:sz w:val="24"/>
          <w:szCs w:val="24"/>
        </w:rPr>
        <w:t xml:space="preserve">» Схемы </w:t>
      </w:r>
      <w:r>
        <w:rPr>
          <w:bCs/>
          <w:color w:val="auto"/>
          <w:sz w:val="24"/>
          <w:szCs w:val="24"/>
        </w:rPr>
        <w:t xml:space="preserve">дополнить </w:t>
      </w:r>
      <w:r>
        <w:rPr>
          <w:bCs/>
          <w:color w:val="auto"/>
          <w:sz w:val="24"/>
          <w:szCs w:val="24"/>
        </w:rPr>
        <w:t xml:space="preserve">строкой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23 </w:t>
      </w:r>
      <w:r>
        <w:rPr>
          <w:bCs/>
          <w:color w:val="auto"/>
          <w:sz w:val="24"/>
          <w:szCs w:val="24"/>
        </w:rPr>
        <w:t xml:space="preserve">следующего содержания:</w:t>
      </w:r>
      <w:r>
        <w:rPr>
          <w:bCs/>
          <w:color w:val="auto"/>
          <w:sz w:val="24"/>
          <w:szCs w:val="24"/>
        </w:rPr>
      </w:r>
    </w:p>
    <w:tbl>
      <w:tblPr>
        <w:tblStyle w:val="631"/>
        <w:tblW w:w="9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8"/>
        <w:gridCol w:w="1418"/>
        <w:gridCol w:w="426"/>
        <w:gridCol w:w="1559"/>
        <w:gridCol w:w="1701"/>
        <w:gridCol w:w="1418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</w:rPr>
              <w:t xml:space="preserve">«</w:t>
            </w:r>
            <w:r>
              <w:rPr>
                <w:bCs/>
              </w:rPr>
              <w:t xml:space="preserve">23</w:t>
            </w:r>
            <w:r>
              <w:rPr>
                <w:bCs/>
                <w:sz w:val="18"/>
                <w:szCs w:val="18"/>
                <w:lang w:val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г. Заполярный, между домами № 12 и № 14б по ул. </w:t>
            </w:r>
            <w:r>
              <w:t xml:space="preserve">Бабикова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25</w:t>
            </w:r>
            <w:r>
              <w:t xml:space="preserve">,0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фудтрак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круглогодично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общественное питание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Приложение </w:t>
            </w:r>
            <w:r>
              <w:rPr>
                <w:bCs/>
                <w:color w:val="auto"/>
              </w:rPr>
              <w:t xml:space="preserve">2.23</w:t>
            </w:r>
            <w:r>
              <w:rPr>
                <w:bCs/>
                <w:color w:val="auto"/>
              </w:rPr>
              <w:t xml:space="preserve">»;</w:t>
            </w:r>
            <w:r>
              <w:rPr>
                <w:bCs/>
                <w:color w:val="auto"/>
              </w:rPr>
            </w:r>
          </w:p>
        </w:tc>
      </w:tr>
    </w:tbl>
    <w:p>
      <w:pPr>
        <w:pStyle w:val="632"/>
        <w:ind w:firstLine="709"/>
        <w:jc w:val="both"/>
        <w:spacing w:after="0" w:line="240" w:lineRule="auto"/>
        <w:tabs>
          <w:tab w:val="left" w:pos="9355" w:leader="none"/>
        </w:tabs>
        <w:rPr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- </w:t>
      </w:r>
      <w:r>
        <w:rPr>
          <w:bCs/>
          <w:color w:val="auto"/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Схему </w:t>
      </w:r>
      <w:r>
        <w:rPr>
          <w:bCs/>
          <w:color w:val="auto"/>
          <w:sz w:val="24"/>
          <w:szCs w:val="24"/>
        </w:rPr>
        <w:t xml:space="preserve">приложени</w:t>
      </w:r>
      <w:r>
        <w:rPr>
          <w:bCs/>
          <w:color w:val="auto"/>
          <w:sz w:val="24"/>
          <w:szCs w:val="24"/>
        </w:rPr>
        <w:t xml:space="preserve">ем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2.23</w:t>
      </w:r>
      <w:r>
        <w:rPr>
          <w:bCs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</w:t>
      </w:r>
      <w:r>
        <w:rPr>
          <w:sz w:val="24"/>
          <w:szCs w:val="24"/>
        </w:rPr>
        <w:t xml:space="preserve">приложени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постановлению.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</w:t>
      </w:r>
      <w:r>
        <w:rPr>
          <w:sz w:val="24"/>
          <w:szCs w:val="24"/>
        </w:rPr>
        <w:t xml:space="preserve">ает в силу после его подписания.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  <w:sz w:val="24"/>
          <w:szCs w:val="24"/>
        </w:rPr>
      </w:pPr>
      <w:r>
        <w:t xml:space="preserve">Лаврущик</w:t>
      </w:r>
      <w:r>
        <w:t xml:space="preserve"> С.С.</w:t>
      </w:r>
      <w:r>
        <w:t xml:space="preserve">, </w:t>
      </w:r>
      <w:r>
        <w:t xml:space="preserve">5-05-79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27.11</w:t>
      </w:r>
      <w:r>
        <w:rPr>
          <w:sz w:val="24"/>
          <w:szCs w:val="24"/>
        </w:rPr>
        <w:t xml:space="preserve">.2023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1749</w:t>
      </w:r>
      <w:bookmarkStart w:id="0" w:name="_GoBack"/>
      <w:r/>
      <w:bookmarkEnd w:id="0"/>
      <w:r/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 xml:space="preserve">2.23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к схеме размещения нестационарных 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торговых объектов на территории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</w:p>
    <w:p>
      <w:pPr>
        <w:jc w:val="center"/>
        <w:spacing w:line="276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Адрес: г. Заполярный, между домами № 12 и № 14б по ул. </w:t>
      </w:r>
      <w:r>
        <w:rPr>
          <w:sz w:val="24"/>
          <w:szCs w:val="24"/>
        </w:rPr>
        <w:t xml:space="preserve">Бабикова</w:t>
      </w:r>
      <w:r>
        <w:rPr>
          <w:sz w:val="24"/>
          <w:szCs w:val="24"/>
        </w:rPr>
      </w:r>
    </w:p>
    <w:p>
      <w:pPr>
        <w:jc w:val="center"/>
        <w:spacing w:line="276" w:lineRule="auto"/>
        <w:rPr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3127691</wp:posOffset>
                </wp:positionH>
                <wp:positionV relativeFrom="paragraph">
                  <wp:posOffset>1307148</wp:posOffset>
                </wp:positionV>
                <wp:extent cx="256460" cy="172990"/>
                <wp:effectExtent l="79693" t="53656" r="52387" b="52388"/>
                <wp:wrapNone/>
                <wp:docPr id="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7969858">
                          <a:off x="0" y="0"/>
                          <a:ext cx="256460" cy="1729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1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93056;o:allowoverlap:true;o:allowincell:true;mso-position-horizontal-relative:text;margin-left:246.27pt;mso-position-horizontal:absolute;mso-position-vertical-relative:text;margin-top:102.93pt;mso-position-vertical:absolute;width:20.19pt;height:13.62pt;mso-wrap-distance-left:9.00pt;mso-wrap-distance-top:0.00pt;mso-wrap-distance-right:9.00pt;mso-wrap-distance-bottom:0.00pt;rotation:299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1</w:t>
                      </w:r>
                      <w:r>
                        <w:rPr>
                          <w:sz w:val="10"/>
                          <w:szCs w:val="1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031230" cy="4686300"/>
                <wp:effectExtent l="0" t="0" r="7620" b="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31230" cy="468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74.90pt;height:369.0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szCs w:val="26"/>
        </w:rPr>
      </w:r>
    </w:p>
    <w:p>
      <w:pPr>
        <w:tabs>
          <w:tab w:val="left" w:pos="1950" w:leader="none"/>
        </w:tabs>
        <w:rPr>
          <w:szCs w:val="26"/>
        </w:rPr>
      </w:pPr>
      <w:r>
        <w:rPr>
          <w:szCs w:val="26"/>
        </w:rPr>
      </w:r>
      <w:r>
        <w:rPr>
          <w:szCs w:val="26"/>
        </w:rPr>
      </w:r>
    </w:p>
    <w:p>
      <w:pPr>
        <w:tabs>
          <w:tab w:val="left" w:pos="1950" w:leader="none"/>
        </w:tabs>
        <w:rPr>
          <w:szCs w:val="26"/>
        </w:rPr>
      </w:pPr>
      <w:r>
        <w:rPr>
          <w:szCs w:val="26"/>
        </w:rPr>
      </w:r>
      <w:r>
        <w:rPr>
          <w:szCs w:val="26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Условные обозначения: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25097</wp:posOffset>
                </wp:positionH>
                <wp:positionV relativeFrom="paragraph">
                  <wp:posOffset>74737</wp:posOffset>
                </wp:positionV>
                <wp:extent cx="365760" cy="278295"/>
                <wp:effectExtent l="0" t="0" r="15240" b="26670"/>
                <wp:wrapNone/>
                <wp:docPr id="4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5760" cy="278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1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3" o:spt="1" type="#_x0000_t1" style="position:absolute;z-index:251694080;o:allowoverlap:true;o:allowincell:true;mso-position-horizontal-relative:text;margin-left:1.98pt;mso-position-horizontal:absolute;mso-position-vertical-relative:text;margin-top:5.88pt;mso-position-vertical:absolute;width:28.80pt;height:21.91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1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</w:r>
    </w:p>
    <w:p>
      <w:pPr>
        <w:ind w:firstLine="709"/>
        <w:tabs>
          <w:tab w:val="left" w:pos="114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Место размещения нестационарного торгового объекта (</w:t>
      </w:r>
      <w:r>
        <w:rPr>
          <w:sz w:val="24"/>
          <w:szCs w:val="24"/>
        </w:rPr>
        <w:t xml:space="preserve">фудтрак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1"/>
    <w:next w:val="62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3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1"/>
    <w:next w:val="62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3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1"/>
    <w:next w:val="62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3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3"/>
    <w:link w:val="622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1"/>
    <w:next w:val="62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1"/>
    <w:next w:val="62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1"/>
    <w:next w:val="62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1"/>
    <w:next w:val="62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1"/>
    <w:next w:val="62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21"/>
    <w:next w:val="62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3"/>
    <w:link w:val="34"/>
    <w:uiPriority w:val="10"/>
    <w:rPr>
      <w:sz w:val="48"/>
      <w:szCs w:val="48"/>
    </w:rPr>
  </w:style>
  <w:style w:type="paragraph" w:styleId="36">
    <w:name w:val="Subtitle"/>
    <w:basedOn w:val="621"/>
    <w:next w:val="62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3"/>
    <w:link w:val="36"/>
    <w:uiPriority w:val="11"/>
    <w:rPr>
      <w:sz w:val="24"/>
      <w:szCs w:val="24"/>
    </w:rPr>
  </w:style>
  <w:style w:type="paragraph" w:styleId="38">
    <w:name w:val="Quote"/>
    <w:basedOn w:val="621"/>
    <w:next w:val="62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1"/>
    <w:next w:val="62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3"/>
    <w:link w:val="42"/>
    <w:uiPriority w:val="99"/>
  </w:style>
  <w:style w:type="paragraph" w:styleId="44">
    <w:name w:val="Footer"/>
    <w:basedOn w:val="62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3"/>
    <w:link w:val="44"/>
    <w:uiPriority w:val="99"/>
  </w:style>
  <w:style w:type="paragraph" w:styleId="46">
    <w:name w:val="Caption"/>
    <w:basedOn w:val="621"/>
    <w:next w:val="6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3"/>
    <w:uiPriority w:val="99"/>
    <w:unhideWhenUsed/>
    <w:rPr>
      <w:vertAlign w:val="superscript"/>
    </w:rPr>
  </w:style>
  <w:style w:type="paragraph" w:styleId="178">
    <w:name w:val="endnote text"/>
    <w:basedOn w:val="62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3"/>
    <w:uiPriority w:val="99"/>
    <w:semiHidden/>
    <w:unhideWhenUsed/>
    <w:rPr>
      <w:vertAlign w:val="superscript"/>
    </w:rPr>
  </w:style>
  <w:style w:type="paragraph" w:styleId="181">
    <w:name w:val="toc 1"/>
    <w:basedOn w:val="621"/>
    <w:next w:val="62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1"/>
    <w:next w:val="62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1"/>
    <w:next w:val="62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1"/>
    <w:next w:val="62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1"/>
    <w:next w:val="62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1"/>
    <w:next w:val="62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1"/>
    <w:next w:val="62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1"/>
    <w:next w:val="62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1"/>
    <w:next w:val="62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1"/>
    <w:next w:val="621"/>
    <w:uiPriority w:val="99"/>
    <w:unhideWhenUsed/>
    <w:pPr>
      <w:spacing w:after="0" w:afterAutospacing="0"/>
    </w:pPr>
  </w:style>
  <w:style w:type="paragraph" w:styleId="62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22">
    <w:name w:val="Heading 4"/>
    <w:basedOn w:val="621"/>
    <w:next w:val="621"/>
    <w:link w:val="626"/>
    <w:qFormat/>
    <w:pPr>
      <w:ind w:firstLine="709"/>
      <w:keepNext/>
      <w:outlineLvl w:val="3"/>
    </w:pPr>
    <w:rPr>
      <w:sz w:val="28"/>
    </w:rPr>
  </w:style>
  <w:style w:type="character" w:styleId="623" w:default="1">
    <w:name w:val="Default Paragraph Font"/>
    <w:uiPriority w:val="1"/>
    <w:semiHidden/>
    <w:unhideWhenUsed/>
  </w:style>
  <w:style w:type="table" w:styleId="6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5" w:default="1">
    <w:name w:val="No List"/>
    <w:uiPriority w:val="99"/>
    <w:semiHidden/>
    <w:unhideWhenUsed/>
  </w:style>
  <w:style w:type="character" w:styleId="626" w:customStyle="1">
    <w:name w:val="Заголовок 4 Знак"/>
    <w:basedOn w:val="623"/>
    <w:link w:val="62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627">
    <w:name w:val="Table Grid"/>
    <w:basedOn w:val="62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28">
    <w:name w:val="List Paragraph"/>
    <w:basedOn w:val="621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629">
    <w:name w:val="Balloon Text"/>
    <w:basedOn w:val="621"/>
    <w:link w:val="630"/>
    <w:uiPriority w:val="99"/>
    <w:semiHidden/>
    <w:unhideWhenUsed/>
    <w:rPr>
      <w:rFonts w:ascii="Tahoma" w:hAnsi="Tahoma" w:cs="Tahoma"/>
      <w:sz w:val="16"/>
      <w:szCs w:val="16"/>
    </w:rPr>
  </w:style>
  <w:style w:type="character" w:styleId="630" w:customStyle="1">
    <w:name w:val="Текст выноски Знак"/>
    <w:basedOn w:val="623"/>
    <w:link w:val="62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table" w:styleId="631" w:customStyle="1">
    <w:name w:val="Сетка таблицы1"/>
    <w:basedOn w:val="624"/>
    <w:next w:val="627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32">
    <w:name w:val="Body Text 2"/>
    <w:basedOn w:val="621"/>
    <w:link w:val="633"/>
    <w:uiPriority w:val="99"/>
    <w:unhideWhenUsed/>
    <w:pPr>
      <w:spacing w:after="120" w:line="480" w:lineRule="auto"/>
    </w:pPr>
  </w:style>
  <w:style w:type="character" w:styleId="633" w:customStyle="1">
    <w:name w:val="Основной текст 2 Знак"/>
    <w:basedOn w:val="623"/>
    <w:link w:val="632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34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635">
    <w:name w:val="Hyperlink"/>
    <w:basedOn w:val="623"/>
    <w:uiPriority w:val="99"/>
    <w:unhideWhenUsed/>
    <w:rPr>
      <w:color w:val="0000ff" w:themeColor="hyperlink"/>
      <w:u w:val="single"/>
    </w:rPr>
  </w:style>
  <w:style w:type="table" w:styleId="636" w:customStyle="1">
    <w:name w:val="Сетка таблицы2"/>
    <w:basedOn w:val="624"/>
    <w:next w:val="627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4585A-2500-4CE1-AFE1-BC1C297BF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3</cp:revision>
  <dcterms:created xsi:type="dcterms:W3CDTF">2023-12-04T11:18:00Z</dcterms:created>
  <dcterms:modified xsi:type="dcterms:W3CDTF">2024-02-15T13:40:40Z</dcterms:modified>
</cp:coreProperties>
</file>