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 w:line="240" w:lineRule="auto"/>
        <w:framePr w:wrap="auto" w:vAnchor="page" w:hAnchor="margin" w:y="1"/>
      </w:pPr>
      <w:r>
        <w:t xml:space="preserve"> </w:t>
      </w:r>
      <w:r>
        <w:t xml:space="preserve"> </w:t>
      </w:r>
      <w:r>
        <w:t xml:space="preserve"> </w:t>
      </w:r>
      <w:r>
        <w:t xml:space="preserve"> </w:t>
      </w:r>
      <w:r>
        <w:t xml:space="preserve"> </w:t>
      </w:r>
      <w:r/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/>
      <w:bookmarkStart w:id="0" w:name="Par29"/>
      <w:r/>
      <w:bookmarkStart w:id="1" w:name="Par1"/>
      <w:r/>
      <w:bookmarkStart w:id="2" w:name="Par36"/>
      <w:r/>
      <w:bookmarkStart w:id="3" w:name="Par49"/>
      <w:r/>
      <w:bookmarkEnd w:id="0"/>
      <w:r/>
      <w:bookmarkEnd w:id="1"/>
      <w:r/>
      <w:bookmarkEnd w:id="2"/>
      <w:r/>
      <w:bookmarkEnd w:id="3"/>
      <w:r/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3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1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от 28.11.2023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  <w:t xml:space="preserve"> № 1753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п.г.т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. Никель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О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 внесении изменений в муниципальную программу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 Печенгского муниципального округа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«Культура» 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на 2023 - 2025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 годы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, 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утвержденную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 постановлением администрации 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br/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Печенгс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кого муниципального округа от 03.11.2022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 № 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1494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Cs/>
          <w:sz w:val="20"/>
          <w:szCs w:val="20"/>
          <w:lang w:eastAsia="ru-RU"/>
        </w:rPr>
      </w:pPr>
      <w:r>
        <w:rPr>
          <w:rFonts w:ascii="Times New Roman" w:hAnsi="Times New Roman" w:cs="Times New Roman"/>
          <w:bCs/>
          <w:sz w:val="20"/>
          <w:szCs w:val="20"/>
          <w:lang w:eastAsia="ru-RU"/>
        </w:rPr>
      </w:r>
      <w:r>
        <w:rPr>
          <w:rFonts w:ascii="Times New Roman" w:hAnsi="Times New Roman" w:cs="Times New Roman"/>
          <w:bCs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Cs/>
          <w:sz w:val="20"/>
          <w:szCs w:val="20"/>
          <w:lang w:eastAsia="ru-RU"/>
        </w:rPr>
      </w:pPr>
      <w:r>
        <w:rPr>
          <w:rFonts w:ascii="Times New Roman" w:hAnsi="Times New Roman" w:cs="Times New Roman"/>
          <w:bCs/>
          <w:sz w:val="20"/>
          <w:szCs w:val="20"/>
          <w:lang w:eastAsia="ru-RU"/>
        </w:rPr>
      </w:r>
      <w:r>
        <w:rPr>
          <w:rFonts w:ascii="Times New Roman" w:hAnsi="Times New Roman" w:cs="Times New Roman"/>
          <w:bCs/>
          <w:sz w:val="20"/>
          <w:szCs w:val="20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12"/>
          <w:between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Руководствуясь статьей 179 Бюджетного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кодекса Российской Федерации, Порядком разработки,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16.08.2021 № 838, в целях повышени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я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эффективности использования бюджетных средств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 w:cs="Times New Roman"/>
          <w:sz w:val="24"/>
          <w:szCs w:val="18"/>
          <w:lang w:eastAsia="ru-RU"/>
        </w:rPr>
      </w:pPr>
      <w:r>
        <w:rPr>
          <w:rFonts w:ascii="Times New Roman" w:hAnsi="Times New Roman" w:cs="Times New Roman"/>
          <w:sz w:val="24"/>
          <w:szCs w:val="18"/>
          <w:lang w:eastAsia="ru-RU"/>
        </w:rPr>
      </w:r>
      <w:r>
        <w:rPr>
          <w:rFonts w:ascii="Times New Roman" w:hAnsi="Times New Roman" w:cs="Times New Roman"/>
          <w:sz w:val="24"/>
          <w:szCs w:val="1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18"/>
          <w:lang w:eastAsia="ru-RU"/>
        </w:rPr>
      </w:pPr>
      <w:r>
        <w:rPr>
          <w:rFonts w:ascii="Times New Roman" w:hAnsi="Times New Roman" w:cs="Times New Roman"/>
          <w:sz w:val="24"/>
          <w:szCs w:val="18"/>
          <w:lang w:eastAsia="ru-RU"/>
        </w:rPr>
      </w:r>
      <w:r>
        <w:rPr>
          <w:rFonts w:ascii="Times New Roman" w:hAnsi="Times New Roman" w:cs="Times New Roman"/>
          <w:sz w:val="24"/>
          <w:szCs w:val="18"/>
          <w:lang w:eastAsia="ru-RU"/>
        </w:rPr>
      </w:r>
    </w:p>
    <w:p>
      <w:pPr>
        <w:ind w:right="-5" w:firstLine="705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1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Внести в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муниципальную программу Печенгского муниципа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льного округа «Культура» на 2023-2025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годы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, утвержденную постановлением 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администрации Печенгс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кого муниципал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ьного округа от 03.11.2022 № 1494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(в редакции постановления администрации Печенгс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кого муниципального округа от 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13.10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.2023 № 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1513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)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(далее –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рограмма), следующие изменения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:</w:t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right="-5" w:firstLine="705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строку «Показатели программы» в паспорте Программы д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ополнить пунктом 24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в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следующего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содержания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:</w:t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tbl>
      <w:tblPr>
        <w:tblW w:w="4982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186"/>
        <w:gridCol w:w="7285"/>
      </w:tblGrid>
      <w:tr>
        <w:tblPrEx/>
        <w:trPr>
          <w:jc w:val="center"/>
          <w:trHeight w:val="314"/>
        </w:trPr>
        <w:tc>
          <w:tcPr>
            <w:tcW w:w="1154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84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4.Создание пространства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Сопки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емья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ind w:right="-5" w:firstLine="705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right="-5" w:firstLine="705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ст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року «Финансовое обеспечение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под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программы» паспорта П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рограммы изложить в следующей редакции:</w:t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tbl>
      <w:tblPr>
        <w:tblW w:w="4982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243"/>
        <w:gridCol w:w="7228"/>
      </w:tblGrid>
      <w:tr>
        <w:tblPrEx/>
        <w:trPr>
          <w:jc w:val="center"/>
          <w:trHeight w:val="542"/>
        </w:trPr>
        <w:tc>
          <w:tcPr>
            <w:tcW w:w="1184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«Финансовое обеспечение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программы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81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программе: </w:t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 xml:space="preserve">1 035</w:t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 xml:space="preserve"> 429,0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8068,3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8068,3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0,0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ОБ: 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528491,4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231955,3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140314,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156222,0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470315,3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159319,7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156184,2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154811,4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ВБС: 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28554,0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16104,0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6225,0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6225,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jc w:val="both"/>
        <w:spacing w:after="0" w:line="240" w:lineRule="auto"/>
        <w:tabs>
          <w:tab w:val="left" w:pos="2595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right="-5" w:firstLine="705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ст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року «Ответственный исполнитель программы» паспорта П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рограммы изложить в следующей редакции:</w:t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tbl>
      <w:tblPr>
        <w:tblW w:w="5000" w:type="pct"/>
        <w:jc w:val="center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2108"/>
        <w:gridCol w:w="7397"/>
      </w:tblGrid>
      <w:tr>
        <w:tblPrEx/>
        <w:trPr>
          <w:jc w:val="center"/>
          <w:trHeight w:val="27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09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91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Отдел культуры, спорта и молодежной политики администрации Пе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ченгского муниципального округа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(далее – </w:t>
            </w:r>
            <w:r>
              <w:rPr>
                <w:rFonts w:ascii="Times New Roman" w:hAnsi="Times New Roman" w:eastAsia="Times New Roman" w:cs="Times New Roman"/>
                <w:sz w:val="24"/>
                <w:szCs w:val="20"/>
                <w:lang w:eastAsia="ru-RU"/>
              </w:rPr>
              <w:t xml:space="preserve">отдел </w:t>
            </w:r>
            <w:r>
              <w:rPr>
                <w:rFonts w:ascii="Times New Roman" w:hAnsi="Times New Roman" w:eastAsia="Times New Roman" w:cs="Times New Roman"/>
                <w:sz w:val="24"/>
                <w:szCs w:val="20"/>
                <w:lang w:eastAsia="ru-RU"/>
              </w:rPr>
              <w:t xml:space="preserve">КСиМП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jc w:val="both"/>
        <w:spacing w:after="0" w:line="240" w:lineRule="auto"/>
        <w:tabs>
          <w:tab w:val="left" w:pos="2595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2149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таблицу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раздела 2 «Основные цели и задачи программы с указанием сроков и этапов ее реализации, а также перечень основных мероприятий и показателей»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Программы изложить в следующей редакции: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tbl>
      <w:tblPr>
        <w:tblW w:w="9498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1984"/>
        <w:gridCol w:w="709"/>
        <w:gridCol w:w="851"/>
        <w:gridCol w:w="850"/>
        <w:gridCol w:w="851"/>
        <w:gridCol w:w="850"/>
        <w:gridCol w:w="851"/>
        <w:gridCol w:w="1701"/>
      </w:tblGrid>
      <w:tr>
        <w:tblPrEx/>
        <w:trPr>
          <w:trHeight w:val="227"/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«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№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/п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Цели, задачи, показатели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Ед. изм.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Значение показателя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Источник данных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45"/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vMerge w:val="continue"/>
            <w:textDirection w:val="lrTb"/>
            <w:noWrap w:val="false"/>
          </w:tcPr>
          <w:p>
            <w:pPr>
              <w:ind w:firstLine="709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ind w:firstLine="709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отчёт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оценка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Годы реализации Программы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Merge w:val="continue"/>
            <w:textDirection w:val="lrTb"/>
            <w:noWrap w:val="false"/>
          </w:tcPr>
          <w:p>
            <w:pPr>
              <w:ind w:firstLine="709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</w:tr>
      <w:tr>
        <w:tblPrEx/>
        <w:trPr>
          <w:gridAfter w:val="1"/>
          <w:trHeight w:val="235"/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vMerge w:val="continue"/>
            <w:textDirection w:val="lrTb"/>
            <w:noWrap w:val="false"/>
          </w:tcPr>
          <w:p>
            <w:pPr>
              <w:ind w:firstLine="709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ind w:firstLine="709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202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202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202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3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202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4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202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3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left="-4"/>
              <w:jc w:val="center"/>
              <w:spacing w:after="0" w:line="240" w:lineRule="auto"/>
              <w:tabs>
                <w:tab w:val="left" w:pos="280" w:leader="none"/>
              </w:tabs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4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Показатели цели муниципальной программы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</w:tr>
      <w:tr>
        <w:tblPrEx/>
        <w:trPr>
          <w:trHeight w:val="23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left="-4"/>
              <w:jc w:val="center"/>
              <w:spacing w:after="0" w:line="240" w:lineRule="auto"/>
              <w:tabs>
                <w:tab w:val="left" w:pos="28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ind w:left="-4"/>
              <w:jc w:val="center"/>
              <w:spacing w:after="0" w:line="240" w:lineRule="auto"/>
              <w:tabs>
                <w:tab w:val="left" w:pos="28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1.1.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47" w:type="dxa"/>
            <w:textDirection w:val="lrTb"/>
            <w:noWrap w:val="false"/>
          </w:tcPr>
          <w:p>
            <w:pPr>
              <w:ind w:left="-4"/>
              <w:jc w:val="both"/>
              <w:spacing w:after="0" w:line="240" w:lineRule="auto"/>
              <w:tabs>
                <w:tab w:val="left" w:pos="28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Обеспечение творческого и культурного развития личности, участия населения в культурной жизни Печенгского муниципального округа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23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2.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47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Показатели мероприятий муниципальной программы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3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2.1.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47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Подпрограмма 1. «Развитие учреждений культуры»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6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1.1.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Выполнение муниципального задания учреждениями культуры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%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Годовые отчеты МБО, Музея,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«Октябрь»,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ДК «Восход»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КДЦ</w:t>
            </w: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«Платформа»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45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1.2.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клубных формирований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Ед.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53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53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53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54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55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Отчёты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«Октябрь»,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ДК «Восход»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КДЦ</w:t>
            </w: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«Платформа»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45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1.3.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культурно-массовых мероприятий, организованных учреждениями культуры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Шт.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224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224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224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225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226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Отчёты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«Октябрь»,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ДК «Восход»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КДЦ</w:t>
            </w: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«Платформа»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татотчет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7-НК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45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1.4.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ind w:right="22"/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Число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посетителей (зрителей) культурно-массовых мероприятий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Чел.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39774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4000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40200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40350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40500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Отчёты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ДК «Октябрь»,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ДК «Восход», КДЦ «Платформа»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татотчет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7- НК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45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1.5.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ind w:right="22"/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Уровень удовлетворенности населения округа качеством предоставления услуг учреждениями культуры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%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95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95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95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96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97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Отчёты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«Октябрь»,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ДК «Восход»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КДЦ</w:t>
            </w: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«Платформа»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45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1.6.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ind w:right="22"/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книговыдач в  библиотеках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Шт.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24955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24960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450000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470000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480000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Годовые отчеты МБО,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статотчет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6-НК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45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1.7.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Число посетителей музея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Чел.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1000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1000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2650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2700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2700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Отчеты Музея,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статотчет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8-НК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45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1.8.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предметов основного музейного фонда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Ед.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1263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1285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1490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1500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1500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Отчеты Музея,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татотчет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8-НК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45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1.9.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Выполнение указов Президента Российской Федерации по оплате труда и начислениям на выплаты по оплате труда работникам  муниципальных учреждений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Да/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нет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Годовые отчеты МБО, Музея,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«Октябрь»,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ДК «Восход»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КДЦ</w:t>
            </w: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«Платформа»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45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1.10.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Обеспечение развития и укрепления материально-технической базы учреждений культуры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Да/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нет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Отчеты  МБО; Музей; 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                     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 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ДК «Октябрь»;  КДЦ «Платформа»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4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1.11.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Проведение текущих ремонтов в учреждениях культуры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Да/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нет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Отчеты  МБО; Музей;  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                  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ДК «Октябрь»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4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1.12.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Проведение капитального ремонта здания ДК «Восход»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Да/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нет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Отчет  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ДК «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Восход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4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2.1.13.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приобретенного специализированного автотранспорта для обслуживания населения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Шт.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Отчет исполнителей программы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4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2.1.14.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Комплектование книжных фондов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Да/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нет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Отчет исполнителей программы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78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2.1.15.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Создание пространства 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Сопки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емья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»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Да/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нет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Отчет исполнителей программы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6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2.2.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47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Подпрограмма 2. «Развитие системы дополнительного образования в сфере культуры и искусства»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45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2.1.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Выполнение муниципального задания учреждениями дополнительного образования в сфере культуры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 искусства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%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line="240" w:lineRule="auto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Отчеты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исполнителей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программы</w:t>
            </w:r>
            <w:r/>
          </w:p>
        </w:tc>
      </w:tr>
      <w:tr>
        <w:tblPrEx/>
        <w:trPr>
          <w:trHeight w:val="21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2.2.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Доля детей, осваивающих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дополнительные общеразвивающие программы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%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right="22"/>
              <w:jc w:val="center"/>
              <w:spacing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35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25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line="240" w:lineRule="auto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Отчеты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исполнителей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программы</w:t>
            </w:r>
            <w:r/>
          </w:p>
        </w:tc>
      </w:tr>
      <w:tr>
        <w:tblPrEx/>
        <w:trPr>
          <w:trHeight w:val="26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2.3.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Доля детей, осваивающих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дополнительные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предпрофессиональные  программы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%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right="22"/>
              <w:jc w:val="center"/>
              <w:spacing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65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70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75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line="240" w:lineRule="auto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Отчеты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исполнителей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программы</w:t>
            </w:r>
            <w:r/>
          </w:p>
        </w:tc>
      </w:tr>
      <w:tr>
        <w:tblPrEx/>
        <w:trPr>
          <w:trHeight w:val="45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2.4.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Выполнение указов Президента Российской Федерации по оплате труда и начислениям на выплаты по оплате труда работникам  муниципальных учреждений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Да/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нет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line="240" w:lineRule="auto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Отчеты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исполнителей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программы</w:t>
            </w:r>
            <w:r/>
          </w:p>
        </w:tc>
      </w:tr>
      <w:tr>
        <w:tblPrEx/>
        <w:trPr>
          <w:trHeight w:val="21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2.5.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Обеспечение развития и укрепления материально-технической базы учреждений дополнительного образования детей в сфере культуры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 искусства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Да/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нет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Отчеты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исполнителей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программы</w:t>
            </w:r>
            <w:r/>
          </w:p>
        </w:tc>
      </w:tr>
      <w:tr>
        <w:tblPrEx/>
        <w:trPr>
          <w:trHeight w:val="21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2.2.6.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Проведение текущих ремонтов в учреждениях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дополнительного образования в сфере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культуры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 искусства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Да/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нет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Отчеты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исполнителей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программы</w:t>
            </w:r>
            <w:r/>
          </w:p>
        </w:tc>
      </w:tr>
      <w:tr>
        <w:tblPrEx/>
        <w:trPr>
          <w:trHeight w:val="21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2.2.7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Число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участников творческих конкурсов, фестивалей, выставок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Чел.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650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660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660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Отчеты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исполнителей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программы</w:t>
            </w:r>
            <w:r/>
          </w:p>
        </w:tc>
      </w:tr>
      <w:tr>
        <w:tblPrEx/>
        <w:trPr>
          <w:trHeight w:val="21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2.3.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47" w:type="dxa"/>
            <w:textDirection w:val="lrTb"/>
            <w:noWrap w:val="false"/>
          </w:tcPr>
          <w:p>
            <w:pPr>
              <w:ind w:right="22"/>
              <w:spacing w:after="0" w:line="240" w:lineRule="auto"/>
              <w:widowControl w:val="off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Подпрограмма 3. «Развитие культуры»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</w:tr>
      <w:tr>
        <w:tblPrEx/>
        <w:trPr>
          <w:trHeight w:val="21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3.1.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культурно-массовых, праздничных мероприятий и мероприятий, посвященных памятным датам Российской Федерации, Мурманской области, Печенгского муниципального округа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Шт.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16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16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Не менее 36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Не менее 37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Не менее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38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line="240" w:lineRule="auto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Отчеты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исполнителей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программы</w:t>
            </w:r>
            <w:r/>
          </w:p>
        </w:tc>
      </w:tr>
      <w:tr>
        <w:tblPrEx/>
        <w:trPr>
          <w:trHeight w:val="21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2.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3.2.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Количество мероприятий для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лиц с ограниченными возможностями здоровья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Шт.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3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3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Не менее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3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Не менее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4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Не менее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5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line="240" w:lineRule="auto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Отчеты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исполнителей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программы</w:t>
            </w:r>
            <w:r/>
          </w:p>
        </w:tc>
      </w:tr>
      <w:tr>
        <w:tblPrEx/>
        <w:trPr>
          <w:trHeight w:val="21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2.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3.3.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ind w:right="22"/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Количество благоустроенных памятников культурного наследия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Шт.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1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1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Не менее 1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Не менее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1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Отчет отдела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СиМП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»;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</w:tbl>
    <w:p>
      <w:pPr>
        <w:jc w:val="both"/>
        <w:spacing w:after="0" w:line="240" w:lineRule="auto"/>
        <w:tabs>
          <w:tab w:val="left" w:pos="2595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567" w:leader="none"/>
          <w:tab w:val="left" w:pos="851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строку «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Показатели подпрограммы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» паспорта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одпрограммы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1 «Развитие учреждений культуры» (далее – Подпрограмма 1)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дополнить пунктом 15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сле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дующего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содержания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:</w:t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tbl>
      <w:tblPr>
        <w:tblW w:w="9391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2127"/>
        <w:gridCol w:w="7264"/>
      </w:tblGrid>
      <w:tr>
        <w:tblPrEx/>
        <w:trPr>
          <w:trHeight w:val="60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212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64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«15. Создание пространства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Сопки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емья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»»;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ind w:firstLine="709"/>
        <w:jc w:val="both"/>
        <w:spacing w:after="0" w:line="240" w:lineRule="auto"/>
        <w:tabs>
          <w:tab w:val="left" w:pos="567" w:leader="none"/>
          <w:tab w:val="left" w:pos="851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567" w:leader="none"/>
          <w:tab w:val="left" w:pos="851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строку «Финансовое обеспечение подпрограммы» паспорта Подпрограммы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1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изложить в следующей редакции:</w:t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tbl>
      <w:tblPr>
        <w:tblW w:w="4941" w:type="pct"/>
        <w:jc w:val="center"/>
        <w:tblInd w:w="3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205"/>
        <w:gridCol w:w="7188"/>
      </w:tblGrid>
      <w:tr>
        <w:tblPrEx/>
        <w:trPr>
          <w:jc w:val="center"/>
          <w:trHeight w:val="542"/>
        </w:trPr>
        <w:tc>
          <w:tcPr>
            <w:tcW w:w="1174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«Финансовое обеспечение подпрограммы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82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 по подпрограмме:</w:t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 xml:space="preserve">694 400,4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8068,3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8068,3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0,0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413697,8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197679,2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102215,0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год: 113803,6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244830,3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84073,0</w:t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80904,4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 79852,9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ВБС: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27804,0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5854,0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5975,0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5975,0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</w:tr>
    </w:tbl>
    <w:p>
      <w:pPr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строк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и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1.1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.1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«Итого по мероприятию 1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»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таблицы 1 «Перечень мероприятий подпрограммы с объёмом финансирования» к Подпрограмме 1 изложить в следующей редакции:</w:t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1418"/>
        <w:gridCol w:w="709"/>
        <w:gridCol w:w="851"/>
        <w:gridCol w:w="992"/>
        <w:gridCol w:w="992"/>
        <w:gridCol w:w="992"/>
        <w:gridCol w:w="1132"/>
        <w:gridCol w:w="1419"/>
      </w:tblGrid>
      <w:tr>
        <w:tblPrEx/>
        <w:trPr>
          <w:trHeight w:val="144"/>
        </w:trPr>
        <w:tc>
          <w:tcPr>
            <w:shd w:val="clear" w:color="auto" w:fill="auto"/>
            <w:tcW w:w="455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«1.1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57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Организация предоставления услуг (работ)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ФБ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58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МБО; Музей;     ДК «Октябрь»;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ДК «Восход»;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КДЦ «Платформа»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44"/>
        </w:trPr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57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ОБ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ind w:left="-116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5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44"/>
        </w:trPr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57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МБ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202659,8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66679,0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68821,1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67159,7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5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1"/>
        </w:trPr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57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ВБС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17804,0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5854,0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5975,0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5975,0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5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44"/>
        </w:trPr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57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220463,8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72533,0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74796,1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73134,7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5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94"/>
        </w:trPr>
        <w:tc>
          <w:tcPr>
            <w:gridSpan w:val="3"/>
            <w:shd w:val="clear" w:color="auto" w:fill="auto"/>
            <w:tcW w:w="1591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 по мероприятию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ind w:left="-92" w:right="-107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05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58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61"/>
        </w:trPr>
        <w:tc>
          <w:tcPr>
            <w:gridSpan w:val="3"/>
            <w:shd w:val="clear" w:color="auto" w:fill="auto"/>
            <w:tcW w:w="159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307977,0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91958,4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102215,0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05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113803,6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5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44"/>
        </w:trPr>
        <w:tc>
          <w:tcPr>
            <w:gridSpan w:val="3"/>
            <w:shd w:val="clear" w:color="auto" w:fill="auto"/>
            <w:tcW w:w="159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218869,3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71519,0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74200,9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05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73149,4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5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89"/>
        </w:trPr>
        <w:tc>
          <w:tcPr>
            <w:gridSpan w:val="3"/>
            <w:shd w:val="clear" w:color="auto" w:fill="auto"/>
            <w:tcW w:w="159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17804,0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5854,0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5975,0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05" w:type="pct"/>
            <w:vAlign w:val="center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5975,0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5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44"/>
        </w:trPr>
        <w:tc>
          <w:tcPr>
            <w:gridSpan w:val="3"/>
            <w:shd w:val="clear" w:color="auto" w:fill="auto"/>
            <w:tcW w:w="159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544650,3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169331,4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182390,9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05" w:type="pct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192928,0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»;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5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</w:tbl>
    <w:p>
      <w:pPr>
        <w:jc w:val="both"/>
        <w:spacing w:after="0" w:line="240" w:lineRule="auto"/>
        <w:tabs>
          <w:tab w:val="left" w:pos="851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851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строк</w:t>
      </w:r>
      <w:r>
        <w:rPr>
          <w:rFonts w:ascii="Times New Roman" w:hAnsi="Times New Roman" w:cs="Times New Roman"/>
          <w:sz w:val="24"/>
          <w:szCs w:val="24"/>
        </w:rPr>
        <w:t xml:space="preserve">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1.2.3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таблицы 1 «Перечень мероприятий подпрограммы с объёмом финансирования» к Подпрограмме 1 изложить в следующей редакции:</w:t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1559"/>
        <w:gridCol w:w="709"/>
        <w:gridCol w:w="850"/>
        <w:gridCol w:w="992"/>
        <w:gridCol w:w="992"/>
        <w:gridCol w:w="994"/>
        <w:gridCol w:w="1134"/>
        <w:gridCol w:w="1276"/>
      </w:tblGrid>
      <w:tr>
        <w:tblPrEx/>
        <w:trPr>
          <w:trHeight w:val="144"/>
        </w:trPr>
        <w:tc>
          <w:tcPr>
            <w:shd w:val="clear" w:color="auto" w:fill="auto"/>
            <w:tcW w:w="455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«1.2.3.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833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Создание условий, отвечающих современным требованиям, в ДК «Восход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37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2023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ФБ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682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ДК «Восход»;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144"/>
        </w:trPr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833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ОБ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103170,6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103170,6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682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144"/>
        </w:trPr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833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МБ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5079,4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5079,4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682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144"/>
        </w:trPr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833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ВБС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682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439"/>
        </w:trPr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833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Итого: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108250,0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108250,0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82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</w:tbl>
    <w:p>
      <w:pPr>
        <w:jc w:val="both"/>
        <w:spacing w:after="0" w:line="240" w:lineRule="auto"/>
        <w:tabs>
          <w:tab w:val="left" w:pos="851" w:leader="none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ind w:firstLine="709"/>
        <w:jc w:val="both"/>
        <w:spacing w:after="0" w:line="240" w:lineRule="auto"/>
        <w:tabs>
          <w:tab w:val="left" w:pos="851" w:leader="none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- таблиц</w:t>
      </w:r>
      <w:r>
        <w:rPr>
          <w:rFonts w:ascii="Times New Roman" w:hAnsi="Times New Roman" w:cs="Times New Roman"/>
          <w:sz w:val="24"/>
          <w:szCs w:val="24"/>
        </w:rPr>
        <w:t xml:space="preserve">у</w:t>
      </w:r>
      <w:r>
        <w:rPr>
          <w:rFonts w:ascii="Times New Roman" w:hAnsi="Times New Roman" w:cs="Times New Roman"/>
          <w:sz w:val="24"/>
          <w:szCs w:val="24"/>
        </w:rPr>
        <w:t xml:space="preserve"> 1 «Перечень мероприятий подпрограммы с объёмом финансирования» к Подпрограмме 1 </w:t>
      </w:r>
      <w:r>
        <w:rPr>
          <w:rFonts w:ascii="Times New Roman" w:hAnsi="Times New Roman" w:cs="Times New Roman"/>
          <w:sz w:val="24"/>
          <w:szCs w:val="24"/>
        </w:rPr>
        <w:t xml:space="preserve">дополнитель</w:t>
      </w:r>
      <w:r>
        <w:rPr>
          <w:rFonts w:ascii="Times New Roman" w:hAnsi="Times New Roman" w:cs="Times New Roman"/>
          <w:sz w:val="24"/>
          <w:szCs w:val="24"/>
        </w:rPr>
        <w:t xml:space="preserve"> строкой 1.2.6 следующего содержания</w:t>
      </w:r>
      <w:r>
        <w:rPr>
          <w:rFonts w:ascii="Times New Roman" w:hAnsi="Times New Roman" w:cs="Times New Roman"/>
          <w:sz w:val="24"/>
          <w:szCs w:val="24"/>
        </w:rPr>
        <w:t xml:space="preserve">:</w:t>
      </w:r>
      <w:r>
        <w:rPr>
          <w:rFonts w:ascii="Times New Roman" w:hAnsi="Times New Roman" w:cs="Times New Roman"/>
          <w:sz w:val="20"/>
          <w:szCs w:val="20"/>
        </w:rPr>
      </w:r>
    </w:p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1559"/>
        <w:gridCol w:w="709"/>
        <w:gridCol w:w="850"/>
        <w:gridCol w:w="994"/>
        <w:gridCol w:w="992"/>
        <w:gridCol w:w="992"/>
        <w:gridCol w:w="1134"/>
        <w:gridCol w:w="1276"/>
      </w:tblGrid>
      <w:tr>
        <w:tblPrEx/>
        <w:trPr>
          <w:trHeight w:val="201"/>
        </w:trPr>
        <w:tc>
          <w:tcPr>
            <w:shd w:val="clear" w:color="auto" w:fill="auto"/>
            <w:tcW w:w="455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«1.2.6.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833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  <w:t xml:space="preserve">Реализация проекта «</w:t>
            </w: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  <w:t xml:space="preserve">Сопки</w:t>
            </w: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  <w:t xml:space="preserve">.С</w:t>
            </w: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  <w:t xml:space="preserve">емья</w:t>
            </w: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79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2023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ФБ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682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МБО»;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234"/>
        </w:trPr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833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ОБ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682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137"/>
        </w:trPr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833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МБ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682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184"/>
        </w:trPr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833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ВБС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10000,0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10000,0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682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833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Итого: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10000,0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10000,0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82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</w:tbl>
    <w:p>
      <w:pPr>
        <w:jc w:val="both"/>
        <w:spacing w:after="0" w:line="240" w:lineRule="auto"/>
        <w:tabs>
          <w:tab w:val="left" w:pos="851" w:leader="none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ind w:firstLine="709"/>
        <w:jc w:val="both"/>
        <w:spacing w:after="0" w:line="240" w:lineRule="auto"/>
        <w:tabs>
          <w:tab w:val="left" w:pos="851" w:leader="none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- строк</w:t>
      </w:r>
      <w:r>
        <w:rPr>
          <w:rFonts w:ascii="Times New Roman" w:hAnsi="Times New Roman" w:cs="Times New Roman"/>
          <w:sz w:val="24"/>
          <w:szCs w:val="24"/>
        </w:rPr>
        <w:t xml:space="preserve">и</w:t>
      </w:r>
      <w:r>
        <w:rPr>
          <w:rFonts w:ascii="Times New Roman" w:hAnsi="Times New Roman" w:cs="Times New Roman"/>
          <w:sz w:val="24"/>
          <w:szCs w:val="24"/>
        </w:rPr>
        <w:t xml:space="preserve"> «Итого по мероприятию 2» и «Итого по подпрограмме 1» таблицы 1 «Перечень мероприятий подпрограммы с объёмом финансирования» к Подпрограмме 1 изложить в следующей редакции:</w:t>
      </w:r>
      <w:r>
        <w:rPr>
          <w:rFonts w:ascii="Times New Roman" w:hAnsi="Times New Roman" w:cs="Times New Roman"/>
          <w:sz w:val="20"/>
          <w:szCs w:val="20"/>
        </w:rPr>
      </w:r>
    </w:p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2977"/>
        <w:gridCol w:w="851"/>
        <w:gridCol w:w="992"/>
        <w:gridCol w:w="992"/>
        <w:gridCol w:w="992"/>
        <w:gridCol w:w="1134"/>
        <w:gridCol w:w="1419"/>
      </w:tblGrid>
      <w:tr>
        <w:tblPrEx/>
        <w:trPr>
          <w:trHeight w:val="261"/>
        </w:trPr>
        <w:tc>
          <w:tcPr>
            <w:shd w:val="clear" w:color="auto" w:fill="auto"/>
            <w:tcW w:w="1591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Итого по мероприятию 2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ФБ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8068,3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8068,3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0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758" w:type="pct"/>
            <w:vAlign w:val="center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261"/>
        </w:trPr>
        <w:tc>
          <w:tcPr>
            <w:shd w:val="clear" w:color="auto" w:fill="auto"/>
            <w:tcW w:w="1591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ОБ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105720,8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105720,8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0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758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261"/>
        </w:trPr>
        <w:tc>
          <w:tcPr>
            <w:shd w:val="clear" w:color="auto" w:fill="auto"/>
            <w:tcW w:w="1591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МБ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  <w:t xml:space="preserve">25961,0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  <w:t xml:space="preserve">12554,0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  <w:t xml:space="preserve">6703,5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0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  <w:t xml:space="preserve">6703,5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758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261"/>
        </w:trPr>
        <w:tc>
          <w:tcPr>
            <w:shd w:val="clear" w:color="auto" w:fill="auto"/>
            <w:tcW w:w="1591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ВБС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10000,0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10000,0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0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758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244"/>
        </w:trPr>
        <w:tc>
          <w:tcPr>
            <w:shd w:val="clear" w:color="auto" w:fill="auto"/>
            <w:tcW w:w="1591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Итого: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  <w:t xml:space="preserve">149750,1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  <w:t xml:space="preserve">136343,1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  <w:t xml:space="preserve">6703,5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0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  <w:t xml:space="preserve">6703,5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758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183"/>
        </w:trPr>
        <w:tc>
          <w:tcPr>
            <w:shd w:val="clear" w:color="auto" w:fill="auto"/>
            <w:tcW w:w="1591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Итого по подпрограмме 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ФБ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8068,3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8068,3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758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183"/>
        </w:trPr>
        <w:tc>
          <w:tcPr>
            <w:shd w:val="clear" w:color="auto" w:fill="auto"/>
            <w:tcW w:w="1591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ОБ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413697,8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197679,2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102215,0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113803,6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758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183"/>
        </w:trPr>
        <w:tc>
          <w:tcPr>
            <w:shd w:val="clear" w:color="auto" w:fill="auto"/>
            <w:tcW w:w="1591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МБ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244830,3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84073,0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80904,4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79852,9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758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183"/>
        </w:trPr>
        <w:tc>
          <w:tcPr>
            <w:shd w:val="clear" w:color="auto" w:fill="auto"/>
            <w:tcW w:w="1591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ВБС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27804,0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15854,0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5975,0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5975,0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758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132"/>
        </w:trPr>
        <w:tc>
          <w:tcPr>
            <w:shd w:val="clear" w:color="auto" w:fill="auto"/>
            <w:tcW w:w="1591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Итого: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694400,4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305674,5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189094,4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199631,5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»;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758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</w:tbl>
    <w:p>
      <w:pPr>
        <w:jc w:val="both"/>
        <w:spacing w:after="0" w:line="240" w:lineRule="auto"/>
        <w:tabs>
          <w:tab w:val="left" w:pos="851" w:leader="none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ind w:firstLine="709"/>
        <w:jc w:val="both"/>
        <w:spacing w:after="0" w:line="240" w:lineRule="auto"/>
        <w:tabs>
          <w:tab w:val="left" w:pos="851" w:leader="none"/>
        </w:tabs>
        <w:rPr>
          <w:rFonts w:ascii="Times New Roman" w:hAnsi="Times New Roman" w:cs="Times New Roman"/>
          <w:sz w:val="24"/>
          <w:szCs w:val="20"/>
        </w:rPr>
      </w:pPr>
      <w:r>
        <w:rPr>
          <w:rFonts w:ascii="Times New Roman" w:hAnsi="Times New Roman" w:cs="Times New Roman"/>
          <w:sz w:val="24"/>
          <w:szCs w:val="20"/>
        </w:rPr>
        <w:t xml:space="preserve">- строку 1.1.1 таблицы 2 «Перечень программных мероприятий</w:t>
      </w:r>
      <w:r>
        <w:rPr>
          <w:rFonts w:ascii="Times New Roman" w:hAnsi="Times New Roman" w:cs="Times New Roman"/>
          <w:sz w:val="24"/>
          <w:szCs w:val="20"/>
        </w:rPr>
        <w:t xml:space="preserve"> с показателями результативности выполнение мероприятий</w:t>
      </w:r>
      <w:r>
        <w:rPr>
          <w:rFonts w:ascii="Times New Roman" w:hAnsi="Times New Roman" w:cs="Times New Roman"/>
          <w:sz w:val="24"/>
          <w:szCs w:val="20"/>
        </w:rPr>
        <w:t xml:space="preserve">» к Подпрограмме 1 изложить в следующей редакции:</w:t>
      </w:r>
      <w:r>
        <w:rPr>
          <w:rFonts w:ascii="Times New Roman" w:hAnsi="Times New Roman" w:cs="Times New Roman"/>
          <w:sz w:val="24"/>
          <w:szCs w:val="20"/>
        </w:rPr>
      </w:r>
    </w:p>
    <w:tbl>
      <w:tblPr>
        <w:tblW w:w="9391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1134"/>
        <w:gridCol w:w="709"/>
        <w:gridCol w:w="2126"/>
        <w:gridCol w:w="709"/>
        <w:gridCol w:w="850"/>
        <w:gridCol w:w="851"/>
        <w:gridCol w:w="850"/>
        <w:gridCol w:w="1311"/>
      </w:tblGrid>
      <w:tr>
        <w:tblPrEx/>
        <w:trPr>
          <w:trHeight w:val="1291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ind w:left="-107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«1.1.1.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ind w:left="-107" w:right="-108"/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Организация предоставления услуг (работ)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ind w:left="-107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  <w:t xml:space="preserve">Выполнение муниципального задания учреждениями культуры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-107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%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МБО; Музей;                 ДК «Октябрь»;  ДК «Восход»;       КДЦ «Платформа»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968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клубных формирований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Шт.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Не менее 53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Не менее 54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Не менее 55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ДК «Октябрь»;  ДК «Восход» КДЦ «Платформа»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302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культурно-массовых мероприятий организованных учреждениями культуры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Шт.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Не менее 224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Не менее 225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Не менее 226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ДК «Октябрь»;  ДК «Восход» КДЦ «Платформа»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006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Число посетителей (зрителей) культурно-массовых мероприятий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Чел.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Не менее 40200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Не менее 40350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Не менее 40500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ДК «Октябрь»;  ДК «Восход» КДЦ «Платформа»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302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Уровень удовлетворенности населения округа качеством предоставления услуг учреждениями культуры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%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Не менее 95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Не менее 96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Не менее 97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ДК «Октябрь»;  ДК «Восход» КДЦ «Платформа»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613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книговыдач в библиотеках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Шт.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не менее 450000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не менее 470000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не менее 480000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МБО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57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Число посетителей музея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Чел.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2650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2700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2700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31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Музей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»;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741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предметов основного музейного фонда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Ед.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1490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1500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1500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</w:tbl>
    <w:p>
      <w:pPr>
        <w:jc w:val="both"/>
        <w:spacing w:after="0" w:line="240" w:lineRule="auto"/>
        <w:tabs>
          <w:tab w:val="left" w:pos="851" w:leader="none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ind w:firstLine="709"/>
        <w:jc w:val="both"/>
        <w:spacing w:after="0" w:line="240" w:lineRule="auto"/>
        <w:tabs>
          <w:tab w:val="left" w:pos="851" w:leader="none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- таблиц</w:t>
      </w:r>
      <w:r>
        <w:rPr>
          <w:rFonts w:ascii="Times New Roman" w:hAnsi="Times New Roman" w:cs="Times New Roman"/>
          <w:sz w:val="24"/>
          <w:szCs w:val="24"/>
        </w:rPr>
        <w:t xml:space="preserve">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«</w:t>
      </w:r>
      <w:r>
        <w:rPr>
          <w:rFonts w:ascii="Times New Roman" w:hAnsi="Times New Roman" w:cs="Times New Roman"/>
          <w:sz w:val="24"/>
          <w:szCs w:val="20"/>
        </w:rPr>
        <w:t xml:space="preserve">Перечень программных мероприятий с показателями результативности выполнение мероприятий» </w:t>
      </w:r>
      <w:r>
        <w:rPr>
          <w:rFonts w:ascii="Times New Roman" w:hAnsi="Times New Roman" w:cs="Times New Roman"/>
          <w:sz w:val="24"/>
          <w:szCs w:val="24"/>
        </w:rPr>
        <w:t xml:space="preserve">к Подпрограмме 1 </w:t>
      </w:r>
      <w:r>
        <w:rPr>
          <w:rFonts w:ascii="Times New Roman" w:hAnsi="Times New Roman" w:cs="Times New Roman"/>
          <w:sz w:val="24"/>
          <w:szCs w:val="24"/>
        </w:rPr>
        <w:t xml:space="preserve">дополнитель</w:t>
      </w:r>
      <w:r>
        <w:rPr>
          <w:rFonts w:ascii="Times New Roman" w:hAnsi="Times New Roman" w:cs="Times New Roman"/>
          <w:sz w:val="24"/>
          <w:szCs w:val="24"/>
        </w:rPr>
        <w:t xml:space="preserve"> строкой 1.2.6 следующего содержания</w:t>
      </w:r>
      <w:r>
        <w:rPr>
          <w:rFonts w:ascii="Times New Roman" w:hAnsi="Times New Roman" w:cs="Times New Roman"/>
          <w:sz w:val="24"/>
          <w:szCs w:val="24"/>
        </w:rPr>
        <w:t xml:space="preserve">:</w:t>
      </w:r>
      <w:r>
        <w:rPr>
          <w:rFonts w:ascii="Times New Roman" w:hAnsi="Times New Roman" w:cs="Times New Roman"/>
          <w:sz w:val="20"/>
          <w:szCs w:val="20"/>
        </w:rPr>
      </w:r>
    </w:p>
    <w:tbl>
      <w:tblPr>
        <w:tblStyle w:val="681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851"/>
        <w:gridCol w:w="1701"/>
        <w:gridCol w:w="868"/>
        <w:gridCol w:w="840"/>
        <w:gridCol w:w="850"/>
        <w:gridCol w:w="851"/>
        <w:gridCol w:w="985"/>
      </w:tblGrid>
      <w:tr>
        <w:tblPrEx/>
        <w:trPr/>
        <w:tc>
          <w:tcPr>
            <w:tcW w:w="851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«1.2.6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Реализация проекта 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Сопки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емья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»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2023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Создание пространства 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Сопки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емья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»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6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Да/нет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9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МБО»;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</w:tbl>
    <w:p>
      <w:pPr>
        <w:ind w:firstLine="709"/>
        <w:jc w:val="both"/>
        <w:spacing w:after="0" w:line="240" w:lineRule="auto"/>
        <w:tabs>
          <w:tab w:val="left" w:pos="567" w:leader="none"/>
          <w:tab w:val="left" w:pos="851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567" w:leader="none"/>
          <w:tab w:val="left" w:pos="851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строку «Финансовое обес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печение подпрограммы» паспорта п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одпрограммы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2 «Развитие системы дополнительного образования в сфере культуры и искусства» (далее – Подпрограмма 2)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изложить в следующей редакции:</w:t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tbl>
      <w:tblPr>
        <w:tblW w:w="496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242"/>
        <w:gridCol w:w="7187"/>
      </w:tblGrid>
      <w:tr>
        <w:tblPrEx/>
        <w:trPr>
          <w:jc w:val="center"/>
          <w:trHeight w:val="542"/>
        </w:trPr>
        <w:tc>
          <w:tcPr>
            <w:tcW w:w="1189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«Финансовое обеспечение подпрограммы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81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 по подпрограмме:</w:t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 xml:space="preserve">322 048,1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0,0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114793,6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34276,1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38099,1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42418,4 тыс. рублей.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206504,5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66266,2</w:t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70279,8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69958,5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ВБС: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750,0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250,0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250,0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250,0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.»;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</w:tr>
    </w:tbl>
    <w:p>
      <w:pPr>
        <w:jc w:val="both"/>
        <w:spacing w:after="0" w:line="240" w:lineRule="auto"/>
        <w:tabs>
          <w:tab w:val="left" w:pos="851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строки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2.1.1 и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«Итого по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мероприятию 1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»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таблицы 1 «Перечень мероприятий подпрограммы с объёмом финансирования» к Подпрограмме 2 изложить в следующей редакции:</w:t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1705"/>
        <w:gridCol w:w="720"/>
        <w:gridCol w:w="709"/>
        <w:gridCol w:w="1130"/>
        <w:gridCol w:w="994"/>
        <w:gridCol w:w="994"/>
        <w:gridCol w:w="1261"/>
        <w:gridCol w:w="992"/>
      </w:tblGrid>
      <w:tr>
        <w:tblPrEx/>
        <w:trPr>
          <w:trHeight w:val="144"/>
        </w:trPr>
        <w:tc>
          <w:tcPr>
            <w:shd w:val="clear" w:color="auto" w:fill="auto"/>
            <w:tcW w:w="455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«2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11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Предоставление услуг (работ) учреждениями   дополнительного образования в сфере культуры и искусства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385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ФБ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7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Merge w:val="restart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ДМШ, ДХШ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89"/>
        </w:trPr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11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85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ОБ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7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28"/>
        </w:trPr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11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85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МБ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175425,4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56643,8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58665,1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7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60116,5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64"/>
        </w:trPr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11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85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ВБС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750,0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250,0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250,0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7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250,0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804"/>
        </w:trPr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11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85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4" w:type="pct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176175,4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56893,8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58915,1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4" w:type="pct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60366,5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04"/>
        </w:trPr>
        <w:tc>
          <w:tcPr>
            <w:gridSpan w:val="3"/>
            <w:shd w:val="clear" w:color="auto" w:fill="auto"/>
            <w:tcW w:w="1751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 по мероприятию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ind w:left="-92" w:right="-107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0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7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49"/>
        </w:trPr>
        <w:tc>
          <w:tcPr>
            <w:gridSpan w:val="3"/>
            <w:shd w:val="clear" w:color="auto" w:fill="auto"/>
            <w:tcW w:w="175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0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114793,6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34276,1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38099,1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7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42418,4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96"/>
        </w:trPr>
        <w:tc>
          <w:tcPr>
            <w:gridSpan w:val="3"/>
            <w:shd w:val="clear" w:color="auto" w:fill="auto"/>
            <w:tcW w:w="175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0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181467,1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58447,8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60670,3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7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62349,0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00"/>
        </w:trPr>
        <w:tc>
          <w:tcPr>
            <w:gridSpan w:val="3"/>
            <w:shd w:val="clear" w:color="auto" w:fill="auto"/>
            <w:tcW w:w="175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0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750,0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250,0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250,0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7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250,0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96"/>
        </w:trPr>
        <w:tc>
          <w:tcPr>
            <w:gridSpan w:val="3"/>
            <w:shd w:val="clear" w:color="auto" w:fill="auto"/>
            <w:tcW w:w="175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0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297010,7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92973,9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99019,4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7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105017,4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»;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</w:tbl>
    <w:p>
      <w:pPr>
        <w:jc w:val="both"/>
        <w:spacing w:after="0" w:line="240" w:lineRule="auto"/>
        <w:tabs>
          <w:tab w:val="left" w:pos="851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строки 2.3.1, «Итого по мероприятию 3» и «Итого по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одпрограмме 2» таблицы 1 «Перечень мероприятий подпрограммы с объёмом финансирования» к Подпрограмме 2 изложить в следующей редакции:</w:t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1701"/>
        <w:gridCol w:w="709"/>
        <w:gridCol w:w="850"/>
        <w:gridCol w:w="1003"/>
        <w:gridCol w:w="994"/>
        <w:gridCol w:w="994"/>
        <w:gridCol w:w="1261"/>
        <w:gridCol w:w="994"/>
      </w:tblGrid>
      <w:tr>
        <w:tblPrEx/>
        <w:trPr>
          <w:trHeight w:val="208"/>
        </w:trPr>
        <w:tc>
          <w:tcPr>
            <w:shd w:val="clear" w:color="auto" w:fill="auto"/>
            <w:tcW w:w="455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«2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9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Обеспечение участия учащихся детских музыкальных и художественных школ в конкурсах, фестивалях, выставках различного уровня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37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ФБ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7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Merge w:val="restart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ДМШ,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ДХШ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97"/>
        </w:trPr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9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ОБ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7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44"/>
        </w:trPr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9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МБ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1001,2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375,2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313,0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7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313,0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90"/>
        </w:trPr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9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ВБС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7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611"/>
        </w:trPr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9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ind w:left="-92" w:right="-107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6" w:type="pct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1001,2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375,2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313,0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4" w:type="pct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313,0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0"/>
        </w:trPr>
        <w:tc>
          <w:tcPr>
            <w:gridSpan w:val="3"/>
            <w:shd w:val="clear" w:color="auto" w:fill="auto"/>
            <w:tcW w:w="174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 по мероприятию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ind w:left="-92" w:right="-107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7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66"/>
        </w:trPr>
        <w:tc>
          <w:tcPr>
            <w:gridSpan w:val="3"/>
            <w:shd w:val="clear" w:color="auto" w:fill="auto"/>
            <w:tcW w:w="174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7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70"/>
        </w:trPr>
        <w:tc>
          <w:tcPr>
            <w:gridSpan w:val="3"/>
            <w:shd w:val="clear" w:color="auto" w:fill="auto"/>
            <w:tcW w:w="174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1001,2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375,2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313,0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7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313,0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6"/>
        </w:trPr>
        <w:tc>
          <w:tcPr>
            <w:gridSpan w:val="3"/>
            <w:shd w:val="clear" w:color="auto" w:fill="auto"/>
            <w:tcW w:w="174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7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61"/>
        </w:trPr>
        <w:tc>
          <w:tcPr>
            <w:gridSpan w:val="3"/>
            <w:shd w:val="clear" w:color="auto" w:fill="auto"/>
            <w:tcW w:w="174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ind w:left="-92" w:right="-107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1001,2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375,2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313,0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7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313,0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66"/>
        </w:trPr>
        <w:tc>
          <w:tcPr>
            <w:gridSpan w:val="3"/>
            <w:shd w:val="clear" w:color="auto" w:fill="auto"/>
            <w:tcW w:w="174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Итого по подпрограмме 2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ind w:left="-92" w:right="-107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7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11"/>
        </w:trPr>
        <w:tc>
          <w:tcPr>
            <w:gridSpan w:val="3"/>
            <w:shd w:val="clear" w:color="auto" w:fill="auto"/>
            <w:tcW w:w="174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114793,6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34276,1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38099,1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7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42418,4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6"/>
        </w:trPr>
        <w:tc>
          <w:tcPr>
            <w:gridSpan w:val="3"/>
            <w:shd w:val="clear" w:color="auto" w:fill="auto"/>
            <w:tcW w:w="174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206504,5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66266,2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70279,8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7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69958,5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62"/>
        </w:trPr>
        <w:tc>
          <w:tcPr>
            <w:gridSpan w:val="3"/>
            <w:shd w:val="clear" w:color="auto" w:fill="auto"/>
            <w:tcW w:w="174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750,0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250,0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250,0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7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250,0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33"/>
        </w:trPr>
        <w:tc>
          <w:tcPr>
            <w:gridSpan w:val="3"/>
            <w:shd w:val="clear" w:color="auto" w:fill="auto"/>
            <w:tcW w:w="174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ind w:left="-92" w:right="-107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322048,1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100792,3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108628,9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7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112626,9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»;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</w:tbl>
    <w:p>
      <w:pPr>
        <w:jc w:val="both"/>
        <w:spacing w:after="0" w:line="240" w:lineRule="auto"/>
        <w:tabs>
          <w:tab w:val="left" w:pos="851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851" w:leader="none"/>
        </w:tabs>
        <w:rPr>
          <w:rFonts w:ascii="Times New Roman" w:hAnsi="Times New Roman" w:cs="Times New Roman"/>
          <w:sz w:val="24"/>
          <w:szCs w:val="20"/>
        </w:rPr>
      </w:pPr>
      <w:r>
        <w:rPr>
          <w:rFonts w:ascii="Times New Roman" w:hAnsi="Times New Roman" w:cs="Times New Roman"/>
          <w:sz w:val="24"/>
          <w:szCs w:val="20"/>
        </w:rPr>
        <w:t xml:space="preserve">- строку 2.3.1 таблицы 2 «Перечень мероприятий подпрограммы с показателями результативности выполнения мероприятий» к Подпрограмме 2 изложить в следующей редакции:</w:t>
      </w:r>
      <w:r>
        <w:rPr>
          <w:rFonts w:ascii="Times New Roman" w:hAnsi="Times New Roman" w:cs="Times New Roman"/>
          <w:sz w:val="24"/>
          <w:szCs w:val="20"/>
        </w:rPr>
      </w:r>
    </w:p>
    <w:tbl>
      <w:tblPr>
        <w:tblStyle w:val="681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851"/>
        <w:gridCol w:w="2268"/>
        <w:gridCol w:w="709"/>
        <w:gridCol w:w="1275"/>
        <w:gridCol w:w="727"/>
        <w:gridCol w:w="840"/>
        <w:gridCol w:w="850"/>
        <w:gridCol w:w="851"/>
        <w:gridCol w:w="985"/>
      </w:tblGrid>
      <w:tr>
        <w:tblPrEx/>
        <w:trPr/>
        <w:tc>
          <w:tcPr>
            <w:tcW w:w="851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2.3.1.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Обеспечение участия учащихся детских музыкальных и художественных школ в конкурсах, фестивалях, выставках различного уровня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2023-2025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Число участников творческих конкурсов, фестивалей, выставок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72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Чел.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650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660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660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9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ДМШ, ДХШ»;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</w:tbl>
    <w:p>
      <w:pPr>
        <w:ind w:firstLine="709"/>
        <w:jc w:val="both"/>
        <w:spacing w:after="0" w:line="240" w:lineRule="auto"/>
        <w:tabs>
          <w:tab w:val="left" w:pos="567" w:leader="none"/>
          <w:tab w:val="left" w:pos="851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567" w:leader="none"/>
          <w:tab w:val="left" w:pos="851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строку «Финансовое обеспечение подпрограммы» паспорта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одпрограммы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3 «Развитие культуры» (далее – Подпрограмма 3)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изложить в следующей редакции:</w:t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tbl>
      <w:tblPr>
        <w:tblW w:w="496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242"/>
        <w:gridCol w:w="7187"/>
      </w:tblGrid>
      <w:tr>
        <w:tblPrEx/>
        <w:trPr>
          <w:jc w:val="center"/>
          <w:trHeight w:val="273"/>
        </w:trPr>
        <w:tc>
          <w:tcPr>
            <w:tcW w:w="1189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«Финансовое обеспечение подпрограммы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81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 по подпрограмме:</w:t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 xml:space="preserve">18 980,5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0,0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тыс. рублей.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18980,5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8980,5</w:t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5000,0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5000,0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ВБС: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.»;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</w:tr>
    </w:tbl>
    <w:p>
      <w:pPr>
        <w:ind w:firstLine="709"/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строки 3.1.1 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«Итого по мероприятию 1»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таблицы 1 «Перечень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мероприятий подпрограммы с объемом финансирования» к Подпрограмме 3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изложить в следующей редакции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:</w:t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410"/>
        <w:gridCol w:w="709"/>
        <w:gridCol w:w="850"/>
        <w:gridCol w:w="851"/>
        <w:gridCol w:w="850"/>
        <w:gridCol w:w="850"/>
        <w:gridCol w:w="994"/>
        <w:gridCol w:w="1134"/>
      </w:tblGrid>
      <w:tr>
        <w:tblPrEx/>
        <w:trPr>
          <w:trHeight w:val="273"/>
        </w:trPr>
        <w:tc>
          <w:tcPr>
            <w:shd w:val="clear" w:color="auto" w:fill="auto"/>
            <w:tcW w:w="379" w:type="pct"/>
            <w:vMerge w:val="restart"/>
            <w:textDirection w:val="lrTb"/>
            <w:noWrap w:val="false"/>
          </w:tcPr>
          <w:p>
            <w:pPr>
              <w:ind w:left="-108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288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550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Проведение культурн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о–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массовых, праздничных мероприятий и мероприятий, посвященных памятным датам Российской Федерации, Мурманской области, Печенгского муниципального округа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9" w:type="pct"/>
            <w:vMerge w:val="restart"/>
            <w:textDirection w:val="lrTb"/>
            <w:noWrap w:val="false"/>
          </w:tcPr>
          <w:p>
            <w:pPr>
              <w:ind w:left="-109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ind w:left="-92" w:right="-107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ind w:left="-109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ind w:left="-108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ind w:left="-107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6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тдел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КСиМП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ДК «Восход», ДК «Октябрь», КДЦ «Платформа»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288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ind w:left="-110" w:right="-107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ind w:left="-109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ind w:left="-108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ind w:left="-107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06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288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ind w:left="-110" w:right="-107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ind w:left="-109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17140,5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ind w:left="-108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8700,5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ind w:left="-107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4220,0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4220,0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288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ind w:left="-110" w:right="-107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ind w:left="-109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ind w:left="-108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ind w:left="-107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84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288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ind w:left="-92" w:right="-107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17140,5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8700,5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4220,0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4220,0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37"/>
        </w:trPr>
        <w:tc>
          <w:tcPr>
            <w:gridSpan w:val="3"/>
            <w:shd w:val="clear" w:color="auto" w:fill="auto"/>
            <w:tcW w:w="2046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 по мероприятию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ind w:left="-92" w:right="-107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55" w:type="pct"/>
            <w:vAlign w:val="center"/>
            <w:textDirection w:val="lrTb"/>
            <w:noWrap w:val="false"/>
          </w:tcPr>
          <w:p>
            <w:pPr>
              <w:ind w:left="-109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54" w:type="pct"/>
            <w:vAlign w:val="center"/>
            <w:textDirection w:val="lrTb"/>
            <w:noWrap w:val="false"/>
          </w:tcPr>
          <w:p>
            <w:pPr>
              <w:ind w:left="-108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54" w:type="pct"/>
            <w:vAlign w:val="center"/>
            <w:textDirection w:val="lrTb"/>
            <w:noWrap w:val="false"/>
          </w:tcPr>
          <w:p>
            <w:pPr>
              <w:ind w:left="-107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6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84"/>
        </w:trPr>
        <w:tc>
          <w:tcPr>
            <w:gridSpan w:val="3"/>
            <w:shd w:val="clear" w:color="auto" w:fill="auto"/>
            <w:tcW w:w="204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55" w:type="pct"/>
            <w:vAlign w:val="center"/>
            <w:textDirection w:val="lrTb"/>
            <w:noWrap w:val="false"/>
          </w:tcPr>
          <w:p>
            <w:pPr>
              <w:ind w:left="-109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54" w:type="pct"/>
            <w:vAlign w:val="center"/>
            <w:textDirection w:val="lrTb"/>
            <w:noWrap w:val="false"/>
          </w:tcPr>
          <w:p>
            <w:pPr>
              <w:ind w:left="-108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54" w:type="pct"/>
            <w:vAlign w:val="center"/>
            <w:textDirection w:val="lrTb"/>
            <w:noWrap w:val="false"/>
          </w:tcPr>
          <w:p>
            <w:pPr>
              <w:ind w:left="-107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204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55" w:type="pct"/>
            <w:vAlign w:val="center"/>
            <w:textDirection w:val="lrTb"/>
            <w:noWrap w:val="false"/>
          </w:tcPr>
          <w:p>
            <w:pPr>
              <w:ind w:left="-109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17980,5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54" w:type="pct"/>
            <w:vAlign w:val="center"/>
            <w:textDirection w:val="lrTb"/>
            <w:noWrap w:val="false"/>
          </w:tcPr>
          <w:p>
            <w:pPr>
              <w:ind w:left="-108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8980,5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54" w:type="pct"/>
            <w:vAlign w:val="center"/>
            <w:textDirection w:val="lrTb"/>
            <w:noWrap w:val="false"/>
          </w:tcPr>
          <w:p>
            <w:pPr>
              <w:ind w:left="-107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4500,0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4500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0"/>
        </w:trPr>
        <w:tc>
          <w:tcPr>
            <w:gridSpan w:val="3"/>
            <w:shd w:val="clear" w:color="auto" w:fill="auto"/>
            <w:tcW w:w="204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55" w:type="pct"/>
            <w:textDirection w:val="lrTb"/>
            <w:noWrap w:val="false"/>
          </w:tcPr>
          <w:p>
            <w:pPr>
              <w:ind w:left="-109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54" w:type="pct"/>
            <w:textDirection w:val="lrTb"/>
            <w:noWrap w:val="false"/>
          </w:tcPr>
          <w:p>
            <w:pPr>
              <w:ind w:left="-108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54" w:type="pct"/>
            <w:textDirection w:val="lrTb"/>
            <w:noWrap w:val="false"/>
          </w:tcPr>
          <w:p>
            <w:pPr>
              <w:ind w:left="-107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61"/>
        </w:trPr>
        <w:tc>
          <w:tcPr>
            <w:gridSpan w:val="3"/>
            <w:shd w:val="clear" w:color="auto" w:fill="auto"/>
            <w:tcW w:w="204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ind w:left="-92" w:right="-107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55" w:type="pct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17980,5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54" w:type="pct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8980,5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54" w:type="pct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4500,0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4500,0»;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</w:tbl>
    <w:p>
      <w:pPr>
        <w:ind w:firstLine="709"/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строки 3.2.1, «Итого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по мероприятию 2» и «Итого по п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одпрограмме 3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»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таблицы 1 «Перечень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мероприятий подпрограммы с объемом финансирования» к Подпрограмме 3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изложить в следующей редакции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:</w:t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2268"/>
        <w:gridCol w:w="707"/>
        <w:gridCol w:w="850"/>
        <w:gridCol w:w="994"/>
        <w:gridCol w:w="850"/>
        <w:gridCol w:w="850"/>
        <w:gridCol w:w="994"/>
        <w:gridCol w:w="1134"/>
      </w:tblGrid>
      <w:tr>
        <w:tblPrEx/>
        <w:trPr>
          <w:trHeight w:val="273"/>
        </w:trPr>
        <w:tc>
          <w:tcPr>
            <w:shd w:val="clear" w:color="auto" w:fill="auto"/>
            <w:tcW w:w="379" w:type="pct"/>
            <w:vMerge w:val="restart"/>
            <w:textDirection w:val="lrTb"/>
            <w:noWrap w:val="false"/>
          </w:tcPr>
          <w:p>
            <w:pPr>
              <w:ind w:left="-108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212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550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Сохранение, благоустройство и паспортизация памятников культурного наследия регионального значения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8" w:type="pct"/>
            <w:vMerge w:val="restart"/>
            <w:textDirection w:val="lrTb"/>
            <w:noWrap w:val="false"/>
          </w:tcPr>
          <w:p>
            <w:pPr>
              <w:ind w:left="-109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ind w:left="-92" w:right="-107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06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Отдел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КСиМП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212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ind w:left="-110" w:right="-107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0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06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212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ind w:left="-110" w:right="-107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  <w:t xml:space="preserve">1000,0</w:t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  <w:t xml:space="preserve">500,0</w:t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  <w:t xml:space="preserve">500,0</w:t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0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212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ind w:left="-110" w:right="-107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0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84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212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ind w:left="-92" w:right="-107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ind w:left="-92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ind w:left="-92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ind w:left="-92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500,0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ind w:left="-92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500,0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00"/>
        </w:trPr>
        <w:tc>
          <w:tcPr>
            <w:gridSpan w:val="3"/>
            <w:shd w:val="clear" w:color="auto" w:fill="auto"/>
            <w:tcW w:w="1969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 по мероприятию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ind w:left="-92" w:right="-107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5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5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06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04"/>
        </w:trPr>
        <w:tc>
          <w:tcPr>
            <w:gridSpan w:val="3"/>
            <w:shd w:val="clear" w:color="auto" w:fill="auto"/>
            <w:tcW w:w="196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5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5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0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0"/>
        </w:trPr>
        <w:tc>
          <w:tcPr>
            <w:gridSpan w:val="3"/>
            <w:shd w:val="clear" w:color="auto" w:fill="auto"/>
            <w:tcW w:w="196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  <w:t xml:space="preserve">1000,0</w:t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5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5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  <w:t xml:space="preserve">500,0</w:t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  <w:t xml:space="preserve">500,0</w:t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0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81"/>
        </w:trPr>
        <w:tc>
          <w:tcPr>
            <w:gridSpan w:val="3"/>
            <w:shd w:val="clear" w:color="auto" w:fill="auto"/>
            <w:tcW w:w="196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5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5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0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61"/>
        </w:trPr>
        <w:tc>
          <w:tcPr>
            <w:gridSpan w:val="3"/>
            <w:shd w:val="clear" w:color="auto" w:fill="auto"/>
            <w:tcW w:w="196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ind w:left="-92" w:right="-107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1000,0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5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5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  <w:t xml:space="preserve">500,0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  <w:t xml:space="preserve">500,0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0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3"/>
            <w:shd w:val="clear" w:color="auto" w:fill="auto"/>
            <w:tcW w:w="1969" w:type="pct"/>
            <w:vMerge w:val="restart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 по подпр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грамме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ind w:left="-92" w:right="-107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06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3"/>
            <w:shd w:val="clear" w:color="auto" w:fill="auto"/>
            <w:tcW w:w="1969" w:type="pct"/>
            <w:vMerge w:val="continue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ind w:left="-110" w:right="-107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06" w:type="pct"/>
            <w:vAlign w:val="center"/>
            <w:vMerge w:val="continue"/>
            <w:textDirection w:val="lrTb"/>
            <w:noWrap w:val="false"/>
          </w:tcPr>
          <w:p>
            <w:pPr>
              <w:ind w:left="-109" w:right="-108" w:firstLine="10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3"/>
            <w:shd w:val="clear" w:color="auto" w:fill="auto"/>
            <w:tcW w:w="1969" w:type="pct"/>
            <w:vMerge w:val="continue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ind w:left="-110" w:right="-107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  <w:t xml:space="preserve">18980,5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  <w:t xml:space="preserve">8980,5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  <w:t xml:space="preserve">5000,0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  <w:t xml:space="preserve">5000,0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06" w:type="pct"/>
            <w:vAlign w:val="center"/>
            <w:vMerge w:val="continue"/>
            <w:textDirection w:val="lrTb"/>
            <w:noWrap w:val="false"/>
          </w:tcPr>
          <w:p>
            <w:pPr>
              <w:ind w:left="-109" w:right="-108" w:firstLine="10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3"/>
            <w:shd w:val="clear" w:color="auto" w:fill="auto"/>
            <w:tcW w:w="1969" w:type="pct"/>
            <w:vMerge w:val="continue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ind w:left="-110" w:right="-107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06" w:type="pct"/>
            <w:vAlign w:val="center"/>
            <w:vMerge w:val="continue"/>
            <w:textDirection w:val="lrTb"/>
            <w:noWrap w:val="false"/>
          </w:tcPr>
          <w:p>
            <w:pPr>
              <w:ind w:left="-109" w:right="-108" w:firstLine="10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</w:tr>
      <w:tr>
        <w:tblPrEx/>
        <w:trPr>
          <w:trHeight w:val="132"/>
        </w:trPr>
        <w:tc>
          <w:tcPr>
            <w:gridSpan w:val="3"/>
            <w:shd w:val="clear" w:color="auto" w:fill="auto"/>
            <w:tcW w:w="1969" w:type="pct"/>
            <w:vMerge w:val="continue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ind w:left="-92" w:right="-107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  <w:t xml:space="preserve">18980,5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  <w:t xml:space="preserve">8980,5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  <w:t xml:space="preserve">5000,0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  <w:t xml:space="preserve">5000,0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  <w:t xml:space="preserve">»;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06" w:type="pct"/>
            <w:vAlign w:val="center"/>
            <w:vMerge w:val="continue"/>
            <w:textDirection w:val="lrTb"/>
            <w:noWrap w:val="false"/>
          </w:tcPr>
          <w:p>
            <w:pPr>
              <w:ind w:left="-109" w:right="-108" w:firstLine="10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</w:tr>
    </w:tbl>
    <w:p>
      <w:pPr>
        <w:jc w:val="both"/>
        <w:spacing w:after="0" w:line="240" w:lineRule="auto"/>
        <w:tabs>
          <w:tab w:val="left" w:pos="851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851" w:leader="none"/>
        </w:tabs>
        <w:rPr>
          <w:rFonts w:ascii="Times New Roman" w:hAnsi="Times New Roman" w:cs="Times New Roman"/>
          <w:sz w:val="24"/>
          <w:szCs w:val="20"/>
        </w:rPr>
      </w:pPr>
      <w:r>
        <w:rPr>
          <w:rFonts w:ascii="Times New Roman" w:hAnsi="Times New Roman" w:cs="Times New Roman"/>
          <w:sz w:val="24"/>
          <w:szCs w:val="20"/>
        </w:rPr>
        <w:t xml:space="preserve">- строку 3.2.1 таблицы 2 «Перечень мероприятий подпрограммы с показателями результативности выполнения мероприятий» к Подпрограмме 3 изложить в следующей редакции:</w:t>
      </w:r>
      <w:r>
        <w:rPr>
          <w:rFonts w:ascii="Times New Roman" w:hAnsi="Times New Roman" w:cs="Times New Roman"/>
          <w:sz w:val="24"/>
          <w:szCs w:val="20"/>
        </w:rPr>
      </w:r>
    </w:p>
    <w:tbl>
      <w:tblPr>
        <w:tblStyle w:val="681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851"/>
        <w:gridCol w:w="2126"/>
        <w:gridCol w:w="709"/>
        <w:gridCol w:w="1276"/>
        <w:gridCol w:w="708"/>
        <w:gridCol w:w="851"/>
        <w:gridCol w:w="850"/>
        <w:gridCol w:w="851"/>
        <w:gridCol w:w="1134"/>
      </w:tblGrid>
      <w:tr>
        <w:tblPrEx/>
        <w:trPr/>
        <w:tc>
          <w:tcPr>
            <w:tcW w:w="851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«3.2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126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550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Сохранение, благоустройство и паспортизация памятников культурного наследия регионального значения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2024-2025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благоустроенных памятников культурного наследия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7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Шт.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1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1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851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Отдел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КСиМП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».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</w:tbl>
    <w:p>
      <w:pPr>
        <w:ind w:firstLine="709"/>
        <w:jc w:val="both"/>
        <w:spacing w:after="0" w:line="240" w:lineRule="auto"/>
        <w:tabs>
          <w:tab w:val="left" w:pos="851" w:leader="none"/>
        </w:tabs>
        <w:rPr>
          <w:rFonts w:ascii="Times New Roman" w:hAnsi="Times New Roman" w:cs="Times New Roman"/>
          <w:sz w:val="24"/>
          <w:szCs w:val="20"/>
        </w:rPr>
      </w:pPr>
      <w:r>
        <w:rPr>
          <w:rFonts w:ascii="Times New Roman" w:hAnsi="Times New Roman" w:cs="Times New Roman"/>
          <w:sz w:val="24"/>
          <w:szCs w:val="20"/>
        </w:rPr>
      </w:r>
      <w:r>
        <w:rPr>
          <w:rFonts w:ascii="Times New Roman" w:hAnsi="Times New Roman" w:cs="Times New Roman"/>
          <w:sz w:val="24"/>
          <w:szCs w:val="20"/>
        </w:rPr>
      </w:r>
    </w:p>
    <w:p>
      <w:pPr>
        <w:ind w:firstLine="709"/>
        <w:jc w:val="both"/>
        <w:spacing w:after="0" w:line="240" w:lineRule="auto"/>
        <w:tabs>
          <w:tab w:val="left" w:pos="851" w:leader="none"/>
        </w:tabs>
        <w:rPr>
          <w:rFonts w:ascii="Times New Roman" w:hAnsi="Times New Roman" w:cs="Times New Roman"/>
          <w:sz w:val="24"/>
          <w:szCs w:val="20"/>
        </w:rPr>
      </w:pPr>
      <w:r>
        <w:rPr>
          <w:rFonts w:ascii="Times New Roman" w:hAnsi="Times New Roman" w:cs="Times New Roman"/>
          <w:sz w:val="24"/>
          <w:szCs w:val="20"/>
        </w:rPr>
      </w:r>
      <w:r>
        <w:rPr>
          <w:rFonts w:ascii="Times New Roman" w:hAnsi="Times New Roman" w:cs="Times New Roman"/>
          <w:sz w:val="24"/>
          <w:szCs w:val="20"/>
        </w:rPr>
      </w:r>
    </w:p>
    <w:p>
      <w:pPr>
        <w:ind w:firstLine="709"/>
        <w:jc w:val="both"/>
        <w:spacing w:after="0" w:line="240" w:lineRule="auto"/>
        <w:tabs>
          <w:tab w:val="left" w:pos="851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2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Настоящее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постановление вступает в силу после его подписания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right="-5"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Настоящее постановление опубликова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ть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в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официальном издании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газет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«Печенга» и разме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стить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на сайте Печенгского муниципального округа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в сети Интернет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69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Печенгского муниципального округа                                                        А.В. Кузнецов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color w:val="000000"/>
          <w:sz w:val="20"/>
          <w:szCs w:val="24"/>
          <w:lang w:eastAsia="ru-RU"/>
        </w:rPr>
      </w:pPr>
      <w:r/>
      <w:bookmarkStart w:id="4" w:name="_GoBack"/>
      <w:r/>
      <w:bookmarkEnd w:id="4"/>
      <w:r/>
      <w:r>
        <w:rPr>
          <w:rFonts w:ascii="Times New Roman" w:hAnsi="Times New Roman" w:cs="Times New Roman"/>
          <w:color w:val="000000"/>
          <w:sz w:val="20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color w:val="000000"/>
          <w:sz w:val="20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0"/>
          <w:szCs w:val="24"/>
          <w:lang w:eastAsia="ru-RU"/>
        </w:rPr>
      </w:r>
      <w:r>
        <w:rPr>
          <w:rFonts w:ascii="Times New Roman" w:hAnsi="Times New Roman" w:cs="Times New Roman"/>
          <w:color w:val="000000"/>
          <w:sz w:val="20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color w:val="000000"/>
          <w:sz w:val="20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0"/>
          <w:szCs w:val="24"/>
          <w:lang w:eastAsia="ru-RU"/>
        </w:rPr>
      </w:r>
      <w:r>
        <w:rPr>
          <w:rFonts w:ascii="Times New Roman" w:hAnsi="Times New Roman" w:cs="Times New Roman"/>
          <w:color w:val="000000"/>
          <w:sz w:val="20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color w:val="000000"/>
          <w:sz w:val="20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0"/>
          <w:szCs w:val="24"/>
          <w:lang w:eastAsia="ru-RU"/>
        </w:rPr>
      </w:r>
      <w:r>
        <w:rPr>
          <w:rFonts w:ascii="Times New Roman" w:hAnsi="Times New Roman" w:cs="Times New Roman"/>
          <w:color w:val="000000"/>
          <w:sz w:val="20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color w:val="000000"/>
          <w:sz w:val="20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0"/>
          <w:szCs w:val="24"/>
          <w:lang w:eastAsia="ru-RU"/>
        </w:rPr>
      </w:r>
      <w:r>
        <w:rPr>
          <w:rFonts w:ascii="Times New Roman" w:hAnsi="Times New Roman" w:cs="Times New Roman"/>
          <w:color w:val="000000"/>
          <w:sz w:val="20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color w:val="000000"/>
          <w:sz w:val="20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0"/>
          <w:szCs w:val="24"/>
          <w:lang w:eastAsia="ru-RU"/>
        </w:rPr>
      </w:r>
      <w:r>
        <w:rPr>
          <w:rFonts w:ascii="Times New Roman" w:hAnsi="Times New Roman" w:cs="Times New Roman"/>
          <w:color w:val="000000"/>
          <w:sz w:val="20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color w:val="000000"/>
          <w:sz w:val="20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0"/>
          <w:szCs w:val="24"/>
          <w:lang w:eastAsia="ru-RU"/>
        </w:rPr>
      </w:r>
      <w:r>
        <w:rPr>
          <w:rFonts w:ascii="Times New Roman" w:hAnsi="Times New Roman" w:cs="Times New Roman"/>
          <w:color w:val="000000"/>
          <w:sz w:val="20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color w:val="000000"/>
          <w:sz w:val="20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0"/>
          <w:szCs w:val="24"/>
          <w:lang w:eastAsia="ru-RU"/>
        </w:rPr>
      </w:r>
      <w:r>
        <w:rPr>
          <w:rFonts w:ascii="Times New Roman" w:hAnsi="Times New Roman" w:cs="Times New Roman"/>
          <w:color w:val="000000"/>
          <w:sz w:val="20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color w:val="000000"/>
          <w:sz w:val="20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0"/>
          <w:szCs w:val="24"/>
          <w:lang w:eastAsia="ru-RU"/>
        </w:rPr>
      </w:r>
      <w:r>
        <w:rPr>
          <w:rFonts w:ascii="Times New Roman" w:hAnsi="Times New Roman" w:cs="Times New Roman"/>
          <w:color w:val="000000"/>
          <w:sz w:val="20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color w:val="000000"/>
          <w:sz w:val="20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0"/>
          <w:szCs w:val="24"/>
          <w:lang w:eastAsia="ru-RU"/>
        </w:rPr>
      </w:r>
      <w:r>
        <w:rPr>
          <w:rFonts w:ascii="Times New Roman" w:hAnsi="Times New Roman" w:cs="Times New Roman"/>
          <w:color w:val="000000"/>
          <w:sz w:val="20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color w:val="000000"/>
          <w:sz w:val="20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0"/>
          <w:szCs w:val="24"/>
          <w:lang w:eastAsia="ru-RU"/>
        </w:rPr>
      </w:r>
      <w:r>
        <w:rPr>
          <w:rFonts w:ascii="Times New Roman" w:hAnsi="Times New Roman" w:cs="Times New Roman"/>
          <w:color w:val="000000"/>
          <w:sz w:val="20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color w:val="000000"/>
          <w:sz w:val="20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0"/>
          <w:szCs w:val="24"/>
          <w:lang w:eastAsia="ru-RU"/>
        </w:rPr>
      </w:r>
      <w:r>
        <w:rPr>
          <w:rFonts w:ascii="Times New Roman" w:hAnsi="Times New Roman" w:cs="Times New Roman"/>
          <w:color w:val="000000"/>
          <w:sz w:val="20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color w:val="000000"/>
          <w:sz w:val="20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0"/>
          <w:szCs w:val="24"/>
          <w:lang w:eastAsia="ru-RU"/>
        </w:rPr>
      </w:r>
      <w:r>
        <w:rPr>
          <w:rFonts w:ascii="Times New Roman" w:hAnsi="Times New Roman" w:cs="Times New Roman"/>
          <w:color w:val="000000"/>
          <w:sz w:val="20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color w:val="000000"/>
          <w:sz w:val="20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0"/>
          <w:szCs w:val="24"/>
          <w:lang w:eastAsia="ru-RU"/>
        </w:rPr>
      </w:r>
      <w:r>
        <w:rPr>
          <w:rFonts w:ascii="Times New Roman" w:hAnsi="Times New Roman" w:cs="Times New Roman"/>
          <w:color w:val="000000"/>
          <w:sz w:val="20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color w:val="000000"/>
          <w:sz w:val="20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0"/>
          <w:szCs w:val="24"/>
          <w:lang w:eastAsia="ru-RU"/>
        </w:rPr>
      </w:r>
      <w:r>
        <w:rPr>
          <w:rFonts w:ascii="Times New Roman" w:hAnsi="Times New Roman" w:cs="Times New Roman"/>
          <w:color w:val="000000"/>
          <w:sz w:val="20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color w:val="000000"/>
          <w:sz w:val="20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0"/>
          <w:szCs w:val="24"/>
          <w:lang w:eastAsia="ru-RU"/>
        </w:rPr>
      </w:r>
      <w:r>
        <w:rPr>
          <w:rFonts w:ascii="Times New Roman" w:hAnsi="Times New Roman" w:cs="Times New Roman"/>
          <w:color w:val="000000"/>
          <w:sz w:val="20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color w:val="000000"/>
          <w:sz w:val="20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0"/>
          <w:szCs w:val="24"/>
          <w:lang w:eastAsia="ru-RU"/>
        </w:rPr>
      </w:r>
      <w:r>
        <w:rPr>
          <w:rFonts w:ascii="Times New Roman" w:hAnsi="Times New Roman" w:cs="Times New Roman"/>
          <w:color w:val="000000"/>
          <w:sz w:val="20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color w:val="000000"/>
          <w:sz w:val="20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0"/>
          <w:szCs w:val="24"/>
          <w:lang w:eastAsia="ru-RU"/>
        </w:rPr>
      </w:r>
      <w:r>
        <w:rPr>
          <w:rFonts w:ascii="Times New Roman" w:hAnsi="Times New Roman" w:cs="Times New Roman"/>
          <w:color w:val="000000"/>
          <w:sz w:val="20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color w:val="000000"/>
          <w:sz w:val="20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0"/>
          <w:szCs w:val="24"/>
          <w:lang w:eastAsia="ru-RU"/>
        </w:rPr>
      </w:r>
      <w:r>
        <w:rPr>
          <w:rFonts w:ascii="Times New Roman" w:hAnsi="Times New Roman" w:cs="Times New Roman"/>
          <w:color w:val="000000"/>
          <w:sz w:val="20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color w:val="000000"/>
          <w:sz w:val="20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0"/>
          <w:szCs w:val="24"/>
          <w:lang w:eastAsia="ru-RU"/>
        </w:rPr>
      </w:r>
      <w:r>
        <w:rPr>
          <w:rFonts w:ascii="Times New Roman" w:hAnsi="Times New Roman" w:cs="Times New Roman"/>
          <w:color w:val="000000"/>
          <w:sz w:val="20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color w:val="000000"/>
          <w:sz w:val="20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0"/>
          <w:szCs w:val="24"/>
          <w:lang w:eastAsia="ru-RU"/>
        </w:rPr>
      </w:r>
      <w:r>
        <w:rPr>
          <w:rFonts w:ascii="Times New Roman" w:hAnsi="Times New Roman" w:cs="Times New Roman"/>
          <w:color w:val="000000"/>
          <w:sz w:val="20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color w:val="000000"/>
          <w:sz w:val="20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0"/>
          <w:szCs w:val="24"/>
          <w:lang w:eastAsia="ru-RU"/>
        </w:rPr>
      </w:r>
      <w:r>
        <w:rPr>
          <w:rFonts w:ascii="Times New Roman" w:hAnsi="Times New Roman" w:cs="Times New Roman"/>
          <w:color w:val="000000"/>
          <w:sz w:val="20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color w:val="000000"/>
          <w:sz w:val="20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0"/>
          <w:szCs w:val="24"/>
          <w:lang w:eastAsia="ru-RU"/>
        </w:rPr>
      </w:r>
      <w:r>
        <w:rPr>
          <w:rFonts w:ascii="Times New Roman" w:hAnsi="Times New Roman" w:cs="Times New Roman"/>
          <w:color w:val="000000"/>
          <w:sz w:val="20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color w:val="000000"/>
          <w:sz w:val="20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0"/>
          <w:szCs w:val="24"/>
          <w:lang w:eastAsia="ru-RU"/>
        </w:rPr>
      </w:r>
      <w:r>
        <w:rPr>
          <w:rFonts w:ascii="Times New Roman" w:hAnsi="Times New Roman" w:cs="Times New Roman"/>
          <w:color w:val="000000"/>
          <w:sz w:val="20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color w:val="000000"/>
          <w:sz w:val="20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0"/>
          <w:szCs w:val="24"/>
          <w:lang w:eastAsia="ru-RU"/>
        </w:rPr>
      </w:r>
      <w:r>
        <w:rPr>
          <w:rFonts w:ascii="Times New Roman" w:hAnsi="Times New Roman" w:cs="Times New Roman"/>
          <w:color w:val="000000"/>
          <w:sz w:val="20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color w:val="000000"/>
          <w:sz w:val="20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0"/>
          <w:szCs w:val="24"/>
          <w:lang w:eastAsia="ru-RU"/>
        </w:rPr>
      </w:r>
      <w:r>
        <w:rPr>
          <w:rFonts w:ascii="Times New Roman" w:hAnsi="Times New Roman" w:cs="Times New Roman"/>
          <w:color w:val="000000"/>
          <w:sz w:val="20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color w:val="000000"/>
          <w:sz w:val="20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0"/>
          <w:szCs w:val="24"/>
          <w:lang w:eastAsia="ru-RU"/>
        </w:rPr>
      </w:r>
      <w:r>
        <w:rPr>
          <w:rFonts w:ascii="Times New Roman" w:hAnsi="Times New Roman" w:cs="Times New Roman"/>
          <w:color w:val="000000"/>
          <w:sz w:val="20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color w:val="000000"/>
          <w:sz w:val="20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0"/>
          <w:szCs w:val="24"/>
          <w:lang w:eastAsia="ru-RU"/>
        </w:rPr>
      </w:r>
      <w:r>
        <w:rPr>
          <w:rFonts w:ascii="Times New Roman" w:hAnsi="Times New Roman" w:cs="Times New Roman"/>
          <w:color w:val="000000"/>
          <w:sz w:val="20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color w:val="000000"/>
          <w:sz w:val="20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0"/>
          <w:szCs w:val="24"/>
          <w:lang w:eastAsia="ru-RU"/>
        </w:rPr>
      </w:r>
      <w:r>
        <w:rPr>
          <w:rFonts w:ascii="Times New Roman" w:hAnsi="Times New Roman" w:cs="Times New Roman"/>
          <w:color w:val="000000"/>
          <w:sz w:val="20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color w:val="000000"/>
          <w:sz w:val="20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0"/>
          <w:szCs w:val="24"/>
          <w:lang w:eastAsia="ru-RU"/>
        </w:rPr>
      </w:r>
      <w:r>
        <w:rPr>
          <w:rFonts w:ascii="Times New Roman" w:hAnsi="Times New Roman" w:cs="Times New Roman"/>
          <w:color w:val="000000"/>
          <w:sz w:val="20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color w:val="000000"/>
          <w:sz w:val="20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0"/>
          <w:szCs w:val="24"/>
          <w:lang w:eastAsia="ru-RU"/>
        </w:rPr>
      </w:r>
      <w:r>
        <w:rPr>
          <w:rFonts w:ascii="Times New Roman" w:hAnsi="Times New Roman" w:cs="Times New Roman"/>
          <w:color w:val="000000"/>
          <w:sz w:val="20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color w:val="000000"/>
          <w:sz w:val="20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0"/>
          <w:szCs w:val="24"/>
          <w:lang w:eastAsia="ru-RU"/>
        </w:rPr>
      </w:r>
      <w:r>
        <w:rPr>
          <w:rFonts w:ascii="Times New Roman" w:hAnsi="Times New Roman" w:cs="Times New Roman"/>
          <w:color w:val="000000"/>
          <w:sz w:val="20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color w:val="000000"/>
          <w:sz w:val="20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0"/>
          <w:szCs w:val="24"/>
          <w:lang w:eastAsia="ru-RU"/>
        </w:rPr>
      </w:r>
      <w:r>
        <w:rPr>
          <w:rFonts w:ascii="Times New Roman" w:hAnsi="Times New Roman" w:cs="Times New Roman"/>
          <w:color w:val="000000"/>
          <w:sz w:val="20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color w:val="000000"/>
          <w:sz w:val="20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0"/>
          <w:szCs w:val="24"/>
          <w:lang w:eastAsia="ru-RU"/>
        </w:rPr>
      </w:r>
      <w:r>
        <w:rPr>
          <w:rFonts w:ascii="Times New Roman" w:hAnsi="Times New Roman" w:cs="Times New Roman"/>
          <w:color w:val="000000"/>
          <w:sz w:val="20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color w:val="000000"/>
          <w:sz w:val="20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0"/>
          <w:szCs w:val="24"/>
          <w:lang w:eastAsia="ru-RU"/>
        </w:rPr>
      </w:r>
      <w:r>
        <w:rPr>
          <w:rFonts w:ascii="Times New Roman" w:hAnsi="Times New Roman" w:cs="Times New Roman"/>
          <w:color w:val="000000"/>
          <w:sz w:val="20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color w:val="000000"/>
          <w:sz w:val="20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0"/>
          <w:szCs w:val="24"/>
          <w:lang w:eastAsia="ru-RU"/>
        </w:rPr>
      </w:r>
      <w:r>
        <w:rPr>
          <w:rFonts w:ascii="Times New Roman" w:hAnsi="Times New Roman" w:cs="Times New Roman"/>
          <w:color w:val="000000"/>
          <w:sz w:val="20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color w:val="000000"/>
          <w:sz w:val="20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0"/>
          <w:szCs w:val="24"/>
          <w:lang w:eastAsia="ru-RU"/>
        </w:rPr>
      </w:r>
      <w:r>
        <w:rPr>
          <w:rFonts w:ascii="Times New Roman" w:hAnsi="Times New Roman" w:cs="Times New Roman"/>
          <w:color w:val="000000"/>
          <w:sz w:val="20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color w:val="000000"/>
          <w:sz w:val="20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0"/>
          <w:szCs w:val="24"/>
          <w:lang w:eastAsia="ru-RU"/>
        </w:rPr>
      </w:r>
      <w:r>
        <w:rPr>
          <w:rFonts w:ascii="Times New Roman" w:hAnsi="Times New Roman" w:cs="Times New Roman"/>
          <w:color w:val="000000"/>
          <w:sz w:val="20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color w:val="000000"/>
          <w:sz w:val="20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0"/>
          <w:szCs w:val="24"/>
          <w:lang w:eastAsia="ru-RU"/>
        </w:rPr>
      </w:r>
      <w:r>
        <w:rPr>
          <w:rFonts w:ascii="Times New Roman" w:hAnsi="Times New Roman" w:cs="Times New Roman"/>
          <w:color w:val="000000"/>
          <w:sz w:val="20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color w:val="000000"/>
          <w:sz w:val="20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0"/>
          <w:szCs w:val="24"/>
          <w:lang w:eastAsia="ru-RU"/>
        </w:rPr>
      </w:r>
      <w:r>
        <w:rPr>
          <w:rFonts w:ascii="Times New Roman" w:hAnsi="Times New Roman" w:cs="Times New Roman"/>
          <w:color w:val="000000"/>
          <w:sz w:val="20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color w:val="000000"/>
          <w:sz w:val="20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0"/>
          <w:szCs w:val="24"/>
          <w:lang w:eastAsia="ru-RU"/>
        </w:rPr>
      </w:r>
      <w:r>
        <w:rPr>
          <w:rFonts w:ascii="Times New Roman" w:hAnsi="Times New Roman" w:cs="Times New Roman"/>
          <w:color w:val="000000"/>
          <w:sz w:val="20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color w:val="000000"/>
          <w:sz w:val="20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0"/>
          <w:szCs w:val="24"/>
          <w:lang w:eastAsia="ru-RU"/>
        </w:rPr>
      </w:r>
      <w:r>
        <w:rPr>
          <w:rFonts w:ascii="Times New Roman" w:hAnsi="Times New Roman" w:cs="Times New Roman"/>
          <w:color w:val="000000"/>
          <w:sz w:val="20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color w:val="000000"/>
          <w:sz w:val="20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0"/>
          <w:szCs w:val="24"/>
          <w:lang w:eastAsia="ru-RU"/>
        </w:rPr>
      </w:r>
      <w:r>
        <w:rPr>
          <w:rFonts w:ascii="Times New Roman" w:hAnsi="Times New Roman" w:cs="Times New Roman"/>
          <w:color w:val="000000"/>
          <w:sz w:val="20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color w:val="000000"/>
          <w:sz w:val="20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0"/>
          <w:szCs w:val="24"/>
          <w:lang w:eastAsia="ru-RU"/>
        </w:rPr>
      </w:r>
      <w:r>
        <w:rPr>
          <w:rFonts w:ascii="Times New Roman" w:hAnsi="Times New Roman" w:cs="Times New Roman"/>
          <w:color w:val="000000"/>
          <w:sz w:val="20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color w:val="000000"/>
          <w:sz w:val="20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0"/>
          <w:szCs w:val="24"/>
          <w:lang w:eastAsia="ru-RU"/>
        </w:rPr>
      </w:r>
      <w:r>
        <w:rPr>
          <w:rFonts w:ascii="Times New Roman" w:hAnsi="Times New Roman" w:cs="Times New Roman"/>
          <w:color w:val="000000"/>
          <w:sz w:val="20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color w:val="000000"/>
          <w:sz w:val="20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0"/>
          <w:szCs w:val="24"/>
          <w:lang w:eastAsia="ru-RU"/>
        </w:rPr>
      </w:r>
      <w:r>
        <w:rPr>
          <w:rFonts w:ascii="Times New Roman" w:hAnsi="Times New Roman" w:cs="Times New Roman"/>
          <w:color w:val="000000"/>
          <w:sz w:val="20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color w:val="000000"/>
          <w:sz w:val="20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0"/>
          <w:szCs w:val="24"/>
          <w:lang w:eastAsia="ru-RU"/>
        </w:rPr>
      </w:r>
      <w:r>
        <w:rPr>
          <w:rFonts w:ascii="Times New Roman" w:hAnsi="Times New Roman" w:cs="Times New Roman"/>
          <w:color w:val="000000"/>
          <w:sz w:val="20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color w:val="000000"/>
          <w:sz w:val="20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0"/>
          <w:szCs w:val="24"/>
          <w:lang w:eastAsia="ru-RU"/>
        </w:rPr>
      </w:r>
      <w:r>
        <w:rPr>
          <w:rFonts w:ascii="Times New Roman" w:hAnsi="Times New Roman" w:cs="Times New Roman"/>
          <w:color w:val="000000"/>
          <w:sz w:val="20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color w:val="000000"/>
          <w:sz w:val="20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0"/>
          <w:szCs w:val="24"/>
          <w:lang w:eastAsia="ru-RU"/>
        </w:rPr>
      </w:r>
      <w:r>
        <w:rPr>
          <w:rFonts w:ascii="Times New Roman" w:hAnsi="Times New Roman" w:cs="Times New Roman"/>
          <w:color w:val="000000"/>
          <w:sz w:val="20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color w:val="000000"/>
          <w:sz w:val="20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0"/>
          <w:szCs w:val="24"/>
          <w:lang w:eastAsia="ru-RU"/>
        </w:rPr>
      </w:r>
      <w:r>
        <w:rPr>
          <w:rFonts w:ascii="Times New Roman" w:hAnsi="Times New Roman" w:cs="Times New Roman"/>
          <w:color w:val="000000"/>
          <w:sz w:val="20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color w:val="000000"/>
          <w:sz w:val="20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0"/>
          <w:szCs w:val="24"/>
          <w:lang w:eastAsia="ru-RU"/>
        </w:rPr>
      </w:r>
      <w:r>
        <w:rPr>
          <w:rFonts w:ascii="Times New Roman" w:hAnsi="Times New Roman" w:cs="Times New Roman"/>
          <w:color w:val="000000"/>
          <w:sz w:val="20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color w:val="000000"/>
          <w:sz w:val="20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0"/>
          <w:szCs w:val="24"/>
          <w:lang w:eastAsia="ru-RU"/>
        </w:rPr>
      </w:r>
      <w:r>
        <w:rPr>
          <w:rFonts w:ascii="Times New Roman" w:hAnsi="Times New Roman" w:cs="Times New Roman"/>
          <w:color w:val="000000"/>
          <w:sz w:val="20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color w:val="000000"/>
          <w:sz w:val="20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0"/>
          <w:szCs w:val="24"/>
          <w:lang w:eastAsia="ru-RU"/>
        </w:rPr>
      </w:r>
      <w:r>
        <w:rPr>
          <w:rFonts w:ascii="Times New Roman" w:hAnsi="Times New Roman" w:cs="Times New Roman"/>
          <w:color w:val="000000"/>
          <w:sz w:val="20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color w:val="000000"/>
          <w:sz w:val="20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0"/>
          <w:szCs w:val="24"/>
          <w:lang w:eastAsia="ru-RU"/>
        </w:rPr>
      </w:r>
      <w:r>
        <w:rPr>
          <w:rFonts w:ascii="Times New Roman" w:hAnsi="Times New Roman" w:cs="Times New Roman"/>
          <w:color w:val="000000"/>
          <w:sz w:val="20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color w:val="000000"/>
          <w:sz w:val="20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0"/>
          <w:szCs w:val="24"/>
          <w:lang w:eastAsia="ru-RU"/>
        </w:rPr>
      </w:r>
      <w:r>
        <w:rPr>
          <w:rFonts w:ascii="Times New Roman" w:hAnsi="Times New Roman" w:cs="Times New Roman"/>
          <w:color w:val="000000"/>
          <w:sz w:val="20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color w:val="000000"/>
          <w:sz w:val="20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0"/>
          <w:szCs w:val="24"/>
          <w:lang w:eastAsia="ru-RU"/>
        </w:rPr>
        <w:t xml:space="preserve">Большакова О.В.,5-27-25</w:t>
      </w:r>
      <w:r>
        <w:rPr>
          <w:rFonts w:ascii="Times New Roman" w:hAnsi="Times New Roman" w:cs="Times New Roman"/>
          <w:color w:val="000000"/>
          <w:sz w:val="20"/>
          <w:szCs w:val="24"/>
          <w:lang w:eastAsia="ru-RU"/>
        </w:rPr>
      </w:r>
    </w:p>
    <w:sectPr>
      <w:footerReference w:type="default" r:id="rId9"/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Courier New">
    <w:panose1 w:val="020703090202050204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77"/>
      <w:ind w:right="360"/>
      <w:rPr>
        <w:rFonts w:cs="Times New Roman"/>
      </w:rPr>
    </w:pPr>
    <w:r>
      <w:rPr>
        <w:rFonts w:cs="Times New Roman"/>
      </w:rPr>
    </w:r>
    <w:r>
      <w:rPr>
        <w:rFonts w:cs="Times New Roman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66"/>
    <w:next w:val="666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667"/>
    <w:link w:val="13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666"/>
    <w:next w:val="666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667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666"/>
    <w:next w:val="666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667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666"/>
    <w:next w:val="666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667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66"/>
    <w:next w:val="666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667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66"/>
    <w:next w:val="666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667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66"/>
    <w:next w:val="666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667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66"/>
    <w:next w:val="666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667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66"/>
    <w:next w:val="666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667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4">
    <w:name w:val="Title"/>
    <w:basedOn w:val="666"/>
    <w:next w:val="666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667"/>
    <w:link w:val="34"/>
    <w:uiPriority w:val="10"/>
    <w:rPr>
      <w:sz w:val="48"/>
      <w:szCs w:val="48"/>
    </w:rPr>
  </w:style>
  <w:style w:type="paragraph" w:styleId="36">
    <w:name w:val="Subtitle"/>
    <w:basedOn w:val="666"/>
    <w:next w:val="666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667"/>
    <w:link w:val="36"/>
    <w:uiPriority w:val="11"/>
    <w:rPr>
      <w:sz w:val="24"/>
      <w:szCs w:val="24"/>
    </w:rPr>
  </w:style>
  <w:style w:type="paragraph" w:styleId="38">
    <w:name w:val="Quote"/>
    <w:basedOn w:val="666"/>
    <w:next w:val="666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66"/>
    <w:next w:val="666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character" w:styleId="43">
    <w:name w:val="Header Char"/>
    <w:basedOn w:val="667"/>
    <w:link w:val="682"/>
    <w:uiPriority w:val="99"/>
  </w:style>
  <w:style w:type="character" w:styleId="45">
    <w:name w:val="Footer Char"/>
    <w:basedOn w:val="667"/>
    <w:link w:val="677"/>
    <w:uiPriority w:val="99"/>
  </w:style>
  <w:style w:type="paragraph" w:styleId="46">
    <w:name w:val="Caption"/>
    <w:basedOn w:val="666"/>
    <w:next w:val="66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677"/>
    <w:uiPriority w:val="99"/>
  </w:style>
  <w:style w:type="table" w:styleId="49">
    <w:name w:val="Table Grid Light"/>
    <w:basedOn w:val="66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66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66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66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66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66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66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66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66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66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66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66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66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66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66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66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66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66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66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66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66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66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66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66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175">
    <w:name w:val="footnote text"/>
    <w:basedOn w:val="666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667"/>
    <w:uiPriority w:val="99"/>
    <w:unhideWhenUsed/>
    <w:rPr>
      <w:vertAlign w:val="superscript"/>
    </w:rPr>
  </w:style>
  <w:style w:type="paragraph" w:styleId="178">
    <w:name w:val="endnote text"/>
    <w:basedOn w:val="666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667"/>
    <w:uiPriority w:val="99"/>
    <w:semiHidden/>
    <w:unhideWhenUsed/>
    <w:rPr>
      <w:vertAlign w:val="superscript"/>
    </w:rPr>
  </w:style>
  <w:style w:type="paragraph" w:styleId="181">
    <w:name w:val="toc 1"/>
    <w:basedOn w:val="666"/>
    <w:next w:val="666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66"/>
    <w:next w:val="666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66"/>
    <w:next w:val="666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66"/>
    <w:next w:val="666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66"/>
    <w:next w:val="666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66"/>
    <w:next w:val="666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66"/>
    <w:next w:val="666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66"/>
    <w:next w:val="666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66"/>
    <w:next w:val="666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66"/>
    <w:next w:val="666"/>
    <w:uiPriority w:val="99"/>
    <w:unhideWhenUsed/>
    <w:pPr>
      <w:spacing w:after="0" w:afterAutospacing="0"/>
    </w:pPr>
  </w:style>
  <w:style w:type="paragraph" w:styleId="666" w:default="1">
    <w:name w:val="Normal"/>
    <w:qFormat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styleId="667" w:default="1">
    <w:name w:val="Default Paragraph Font"/>
    <w:uiPriority w:val="1"/>
    <w:semiHidden/>
    <w:unhideWhenUsed/>
  </w:style>
  <w:style w:type="table" w:styleId="66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69" w:default="1">
    <w:name w:val="No List"/>
    <w:uiPriority w:val="99"/>
    <w:semiHidden/>
    <w:unhideWhenUsed/>
  </w:style>
  <w:style w:type="paragraph" w:styleId="670" w:customStyle="1">
    <w:name w:val="ConsPlusNormal"/>
    <w:pPr>
      <w:widowControl w:val="off"/>
    </w:pPr>
    <w:rPr>
      <w:rFonts w:eastAsia="Times New Roman" w:cs="Calibri"/>
      <w:sz w:val="22"/>
      <w:szCs w:val="22"/>
    </w:rPr>
  </w:style>
  <w:style w:type="paragraph" w:styleId="671" w:customStyle="1">
    <w:name w:val="ConsPlusNonformat"/>
    <w:pPr>
      <w:widowControl w:val="off"/>
    </w:pPr>
    <w:rPr>
      <w:rFonts w:ascii="Courier New" w:hAnsi="Courier New" w:eastAsia="Times New Roman" w:cs="Courier New"/>
    </w:rPr>
  </w:style>
  <w:style w:type="paragraph" w:styleId="672" w:customStyle="1">
    <w:name w:val="ConsPlusTitle"/>
    <w:pPr>
      <w:widowControl w:val="off"/>
    </w:pPr>
    <w:rPr>
      <w:rFonts w:eastAsia="Times New Roman" w:cs="Calibri"/>
      <w:b/>
      <w:bCs/>
      <w:sz w:val="22"/>
      <w:szCs w:val="22"/>
    </w:rPr>
  </w:style>
  <w:style w:type="paragraph" w:styleId="673" w:customStyle="1">
    <w:name w:val="ConsPlusCell"/>
    <w:pPr>
      <w:widowControl w:val="off"/>
    </w:pPr>
    <w:rPr>
      <w:rFonts w:eastAsia="Times New Roman" w:cs="Calibri"/>
      <w:sz w:val="22"/>
      <w:szCs w:val="22"/>
    </w:rPr>
  </w:style>
  <w:style w:type="paragraph" w:styleId="674" w:customStyle="1">
    <w:name w:val="Абзац списка1"/>
    <w:basedOn w:val="666"/>
    <w:pPr>
      <w:ind w:left="720"/>
    </w:pPr>
  </w:style>
  <w:style w:type="paragraph" w:styleId="675" w:customStyle="1">
    <w:name w:val="Содержимое таблицы"/>
    <w:basedOn w:val="666"/>
    <w:pPr>
      <w:spacing w:after="0" w:line="240" w:lineRule="auto"/>
      <w:widowControl w:val="off"/>
      <w:suppressLineNumbers/>
    </w:pPr>
    <w:rPr>
      <w:rFonts w:ascii="Times New Roman" w:hAnsi="Times New Roman" w:eastAsia="Times New Roman" w:cs="Times New Roman"/>
      <w:sz w:val="24"/>
      <w:szCs w:val="24"/>
      <w:lang w:eastAsia="hi-IN" w:bidi="hi-IN"/>
    </w:rPr>
  </w:style>
  <w:style w:type="paragraph" w:styleId="676">
    <w:name w:val="Normal (Web)"/>
    <w:basedOn w:val="666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677">
    <w:name w:val="Footer"/>
    <w:basedOn w:val="666"/>
    <w:link w:val="678"/>
    <w:pPr>
      <w:ind w:firstLine="720"/>
      <w:jc w:val="both"/>
      <w:spacing w:after="0" w:line="240" w:lineRule="auto"/>
      <w:widowControl w:val="off"/>
      <w:tabs>
        <w:tab w:val="center" w:pos="4677" w:leader="none"/>
        <w:tab w:val="right" w:pos="9355" w:leader="none"/>
      </w:tabs>
    </w:pPr>
    <w:rPr>
      <w:rFonts w:ascii="Arial" w:hAnsi="Arial" w:eastAsia="Times New Roman" w:cs="Arial"/>
      <w:sz w:val="20"/>
      <w:szCs w:val="20"/>
      <w:lang w:eastAsia="ru-RU"/>
    </w:rPr>
  </w:style>
  <w:style w:type="character" w:styleId="678" w:customStyle="1">
    <w:name w:val="Нижний колонтитул Знак"/>
    <w:link w:val="677"/>
    <w:rPr>
      <w:rFonts w:ascii="Arial" w:hAnsi="Arial" w:cs="Arial"/>
      <w:sz w:val="20"/>
      <w:szCs w:val="20"/>
      <w:lang w:eastAsia="ru-RU"/>
    </w:rPr>
  </w:style>
  <w:style w:type="character" w:styleId="679">
    <w:name w:val="page number"/>
    <w:basedOn w:val="667"/>
  </w:style>
  <w:style w:type="paragraph" w:styleId="680" w:customStyle="1">
    <w:name w:val="Абзац списка1"/>
    <w:basedOn w:val="666"/>
    <w:pPr>
      <w:ind w:left="720"/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table" w:styleId="681">
    <w:name w:val="Table Grid"/>
    <w:basedOn w:val="668"/>
    <w:rPr>
      <w:rFonts w:cs="Calibri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682">
    <w:name w:val="Header"/>
    <w:basedOn w:val="666"/>
    <w:link w:val="683"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683" w:customStyle="1">
    <w:name w:val="Верхний колонтитул Знак"/>
    <w:basedOn w:val="667"/>
    <w:link w:val="682"/>
  </w:style>
  <w:style w:type="paragraph" w:styleId="684">
    <w:name w:val="Balloon Text"/>
    <w:basedOn w:val="666"/>
    <w:link w:val="685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685" w:customStyle="1">
    <w:name w:val="Текст выноски Знак"/>
    <w:link w:val="684"/>
    <w:semiHidden/>
    <w:rPr>
      <w:rFonts w:ascii="Tahoma" w:hAnsi="Tahoma" w:cs="Tahoma"/>
      <w:sz w:val="16"/>
      <w:szCs w:val="16"/>
    </w:rPr>
  </w:style>
  <w:style w:type="character" w:styleId="686" w:customStyle="1">
    <w:name w:val="МОН Знак"/>
    <w:link w:val="687"/>
    <w:rPr>
      <w:sz w:val="24"/>
      <w:szCs w:val="24"/>
    </w:rPr>
  </w:style>
  <w:style w:type="paragraph" w:styleId="687" w:customStyle="1">
    <w:name w:val="МОН"/>
    <w:basedOn w:val="666"/>
    <w:link w:val="686"/>
    <w:pPr>
      <w:ind w:firstLine="709"/>
      <w:jc w:val="both"/>
      <w:spacing w:after="0" w:line="360" w:lineRule="auto"/>
    </w:pPr>
    <w:rPr>
      <w:sz w:val="24"/>
      <w:szCs w:val="24"/>
      <w:lang w:eastAsia="ru-RU"/>
    </w:rPr>
  </w:style>
  <w:style w:type="character" w:styleId="688">
    <w:name w:val="Strong"/>
    <w:qFormat/>
    <w:rPr>
      <w:b/>
      <w:bCs/>
    </w:rPr>
  </w:style>
  <w:style w:type="character" w:styleId="689">
    <w:name w:val="Hyperlink"/>
    <w:semiHidden/>
    <w:rPr>
      <w:color w:val="0000ff"/>
      <w:u w:val="single"/>
    </w:rPr>
  </w:style>
  <w:style w:type="paragraph" w:styleId="690">
    <w:name w:val="List Paragraph"/>
    <w:basedOn w:val="666"/>
    <w:link w:val="691"/>
    <w:uiPriority w:val="99"/>
    <w:qFormat/>
    <w:pPr>
      <w:ind w:left="708"/>
      <w:spacing w:after="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styleId="691" w:customStyle="1">
    <w:name w:val="Абзац списка Знак"/>
    <w:link w:val="690"/>
    <w:uiPriority w:val="99"/>
    <w:rPr>
      <w:rFonts w:ascii="Times New Roman" w:hAnsi="Times New Roman"/>
    </w:rPr>
  </w:style>
  <w:style w:type="paragraph" w:styleId="692">
    <w:name w:val="No Spacing"/>
    <w:uiPriority w:val="1"/>
    <w:qFormat/>
    <w:rPr>
      <w:rFonts w:cs="Calibri"/>
      <w:sz w:val="22"/>
      <w:szCs w:val="22"/>
      <w:lang w:eastAsia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Relationship Id="rId10" Type="http://schemas.openxmlformats.org/officeDocument/2006/relationships/customXml" Target="../customXml/item1.xml" /><Relationship Id="rId11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D5BB11-F157-41F5-AD22-AA047C22AC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Обадина Анна Владимировна</dc:creator>
  <cp:revision>5</cp:revision>
  <dcterms:created xsi:type="dcterms:W3CDTF">2023-12-18T12:26:00Z</dcterms:created>
  <dcterms:modified xsi:type="dcterms:W3CDTF">2024-02-15T13:41:40Z</dcterms:modified>
</cp:coreProperties>
</file>