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28.11.2023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1754</w: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 внесении изменений в</w:t>
      </w:r>
      <w:r>
        <w:rPr>
          <w:b/>
          <w:sz w:val="20"/>
          <w:szCs w:val="20"/>
        </w:rPr>
        <w:t xml:space="preserve"> муниципальн</w:t>
      </w:r>
      <w:r>
        <w:rPr>
          <w:b/>
          <w:sz w:val="20"/>
          <w:szCs w:val="20"/>
        </w:rPr>
        <w:t xml:space="preserve">ую</w:t>
      </w:r>
      <w:r>
        <w:rPr>
          <w:b/>
          <w:sz w:val="20"/>
          <w:szCs w:val="20"/>
        </w:rPr>
        <w:t xml:space="preserve"> программ</w:t>
      </w:r>
      <w:r>
        <w:rPr>
          <w:b/>
          <w:sz w:val="20"/>
          <w:szCs w:val="20"/>
        </w:rPr>
        <w:t xml:space="preserve">у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Печенгского муниципального </w:t>
      </w:r>
      <w:r>
        <w:rPr>
          <w:b/>
          <w:sz w:val="20"/>
          <w:szCs w:val="20"/>
        </w:rPr>
        <w:t xml:space="preserve">округа </w:t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</w:t>
      </w:r>
      <w:r>
        <w:rPr>
          <w:b/>
          <w:sz w:val="20"/>
          <w:szCs w:val="20"/>
        </w:rPr>
        <w:t xml:space="preserve"> и спорт» на 2023-2025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администрации Печенгского мун</w:t>
      </w:r>
      <w:r>
        <w:rPr>
          <w:b/>
          <w:sz w:val="20"/>
          <w:szCs w:val="20"/>
        </w:rPr>
        <w:t xml:space="preserve">иципального округа от 03.11.2022</w:t>
      </w:r>
      <w:r>
        <w:rPr>
          <w:b/>
          <w:sz w:val="20"/>
          <w:szCs w:val="20"/>
        </w:rPr>
        <w:t xml:space="preserve"> №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1495</w:t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</w:t>
      </w:r>
      <w:r>
        <w:rPr>
          <w:color w:val="000000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 </w:t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</w:p>
    <w:p>
      <w:pPr>
        <w:jc w:val="both"/>
      </w:pPr>
      <w:r/>
      <w:r/>
    </w:p>
    <w:p>
      <w:pPr>
        <w:pStyle w:val="751"/>
        <w:numPr>
          <w:ilvl w:val="0"/>
          <w:numId w:val="25"/>
        </w:numPr>
        <w:ind w:left="0" w:right="-5" w:firstLine="705"/>
        <w:jc w:val="both"/>
        <w:widowControl w:val="off"/>
        <w:rPr>
          <w:rFonts w:eastAsia="Calibri"/>
        </w:rPr>
      </w:pPr>
      <w:r>
        <w:rPr>
          <w:rFonts w:eastAsia="Calibri"/>
        </w:rPr>
        <w:t xml:space="preserve">Внести в муниципальную программу Печенгского муниципального округа </w:t>
      </w:r>
      <w:r>
        <w:rPr>
          <w:rFonts w:eastAsia="Calibri"/>
        </w:rPr>
        <w:t xml:space="preserve">«Физическая культура и спорт» </w:t>
      </w:r>
      <w:r>
        <w:rPr>
          <w:rFonts w:eastAsia="Calibri"/>
        </w:rPr>
        <w:t xml:space="preserve">на 2023-2025</w:t>
      </w:r>
      <w:r>
        <w:rPr>
          <w:rFonts w:eastAsia="Calibri"/>
        </w:rPr>
        <w:t xml:space="preserve"> годы, утвержденную постановлением </w:t>
      </w:r>
      <w:r>
        <w:rPr>
          <w:rFonts w:eastAsia="Calibri"/>
          <w:bCs/>
        </w:rPr>
        <w:t xml:space="preserve">администрации Печенгс</w:t>
      </w:r>
      <w:r>
        <w:rPr>
          <w:rFonts w:eastAsia="Calibri"/>
          <w:bCs/>
        </w:rPr>
        <w:t xml:space="preserve">кого муниципального округа от 03.11.2022</w:t>
      </w:r>
      <w:r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№ 1495</w:t>
      </w:r>
      <w:r>
        <w:rPr>
          <w:rFonts w:eastAsia="Calibri"/>
          <w:bCs/>
        </w:rPr>
        <w:t xml:space="preserve"> (в редакции постановления администрации Печенгс</w:t>
      </w:r>
      <w:r>
        <w:rPr>
          <w:rFonts w:eastAsia="Calibri"/>
          <w:bCs/>
        </w:rPr>
        <w:t xml:space="preserve">кого муниципального округа от 13.10</w:t>
      </w:r>
      <w:r>
        <w:rPr>
          <w:rFonts w:eastAsia="Calibri"/>
          <w:bCs/>
        </w:rPr>
        <w:t xml:space="preserve">.2023 </w:t>
      </w:r>
      <w:r>
        <w:rPr>
          <w:rFonts w:eastAsia="Calibri"/>
          <w:bCs/>
        </w:rPr>
        <w:t xml:space="preserve">                       </w:t>
      </w:r>
      <w:r>
        <w:rPr>
          <w:rFonts w:eastAsia="Calibri"/>
          <w:bCs/>
        </w:rPr>
        <w:t xml:space="preserve">№ </w:t>
      </w:r>
      <w:r>
        <w:rPr>
          <w:rFonts w:eastAsia="Calibri"/>
          <w:bCs/>
        </w:rPr>
        <w:t xml:space="preserve">1514</w:t>
      </w:r>
      <w:r>
        <w:rPr>
          <w:rFonts w:eastAsia="Calibri"/>
          <w:bCs/>
        </w:rPr>
        <w:t xml:space="preserve">) 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строку «Финансовое обеспечение программы» в паспорте П</w:t>
      </w:r>
      <w:r>
        <w:rPr>
          <w:rFonts w:eastAsia="Calibri"/>
        </w:rPr>
        <w:t xml:space="preserve">рограммы изложить в следующей ре</w:t>
      </w:r>
      <w:r>
        <w:rPr>
          <w:rFonts w:eastAsia="Calibri"/>
        </w:rPr>
        <w:t xml:space="preserve">дакции:</w:t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t xml:space="preserve">«</w:t>
            </w:r>
            <w:r>
              <w:t xml:space="preserve">Финансовое обеспечение программы</w:t>
            </w:r>
            <w:r>
              <w:rPr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программе: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299 511,</w:t>
            </w:r>
            <w:r>
              <w:rPr>
                <w:rFonts w:eastAsia="Calibri"/>
                <w:b/>
                <w:lang w:eastAsia="en-US"/>
              </w:rPr>
              <w:t xml:space="preserve">2</w:t>
            </w:r>
            <w:r>
              <w:rPr>
                <w:rFonts w:eastAsia="Calibri"/>
                <w:b/>
                <w:lang w:eastAsia="en-US"/>
              </w:rPr>
              <w:t xml:space="preserve"> тыс. рублей, </w:t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 год: 0,0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0,0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0,0 тыс. рублей.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69</w:t>
            </w:r>
            <w:r>
              <w:rPr>
                <w:rFonts w:eastAsia="Calibri"/>
                <w:lang w:eastAsia="en-US"/>
              </w:rPr>
              <w:t xml:space="preserve">172,8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 год: </w:t>
            </w:r>
            <w:r>
              <w:rPr>
                <w:rFonts w:eastAsia="Calibri"/>
                <w:lang w:eastAsia="en-US"/>
              </w:rPr>
              <w:t xml:space="preserve">22</w:t>
            </w:r>
            <w:r>
              <w:rPr>
                <w:rFonts w:eastAsia="Calibri"/>
                <w:lang w:eastAsia="en-US"/>
              </w:rPr>
              <w:t xml:space="preserve">562,3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22055,0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24555,5 тыс. рублей.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195</w:t>
            </w:r>
            <w:r>
              <w:rPr>
                <w:rFonts w:eastAsia="Calibri"/>
                <w:lang w:eastAsia="en-US"/>
              </w:rPr>
              <w:t xml:space="preserve">659,2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 год: </w:t>
            </w:r>
            <w:r>
              <w:rPr>
                <w:rFonts w:eastAsia="Calibri"/>
                <w:lang w:eastAsia="en-US"/>
              </w:rPr>
              <w:t xml:space="preserve">66</w:t>
            </w:r>
            <w:r>
              <w:rPr>
                <w:rFonts w:eastAsia="Calibri"/>
                <w:lang w:eastAsia="en-US"/>
              </w:rPr>
              <w:t xml:space="preserve">466,8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66076,2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63116,2 тыс. рублей.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</w:t>
            </w:r>
            <w:r>
              <w:rPr>
                <w:rFonts w:eastAsia="Calibri"/>
                <w:lang w:eastAsia="en-US"/>
              </w:rPr>
              <w:t xml:space="preserve">346</w:t>
            </w:r>
            <w:r>
              <w:rPr>
                <w:rFonts w:eastAsia="Calibri"/>
                <w:lang w:eastAsia="en-US"/>
              </w:rPr>
              <w:t xml:space="preserve">79,2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2023 год: 116</w:t>
            </w:r>
            <w:r>
              <w:rPr>
                <w:rFonts w:eastAsia="Calibri"/>
                <w:lang w:eastAsia="en-US"/>
              </w:rPr>
              <w:t xml:space="preserve">79,2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11500,0 тыс. рублей,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11500,0 тыс. рублей.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jc w:val="both"/>
        <w:tabs>
          <w:tab w:val="left" w:pos="2149" w:leader="none"/>
        </w:tabs>
      </w:pPr>
      <w:r>
        <w:t xml:space="preserve"> </w:t>
      </w:r>
      <w:r/>
    </w:p>
    <w:p>
      <w:pPr>
        <w:jc w:val="both"/>
        <w:tabs>
          <w:tab w:val="left" w:pos="2149" w:leader="none"/>
        </w:tabs>
      </w:pPr>
      <w:r>
        <w:t xml:space="preserve">          - </w:t>
      </w:r>
      <w:r>
        <w:t xml:space="preserve">строку 2.6 таблицы</w:t>
      </w:r>
      <w:r>
        <w:t xml:space="preserve"> </w:t>
      </w:r>
      <w:r>
        <w:t xml:space="preserve">«</w:t>
      </w:r>
      <w:r>
        <w:t xml:space="preserve">Основные показатели эффективности реализации программы» раздел</w:t>
      </w:r>
      <w:r>
        <w:t xml:space="preserve">а</w:t>
      </w:r>
      <w:r>
        <w:t xml:space="preserve"> 2 «Основные цели и задачи программы с указанием сроков и этапов ее реализации, а также перечень основных мероприятий и показателей» Программ</w:t>
      </w:r>
      <w:r>
        <w:t xml:space="preserve">ы изложить в следующей редакции: </w:t>
      </w:r>
      <w:r/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410"/>
        <w:gridCol w:w="709"/>
        <w:gridCol w:w="850"/>
        <w:gridCol w:w="851"/>
        <w:gridCol w:w="850"/>
        <w:gridCol w:w="850"/>
        <w:gridCol w:w="851"/>
        <w:gridCol w:w="1276"/>
      </w:tblGrid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2.6.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физкультурных и спортивных мероприятий направленных на популяризацию здорового образа жизни среди различных слоев населения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Стат. форма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1-ФК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2149" w:leader="none"/>
        </w:tabs>
      </w:pPr>
      <w:r/>
      <w:r/>
    </w:p>
    <w:p>
      <w:pPr>
        <w:jc w:val="both"/>
        <w:tabs>
          <w:tab w:val="left" w:pos="709" w:leader="none"/>
        </w:tabs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 xml:space="preserve">- </w:t>
      </w:r>
      <w:r>
        <w:rPr>
          <w:rFonts w:eastAsia="Calibri"/>
        </w:rPr>
        <w:t xml:space="preserve">строки</w:t>
      </w:r>
      <w:r>
        <w:rPr>
          <w:rFonts w:eastAsia="Calibri"/>
        </w:rPr>
        <w:t xml:space="preserve"> 1</w:t>
      </w:r>
      <w:r>
        <w:rPr>
          <w:rFonts w:eastAsia="Calibri"/>
        </w:rPr>
        <w:t xml:space="preserve">.1</w:t>
      </w:r>
      <w:r>
        <w:rPr>
          <w:rFonts w:eastAsia="Calibri"/>
        </w:rPr>
        <w:t xml:space="preserve"> и</w:t>
      </w:r>
      <w:r>
        <w:rPr>
          <w:rFonts w:eastAsia="Calibri"/>
        </w:rPr>
        <w:t xml:space="preserve"> «Итого по меропри</w:t>
      </w:r>
      <w:r>
        <w:rPr>
          <w:rFonts w:eastAsia="Calibri"/>
        </w:rPr>
        <w:t xml:space="preserve">ятию 1</w:t>
      </w:r>
      <w:r>
        <w:rPr>
          <w:rFonts w:eastAsia="Calibri"/>
        </w:rPr>
        <w:t xml:space="preserve">» </w:t>
      </w:r>
      <w:r>
        <w:rPr>
          <w:rFonts w:eastAsia="Calibri"/>
        </w:rPr>
        <w:t xml:space="preserve">Приложения 1 </w:t>
      </w:r>
      <w:r>
        <w:rPr>
          <w:rFonts w:eastAsia="Calibri"/>
        </w:rPr>
        <w:t xml:space="preserve">«</w:t>
      </w:r>
      <w:r>
        <w:rPr>
          <w:rFonts w:eastAsia="Calibri"/>
        </w:rPr>
        <w:t xml:space="preserve">Перечень</w:t>
      </w:r>
      <w:r>
        <w:rPr>
          <w:rFonts w:eastAsia="Calibri"/>
        </w:rPr>
        <w:t xml:space="preserve"> мероприятий </w:t>
      </w:r>
      <w:r>
        <w:rPr>
          <w:rFonts w:eastAsia="Calibri"/>
        </w:rPr>
        <w:t xml:space="preserve">программы </w:t>
      </w:r>
      <w:r>
        <w:rPr>
          <w:rFonts w:eastAsia="Calibri"/>
        </w:rPr>
        <w:t xml:space="preserve">с объемом финансирования» </w:t>
      </w:r>
      <w:r>
        <w:rPr>
          <w:rFonts w:eastAsia="Calibri"/>
        </w:rPr>
        <w:t xml:space="preserve">(далее – Приложение 1) </w:t>
      </w:r>
      <w:r>
        <w:rPr>
          <w:rFonts w:eastAsia="Calibri"/>
        </w:rPr>
        <w:t xml:space="preserve">к</w:t>
      </w:r>
      <w:r>
        <w:rPr>
          <w:rFonts w:eastAsia="Calibri"/>
        </w:rPr>
        <w:t xml:space="preserve"> Программе </w:t>
      </w:r>
      <w:r>
        <w:rPr>
          <w:rFonts w:eastAsia="Calibri"/>
        </w:rPr>
        <w:t xml:space="preserve">изложить в следующей редакции</w:t>
      </w:r>
      <w:r>
        <w:rPr>
          <w:rFonts w:eastAsia="Calibri"/>
        </w:rPr>
        <w:t xml:space="preserve">:</w:t>
      </w:r>
      <w:r>
        <w:rPr>
          <w:rFonts w:eastAsia="Calibri"/>
        </w:rPr>
      </w:r>
    </w:p>
    <w:tbl>
      <w:tblPr>
        <w:tblW w:w="488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1575"/>
        <w:gridCol w:w="709"/>
        <w:gridCol w:w="855"/>
        <w:gridCol w:w="1134"/>
        <w:gridCol w:w="992"/>
        <w:gridCol w:w="992"/>
        <w:gridCol w:w="1128"/>
        <w:gridCol w:w="1282"/>
      </w:tblGrid>
      <w:tr>
        <w:tblPrEx/>
        <w:trPr>
          <w:trHeight w:val="230"/>
        </w:trPr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предоставления услуг (работ)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2023-2025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«Металлург», </w:t>
            </w:r>
            <w:r>
              <w:rPr>
                <w:sz w:val="20"/>
                <w:szCs w:val="20"/>
              </w:rPr>
            </w:r>
          </w:p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</w:r>
          </w:p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17390</w:t>
            </w:r>
            <w:r>
              <w:rPr>
                <w:sz w:val="20"/>
                <w:szCs w:val="20"/>
              </w:rPr>
              <w:t xml:space="preserve">9,9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580</w:t>
            </w:r>
            <w:r>
              <w:rPr>
                <w:sz w:val="20"/>
                <w:szCs w:val="20"/>
              </w:rPr>
              <w:t xml:space="preserve">70,7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57465,4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58373,8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34444,2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11444,2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11500,0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11500,0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2083</w:t>
            </w:r>
            <w:r>
              <w:rPr>
                <w:b/>
                <w:sz w:val="20"/>
                <w:szCs w:val="20"/>
              </w:rPr>
              <w:t xml:space="preserve">54,1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695</w:t>
            </w:r>
            <w:r>
              <w:rPr>
                <w:b/>
                <w:sz w:val="20"/>
                <w:szCs w:val="20"/>
              </w:rPr>
              <w:t xml:space="preserve">14,9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68965,4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69873,8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 по мероприятию 1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66452,4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19841,9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22055,0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24555,5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177</w:t>
            </w:r>
            <w:r>
              <w:rPr>
                <w:b/>
                <w:sz w:val="20"/>
                <w:szCs w:val="20"/>
              </w:rPr>
              <w:t xml:space="preserve">407,4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59</w:t>
            </w:r>
            <w:r>
              <w:rPr>
                <w:b/>
                <w:sz w:val="20"/>
                <w:szCs w:val="20"/>
              </w:rPr>
              <w:t xml:space="preserve">115,0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</w:t>
            </w:r>
            <w:r>
              <w:rPr>
                <w:b/>
                <w:sz w:val="20"/>
                <w:szCs w:val="20"/>
              </w:rPr>
              <w:t xml:space="preserve">626,2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59666,2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34444,2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11444,2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11500,0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11500,0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278</w:t>
            </w:r>
            <w:r>
              <w:rPr>
                <w:b/>
                <w:sz w:val="20"/>
                <w:szCs w:val="20"/>
              </w:rPr>
              <w:t xml:space="preserve">304,0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90</w:t>
            </w:r>
            <w:r>
              <w:rPr>
                <w:b/>
                <w:sz w:val="20"/>
                <w:szCs w:val="20"/>
              </w:rPr>
              <w:t xml:space="preserve">401,1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92181,2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95721,7</w:t>
            </w:r>
            <w:r>
              <w:rPr>
                <w:b/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</w:r>
    </w:p>
    <w:p>
      <w:pPr>
        <w:jc w:val="both"/>
        <w:tabs>
          <w:tab w:val="left" w:pos="709" w:leader="none"/>
        </w:tabs>
        <w:rPr>
          <w:rFonts w:eastAsia="Calibri"/>
        </w:rPr>
      </w:pPr>
      <w:r>
        <w:rPr>
          <w:rFonts w:eastAsia="Calibri"/>
        </w:rPr>
        <w:tab/>
        <w:t xml:space="preserve">- строки 2.2 и «Итого по мероприятию 2» Приложения 1 к Программе изложить в следующей редакции:</w:t>
      </w:r>
      <w:r>
        <w:rPr>
          <w:rFonts w:eastAsia="Calibri"/>
        </w:rPr>
      </w:r>
    </w:p>
    <w:tbl>
      <w:tblPr>
        <w:tblW w:w="488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1575"/>
        <w:gridCol w:w="709"/>
        <w:gridCol w:w="855"/>
        <w:gridCol w:w="1134"/>
        <w:gridCol w:w="992"/>
        <w:gridCol w:w="992"/>
        <w:gridCol w:w="1128"/>
        <w:gridCol w:w="1282"/>
      </w:tblGrid>
      <w:tr>
        <w:tblPrEx/>
        <w:trPr>
          <w:trHeight w:val="230"/>
        </w:trPr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«2.2.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4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Улучшение технического состояния учреждений физической культуры и спорта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2023-2024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«Металлург», </w:t>
            </w:r>
            <w:r>
              <w:rPr>
                <w:sz w:val="20"/>
                <w:szCs w:val="20"/>
              </w:rPr>
            </w:r>
          </w:p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</w:r>
          </w:p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7451,8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3451,8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842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7451,8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3451,8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 </w:t>
            </w:r>
            <w:r>
              <w:rPr>
                <w:b/>
                <w:sz w:val="20"/>
                <w:szCs w:val="20"/>
              </w:rPr>
              <w:t xml:space="preserve">по мероприятию 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7451,8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3451,8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7451,8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3451,8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0,0»;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rPr>
          <w:rFonts w:eastAsia="Calibri"/>
        </w:rPr>
      </w:pPr>
      <w:r>
        <w:rPr>
          <w:rFonts w:eastAsia="Calibri"/>
        </w:rPr>
        <w:t xml:space="preserve">           </w:t>
      </w:r>
      <w:r>
        <w:rPr>
          <w:rFonts w:eastAsia="Calibri"/>
        </w:rPr>
        <w:t xml:space="preserve">- строки 3.1, </w:t>
      </w:r>
      <w:r>
        <w:rPr>
          <w:rFonts w:eastAsia="Calibri"/>
        </w:rPr>
        <w:t xml:space="preserve">3.2, </w:t>
      </w:r>
      <w:r>
        <w:rPr>
          <w:rFonts w:eastAsia="Calibri"/>
        </w:rPr>
        <w:t xml:space="preserve">«Итого по мероприятию 3</w:t>
      </w:r>
      <w:r>
        <w:rPr>
          <w:rFonts w:eastAsia="Calibri"/>
        </w:rPr>
        <w:t xml:space="preserve">» и «Всего по программе» Приложения 1 к Программе изложить в следующей редакции:</w:t>
      </w:r>
      <w:r>
        <w:rPr>
          <w:rFonts w:eastAsia="Calibri"/>
        </w:rPr>
      </w:r>
    </w:p>
    <w:tbl>
      <w:tblPr>
        <w:tblW w:w="488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1849"/>
        <w:gridCol w:w="707"/>
        <w:gridCol w:w="992"/>
        <w:gridCol w:w="992"/>
        <w:gridCol w:w="992"/>
        <w:gridCol w:w="994"/>
        <w:gridCol w:w="1134"/>
        <w:gridCol w:w="992"/>
      </w:tblGrid>
      <w:tr>
        <w:tblPrEx/>
        <w:trPr>
          <w:trHeight w:val="230"/>
        </w:trPr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«3.1.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8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и проведение соревнований, спортивно-массовых мероприятий, обеспечение </w:t>
            </w:r>
            <w:r>
              <w:rPr>
                <w:sz w:val="20"/>
                <w:szCs w:val="20"/>
              </w:rPr>
              <w:t xml:space="preserve">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2023-202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</w:t>
            </w:r>
            <w:r>
              <w:rPr>
                <w:sz w:val="20"/>
                <w:szCs w:val="20"/>
              </w:rPr>
              <w:t xml:space="preserve">тдел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88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88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91</w:t>
            </w:r>
            <w:r>
              <w:rPr>
                <w:sz w:val="20"/>
                <w:szCs w:val="20"/>
              </w:rPr>
              <w:t xml:space="preserve">00,0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</w:t>
            </w:r>
            <w:r>
              <w:rPr>
                <w:sz w:val="20"/>
                <w:szCs w:val="20"/>
              </w:rPr>
              <w:t xml:space="preserve">00,0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3000,0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3000,0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88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88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</w:t>
            </w: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</w:t>
            </w: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 по мероприятию 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2720,4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2720,4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</w:t>
            </w:r>
            <w:r>
              <w:rPr>
                <w:b/>
                <w:sz w:val="20"/>
                <w:szCs w:val="20"/>
              </w:rPr>
              <w:t xml:space="preserve">450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</w:t>
            </w:r>
            <w:r>
              <w:rPr>
                <w:b/>
                <w:sz w:val="20"/>
                <w:szCs w:val="20"/>
              </w:rPr>
              <w:t xml:space="preserve">450,0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235,0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235,0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1"/>
        </w:trPr>
        <w:tc>
          <w:tcPr>
            <w:gridSpan w:val="3"/>
            <w:shd w:val="clear" w:color="auto" w:fill="auto"/>
            <w:tcW w:w="17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12405,4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6405,3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5"/>
        </w:trPr>
        <w:tc>
          <w:tcPr>
            <w:gridSpan w:val="3"/>
            <w:shd w:val="clear" w:color="auto" w:fill="auto"/>
            <w:tcW w:w="1742" w:type="pct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программе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8"/>
        </w:trPr>
        <w:tc>
          <w:tcPr>
            <w:gridSpan w:val="3"/>
            <w:shd w:val="clear" w:color="auto" w:fill="auto"/>
            <w:tcW w:w="17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69172,8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22562,3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22055,0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24555,5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43"/>
        </w:trPr>
        <w:tc>
          <w:tcPr>
            <w:gridSpan w:val="3"/>
            <w:shd w:val="clear" w:color="auto" w:fill="auto"/>
            <w:tcW w:w="17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195</w:t>
            </w:r>
            <w:r>
              <w:rPr>
                <w:b/>
                <w:bCs/>
                <w:sz w:val="20"/>
                <w:szCs w:val="20"/>
              </w:rPr>
              <w:t xml:space="preserve">659,2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</w:t>
            </w:r>
            <w:r>
              <w:rPr>
                <w:b/>
                <w:sz w:val="20"/>
                <w:szCs w:val="20"/>
              </w:rPr>
              <w:t xml:space="preserve">466,8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66076,2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63116,2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7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346</w:t>
            </w:r>
            <w:r>
              <w:rPr>
                <w:b/>
                <w:sz w:val="20"/>
                <w:szCs w:val="20"/>
              </w:rPr>
              <w:t xml:space="preserve">79,2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116</w:t>
            </w:r>
            <w:r>
              <w:rPr>
                <w:b/>
                <w:sz w:val="20"/>
                <w:szCs w:val="20"/>
              </w:rPr>
              <w:t xml:space="preserve">79,2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11500,0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11500,0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7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299511,2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100708,3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99631,2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99171,7»;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widowControl w:val="off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</w:r>
      <w:r>
        <w:rPr>
          <w:rFonts w:eastAsia="Calibri"/>
          <w:sz w:val="20"/>
          <w:szCs w:val="20"/>
        </w:rPr>
      </w:r>
    </w:p>
    <w:p>
      <w:pPr>
        <w:jc w:val="both"/>
        <w:widowControl w:val="off"/>
        <w:rPr>
          <w:rFonts w:eastAsia="Calibri"/>
          <w:szCs w:val="18"/>
        </w:rPr>
      </w:pPr>
      <w:r>
        <w:rPr>
          <w:rFonts w:eastAsia="Calibri"/>
          <w:szCs w:val="18"/>
        </w:rPr>
        <w:tab/>
        <w:t xml:space="preserve">- строку 3.1 П</w:t>
      </w:r>
      <w:r>
        <w:rPr>
          <w:rFonts w:eastAsia="Calibri"/>
          <w:szCs w:val="18"/>
        </w:rPr>
        <w:t xml:space="preserve">риложения 2 «Перечень мероприятий </w:t>
      </w:r>
      <w:r>
        <w:rPr>
          <w:rFonts w:eastAsia="Calibri"/>
          <w:szCs w:val="18"/>
        </w:rPr>
        <w:t xml:space="preserve">программы </w:t>
      </w:r>
      <w:r>
        <w:rPr>
          <w:rFonts w:eastAsia="Calibri"/>
          <w:szCs w:val="18"/>
        </w:rPr>
        <w:t xml:space="preserve">с показателями результативности выполнения мероприятий» к Программе изложить в следующей редакции:</w:t>
      </w:r>
      <w:r>
        <w:rPr>
          <w:rFonts w:eastAsia="Calibri"/>
          <w:szCs w:val="18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709"/>
        <w:gridCol w:w="1842"/>
        <w:gridCol w:w="709"/>
        <w:gridCol w:w="851"/>
        <w:gridCol w:w="850"/>
        <w:gridCol w:w="851"/>
        <w:gridCol w:w="992"/>
      </w:tblGrid>
      <w:tr>
        <w:tblPrEx/>
        <w:trPr>
          <w:trHeight w:val="1395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«3.1.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2023-2025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 xml:space="preserve">Количество физкультурных и спортивных мероприятий, направленных на популяризацию здорового образа жизни среди различных слоев населения </w:t>
            </w:r>
            <w:r>
              <w:rPr>
                <w:b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шт.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70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Не менее 70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Не менее 70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</w:t>
            </w:r>
            <w:r>
              <w:rPr>
                <w:sz w:val="20"/>
                <w:szCs w:val="20"/>
              </w:rPr>
              <w:t xml:space="preserve">МП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850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Количество жителей, привлеченных к занятиям физической культурой и спортом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чел.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2510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2550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2590</w:t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widowControl w:val="off"/>
        <w:rPr>
          <w:rFonts w:eastAsia="Calibri"/>
          <w:szCs w:val="18"/>
        </w:rPr>
      </w:pPr>
      <w:r>
        <w:rPr>
          <w:rFonts w:eastAsia="Calibri"/>
          <w:szCs w:val="18"/>
        </w:rPr>
      </w:r>
      <w:r>
        <w:rPr>
          <w:rFonts w:eastAsia="Calibri"/>
          <w:szCs w:val="18"/>
        </w:rPr>
      </w:r>
    </w:p>
    <w:p>
      <w:pPr>
        <w:ind w:firstLine="709"/>
        <w:jc w:val="both"/>
        <w:widowControl w:val="off"/>
      </w:pPr>
      <w:r>
        <w:rPr>
          <w:rFonts w:eastAsia="Calibri"/>
          <w:lang w:eastAsia="en-US"/>
        </w:rPr>
        <w:t xml:space="preserve">2</w:t>
      </w:r>
      <w:r>
        <w:rPr>
          <w:rFonts w:eastAsia="Calibri"/>
          <w:lang w:eastAsia="en-US"/>
        </w:rPr>
        <w:t xml:space="preserve">. </w:t>
      </w:r>
      <w:r>
        <w:rPr>
          <w:lang w:eastAsia="en-US"/>
        </w:rPr>
        <w:t xml:space="preserve">Настоящее постановление вступает в силу после его подписания.</w:t>
      </w:r>
      <w:r/>
    </w:p>
    <w:p>
      <w:pPr>
        <w:ind w:firstLine="709"/>
        <w:jc w:val="both"/>
        <w:tabs>
          <w:tab w:val="left" w:pos="709" w:leader="none"/>
        </w:tabs>
      </w:pPr>
      <w:r>
        <w:t xml:space="preserve">3.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Печенгского муниципального округа</w:t>
      </w:r>
      <w:r>
        <w:t xml:space="preserve"> в сети Интернет.</w:t>
      </w:r>
      <w:r/>
    </w:p>
    <w:p>
      <w:r/>
      <w:r/>
    </w:p>
    <w:p>
      <w:r/>
      <w:r/>
    </w:p>
    <w:p>
      <w:pPr>
        <w:pStyle w:val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b/>
          <w:bCs/>
        </w:rPr>
      </w:pPr>
      <w:r/>
      <w:bookmarkStart w:id="0" w:name="_GoBack"/>
      <w:r/>
      <w:bookmarkEnd w:id="0"/>
      <w:r/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Большакова О.В. 52725</w:t>
      </w:r>
      <w:r>
        <w:rPr>
          <w:bCs/>
          <w:sz w:val="20"/>
          <w:szCs w:val="20"/>
        </w:rPr>
      </w:r>
      <w:r>
        <w:rPr>
          <w:b w:val="0"/>
        </w:rPr>
      </w:r>
      <w:r>
        <w:rPr>
          <w:b w:val="0"/>
        </w:rPr>
      </w:r>
      <w:r>
        <w:rPr>
          <w:bCs/>
          <w:sz w:val="20"/>
          <w:szCs w:val="20"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6"/>
    </w:pPr>
    <w:r>
      <w:rPr>
        <w:rStyle w:val="735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21"/>
  </w:num>
  <w:num w:numId="4">
    <w:abstractNumId w:val="23"/>
  </w:num>
  <w:num w:numId="5">
    <w:abstractNumId w:val="22"/>
  </w:num>
  <w:num w:numId="6">
    <w:abstractNumId w:val="20"/>
  </w:num>
  <w:num w:numId="7">
    <w:abstractNumId w:val="6"/>
  </w:num>
  <w:num w:numId="8">
    <w:abstractNumId w:val="15"/>
  </w:num>
  <w:num w:numId="9">
    <w:abstractNumId w:val="7"/>
  </w:num>
  <w:num w:numId="10">
    <w:abstractNumId w:val="24"/>
  </w:num>
  <w:num w:numId="11">
    <w:abstractNumId w:val="2"/>
  </w:num>
  <w:num w:numId="12">
    <w:abstractNumId w:val="9"/>
  </w:num>
  <w:num w:numId="13">
    <w:abstractNumId w:val="16"/>
  </w:num>
  <w:num w:numId="14">
    <w:abstractNumId w:val="11"/>
  </w:num>
  <w:num w:numId="15">
    <w:abstractNumId w:val="10"/>
  </w:num>
  <w:num w:numId="16">
    <w:abstractNumId w:val="17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4"/>
  </w:num>
  <w:num w:numId="20">
    <w:abstractNumId w:val="3"/>
  </w:num>
  <w:num w:numId="21">
    <w:abstractNumId w:val="19"/>
  </w:num>
  <w:num w:numId="22">
    <w:abstractNumId w:val="5"/>
  </w:num>
  <w:num w:numId="23">
    <w:abstractNumId w:val="12"/>
  </w:num>
  <w:num w:numId="24">
    <w:abstractNumId w:val="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23"/>
    <w:next w:val="72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25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25"/>
    <w:link w:val="724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23"/>
    <w:next w:val="72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25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23"/>
    <w:next w:val="72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25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23"/>
    <w:next w:val="72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25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23"/>
    <w:next w:val="72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2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23"/>
    <w:next w:val="72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2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23"/>
    <w:next w:val="72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2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23"/>
    <w:next w:val="72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25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25"/>
    <w:link w:val="743"/>
    <w:uiPriority w:val="10"/>
    <w:rPr>
      <w:sz w:val="48"/>
      <w:szCs w:val="48"/>
    </w:rPr>
  </w:style>
  <w:style w:type="paragraph" w:styleId="36">
    <w:name w:val="Subtitle"/>
    <w:basedOn w:val="723"/>
    <w:next w:val="72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25"/>
    <w:link w:val="36"/>
    <w:uiPriority w:val="11"/>
    <w:rPr>
      <w:sz w:val="24"/>
      <w:szCs w:val="24"/>
    </w:rPr>
  </w:style>
  <w:style w:type="paragraph" w:styleId="38">
    <w:name w:val="Quote"/>
    <w:basedOn w:val="723"/>
    <w:next w:val="72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23"/>
    <w:next w:val="72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25"/>
    <w:link w:val="736"/>
    <w:uiPriority w:val="99"/>
  </w:style>
  <w:style w:type="character" w:styleId="45">
    <w:name w:val="Footer Char"/>
    <w:basedOn w:val="725"/>
    <w:link w:val="733"/>
    <w:uiPriority w:val="99"/>
  </w:style>
  <w:style w:type="paragraph" w:styleId="46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33"/>
    <w:uiPriority w:val="99"/>
  </w:style>
  <w:style w:type="table" w:styleId="49">
    <w:name w:val="Table Grid Light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2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25"/>
    <w:uiPriority w:val="99"/>
    <w:unhideWhenUsed/>
    <w:rPr>
      <w:vertAlign w:val="superscript"/>
    </w:rPr>
  </w:style>
  <w:style w:type="paragraph" w:styleId="178">
    <w:name w:val="endnote text"/>
    <w:basedOn w:val="72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25"/>
    <w:uiPriority w:val="99"/>
    <w:semiHidden/>
    <w:unhideWhenUsed/>
    <w:rPr>
      <w:vertAlign w:val="superscript"/>
    </w:rPr>
  </w:style>
  <w:style w:type="paragraph" w:styleId="181">
    <w:name w:val="toc 1"/>
    <w:basedOn w:val="723"/>
    <w:next w:val="72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23"/>
    <w:next w:val="72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23"/>
    <w:next w:val="72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23"/>
    <w:next w:val="72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23"/>
    <w:next w:val="72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23"/>
    <w:next w:val="72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23"/>
    <w:next w:val="72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23"/>
    <w:next w:val="72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23"/>
    <w:next w:val="72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23"/>
    <w:next w:val="723"/>
    <w:uiPriority w:val="99"/>
    <w:unhideWhenUsed/>
    <w:pPr>
      <w:spacing w:after="0" w:afterAutospacing="0"/>
    </w:pPr>
  </w:style>
  <w:style w:type="paragraph" w:styleId="723" w:default="1">
    <w:name w:val="Normal"/>
    <w:qFormat/>
    <w:rPr>
      <w:sz w:val="24"/>
      <w:szCs w:val="24"/>
    </w:rPr>
  </w:style>
  <w:style w:type="paragraph" w:styleId="724">
    <w:name w:val="Heading 2"/>
    <w:basedOn w:val="723"/>
    <w:next w:val="723"/>
    <w:link w:val="728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character" w:styleId="725" w:default="1">
    <w:name w:val="Default Paragraph Font"/>
    <w:uiPriority w:val="1"/>
    <w:semiHidden/>
    <w:unhideWhenUsed/>
  </w:style>
  <w:style w:type="table" w:styleId="7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7" w:default="1">
    <w:name w:val="No List"/>
    <w:uiPriority w:val="99"/>
    <w:semiHidden/>
    <w:unhideWhenUsed/>
  </w:style>
  <w:style w:type="character" w:styleId="728" w:customStyle="1">
    <w:name w:val="Заголовок 2 Знак"/>
    <w:link w:val="724"/>
    <w:uiPriority w:val="99"/>
    <w:semiHidden/>
    <w:rPr>
      <w:rFonts w:cs="Times New Roman"/>
      <w:sz w:val="28"/>
      <w:szCs w:val="28"/>
      <w:lang w:val="ru-RU" w:eastAsia="ru-RU"/>
    </w:rPr>
  </w:style>
  <w:style w:type="paragraph" w:styleId="729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730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731">
    <w:name w:val="Body Text 3"/>
    <w:basedOn w:val="723"/>
    <w:link w:val="732"/>
    <w:uiPriority w:val="99"/>
    <w:pPr>
      <w:spacing w:after="120"/>
    </w:pPr>
    <w:rPr>
      <w:sz w:val="16"/>
      <w:szCs w:val="16"/>
    </w:rPr>
  </w:style>
  <w:style w:type="character" w:styleId="732" w:customStyle="1">
    <w:name w:val="Основной текст 3 Знак"/>
    <w:link w:val="731"/>
    <w:uiPriority w:val="99"/>
    <w:semiHidden/>
    <w:rPr>
      <w:rFonts w:cs="Times New Roman"/>
      <w:sz w:val="16"/>
      <w:szCs w:val="16"/>
    </w:rPr>
  </w:style>
  <w:style w:type="paragraph" w:styleId="733">
    <w:name w:val="Footer"/>
    <w:basedOn w:val="723"/>
    <w:link w:val="734"/>
    <w:uiPriority w:val="99"/>
    <w:pPr>
      <w:tabs>
        <w:tab w:val="center" w:pos="4677" w:leader="none"/>
        <w:tab w:val="right" w:pos="9355" w:leader="none"/>
      </w:tabs>
    </w:pPr>
  </w:style>
  <w:style w:type="character" w:styleId="734" w:customStyle="1">
    <w:name w:val="Нижний колонтитул Знак"/>
    <w:link w:val="733"/>
    <w:uiPriority w:val="99"/>
    <w:semiHidden/>
    <w:rPr>
      <w:rFonts w:cs="Times New Roman"/>
      <w:sz w:val="24"/>
      <w:szCs w:val="24"/>
    </w:rPr>
  </w:style>
  <w:style w:type="character" w:styleId="735">
    <w:name w:val="page number"/>
    <w:uiPriority w:val="99"/>
    <w:rPr>
      <w:rFonts w:cs="Times New Roman"/>
    </w:rPr>
  </w:style>
  <w:style w:type="paragraph" w:styleId="736">
    <w:name w:val="Header"/>
    <w:basedOn w:val="723"/>
    <w:link w:val="737"/>
    <w:uiPriority w:val="99"/>
    <w:pPr>
      <w:tabs>
        <w:tab w:val="center" w:pos="4677" w:leader="none"/>
        <w:tab w:val="right" w:pos="9355" w:leader="none"/>
      </w:tabs>
    </w:pPr>
  </w:style>
  <w:style w:type="character" w:styleId="737" w:customStyle="1">
    <w:name w:val="Верхний колонтитул Знак"/>
    <w:link w:val="736"/>
    <w:uiPriority w:val="99"/>
    <w:semiHidden/>
    <w:rPr>
      <w:rFonts w:cs="Times New Roman"/>
      <w:sz w:val="24"/>
      <w:szCs w:val="24"/>
    </w:rPr>
  </w:style>
  <w:style w:type="paragraph" w:styleId="73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739">
    <w:name w:val="Balloon Text"/>
    <w:basedOn w:val="723"/>
    <w:link w:val="740"/>
    <w:uiPriority w:val="99"/>
    <w:semiHidden/>
    <w:rPr>
      <w:rFonts w:ascii="Tahoma" w:hAnsi="Tahoma" w:cs="Tahoma"/>
      <w:sz w:val="16"/>
      <w:szCs w:val="16"/>
    </w:rPr>
  </w:style>
  <w:style w:type="character" w:styleId="740" w:customStyle="1">
    <w:name w:val="Текст выноски Знак"/>
    <w:link w:val="739"/>
    <w:uiPriority w:val="99"/>
    <w:semiHidden/>
    <w:rPr>
      <w:rFonts w:ascii="Tahoma" w:hAnsi="Tahoma" w:cs="Tahoma"/>
      <w:sz w:val="16"/>
      <w:szCs w:val="16"/>
    </w:rPr>
  </w:style>
  <w:style w:type="paragraph" w:styleId="741">
    <w:name w:val="Body Text Indent"/>
    <w:basedOn w:val="723"/>
    <w:link w:val="742"/>
    <w:uiPriority w:val="99"/>
    <w:semiHidden/>
    <w:pPr>
      <w:ind w:left="283"/>
      <w:spacing w:after="120"/>
    </w:pPr>
  </w:style>
  <w:style w:type="character" w:styleId="742" w:customStyle="1">
    <w:name w:val="Основной текст с отступом Знак"/>
    <w:link w:val="741"/>
    <w:uiPriority w:val="99"/>
    <w:semiHidden/>
    <w:rPr>
      <w:rFonts w:cs="Times New Roman"/>
      <w:sz w:val="24"/>
    </w:rPr>
  </w:style>
  <w:style w:type="paragraph" w:styleId="743">
    <w:name w:val="Title"/>
    <w:basedOn w:val="723"/>
    <w:link w:val="744"/>
    <w:uiPriority w:val="99"/>
    <w:qFormat/>
    <w:pPr>
      <w:jc w:val="center"/>
    </w:pPr>
    <w:rPr>
      <w:caps/>
    </w:rPr>
  </w:style>
  <w:style w:type="character" w:styleId="744" w:customStyle="1">
    <w:name w:val="Название Знак"/>
    <w:link w:val="743"/>
    <w:uiPriority w:val="99"/>
    <w:rPr>
      <w:rFonts w:cs="Times New Roman"/>
      <w:caps/>
      <w:sz w:val="24"/>
      <w:szCs w:val="24"/>
      <w:lang w:val="ru-RU" w:eastAsia="ru-RU"/>
    </w:rPr>
  </w:style>
  <w:style w:type="paragraph" w:styleId="745" w:customStyle="1">
    <w:name w:val="Знак1"/>
    <w:basedOn w:val="723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746">
    <w:name w:val="Table Grid"/>
    <w:basedOn w:val="72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4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748" w:customStyle="1">
    <w:name w:val="Знак Знак Знак Знак Знак Знак Знак Знак Знак Знак"/>
    <w:basedOn w:val="72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749">
    <w:name w:val="Emphasis"/>
    <w:qFormat/>
    <w:rPr>
      <w:i/>
      <w:iCs/>
    </w:rPr>
  </w:style>
  <w:style w:type="paragraph" w:styleId="750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751">
    <w:name w:val="List Paragraph"/>
    <w:basedOn w:val="723"/>
    <w:uiPriority w:val="34"/>
    <w:qFormat/>
    <w:pPr>
      <w:contextualSpacing/>
      <w:ind w:left="720"/>
    </w:pPr>
  </w:style>
  <w:style w:type="character" w:styleId="752">
    <w:name w:val="Hyperlink"/>
    <w:basedOn w:val="725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9829D-9556-46EA-BFE7-56B5097C3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5</cp:revision>
  <dcterms:created xsi:type="dcterms:W3CDTF">2023-12-12T12:48:00Z</dcterms:created>
  <dcterms:modified xsi:type="dcterms:W3CDTF">2024-02-15T13:42:01Z</dcterms:modified>
</cp:coreProperties>
</file>