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</w:pPr>
      <w:r/>
      <w:r/>
    </w:p>
    <w:p>
      <w:pPr>
        <w:jc w:val="center"/>
      </w:pPr>
      <w:r/>
      <w:r/>
    </w:p>
    <w:p>
      <w:pPr>
        <w:jc w:val="both"/>
        <w:rPr>
          <w:b/>
          <w:sz w:val="24"/>
        </w:rPr>
      </w:pPr>
      <w:r>
        <w:rPr>
          <w:b/>
          <w:sz w:val="24"/>
        </w:rPr>
        <w:t xml:space="preserve">от 28.11.2023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1755</w:t>
      </w:r>
      <w:r>
        <w:rPr>
          <w:b/>
          <w:sz w:val="24"/>
        </w:rPr>
      </w:r>
    </w:p>
    <w:p>
      <w:pPr>
        <w:jc w:val="center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О внесении изменений в муниципальную программу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Печенгского</w:t>
      </w:r>
      <w:r>
        <w:rPr>
          <w:b/>
          <w:szCs w:val="24"/>
        </w:rPr>
        <w:t xml:space="preserve"> муниципального округа </w:t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«Молодежная политика»</w:t>
      </w:r>
      <w:r>
        <w:rPr>
          <w:b/>
          <w:szCs w:val="24"/>
        </w:rPr>
        <w:t xml:space="preserve"> на 2023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– 2025 </w:t>
      </w:r>
      <w:r>
        <w:rPr>
          <w:b/>
          <w:szCs w:val="24"/>
        </w:rPr>
        <w:t xml:space="preserve">годы</w:t>
      </w:r>
      <w:r>
        <w:rPr>
          <w:b/>
          <w:szCs w:val="24"/>
        </w:rPr>
        <w:t xml:space="preserve">, </w:t>
      </w:r>
      <w:r>
        <w:rPr>
          <w:b/>
          <w:szCs w:val="24"/>
        </w:rPr>
        <w:t xml:space="preserve">утвержденную</w:t>
      </w:r>
      <w:r>
        <w:rPr>
          <w:b/>
          <w:szCs w:val="24"/>
        </w:rPr>
        <w:t xml:space="preserve"> постановлением </w:t>
      </w:r>
      <w:r>
        <w:rPr>
          <w:b/>
          <w:szCs w:val="24"/>
        </w:rPr>
        <w:br/>
      </w:r>
      <w:r>
        <w:rPr>
          <w:b/>
          <w:szCs w:val="24"/>
        </w:rPr>
        <w:t xml:space="preserve">администрации Печенгского муниципального округа от 03.11.2022 №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1496</w:t>
      </w:r>
      <w:r>
        <w:rPr>
          <w:b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</w:t>
      </w:r>
      <w:r>
        <w:rPr>
          <w:color w:val="000000"/>
          <w:sz w:val="24"/>
          <w:szCs w:val="24"/>
        </w:rPr>
        <w:t xml:space="preserve">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color w:val="000000"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 xml:space="preserve">ПОСТАНОВЛЯЮ:</w:t>
      </w:r>
      <w:r>
        <w:rPr>
          <w:rFonts w:eastAsia="Calibri"/>
          <w:b/>
          <w:bCs/>
          <w:sz w:val="24"/>
          <w:szCs w:val="24"/>
        </w:rPr>
      </w:r>
    </w:p>
    <w:p>
      <w:pPr>
        <w:ind w:right="-5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1. </w:t>
      </w:r>
      <w:r>
        <w:rPr>
          <w:rFonts w:eastAsia="Calibri"/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«Молодежная политика» на 2023–2025 годы, утвержденную постановлением администрации Печенгского муниципального округа от 03.11.2022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1496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13.10.2023 № 1515</w:t>
      </w:r>
      <w:r>
        <w:rPr>
          <w:sz w:val="24"/>
          <w:szCs w:val="24"/>
        </w:rPr>
        <w:t xml:space="preserve">)  </w:t>
      </w:r>
      <w:r>
        <w:rPr>
          <w:sz w:val="24"/>
          <w:szCs w:val="24"/>
        </w:rPr>
        <w:t xml:space="preserve"> (далее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Программа), следующие изменения:</w:t>
      </w:r>
      <w:r>
        <w:rPr>
          <w:sz w:val="24"/>
          <w:szCs w:val="24"/>
        </w:rPr>
      </w:r>
    </w:p>
    <w:p>
      <w:pPr>
        <w:ind w:firstLine="709"/>
        <w:jc w:val="both"/>
        <w:widowControl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eastAsia="Calibri"/>
          <w:sz w:val="24"/>
          <w:szCs w:val="24"/>
        </w:rPr>
      </w:r>
    </w:p>
    <w:tbl>
      <w:tblPr>
        <w:tblW w:w="4923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97"/>
        <w:gridCol w:w="7162"/>
      </w:tblGrid>
      <w:tr>
        <w:tblPrEx/>
        <w:trPr>
          <w:trHeight w:val="542"/>
        </w:trPr>
        <w:tc>
          <w:tcPr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826" w:type="pct"/>
            <w:textDirection w:val="lrTb"/>
            <w:noWrap w:val="false"/>
          </w:tcPr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12069,5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12069,5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51876,6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26079,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12898,7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12898,7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1274,0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1274,0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025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>
        <w:rPr>
          <w:rFonts w:eastAsia="Calibri"/>
          <w:sz w:val="24"/>
          <w:szCs w:val="24"/>
        </w:rPr>
        <w:t xml:space="preserve">строк</w:t>
      </w:r>
      <w:r>
        <w:rPr>
          <w:rFonts w:eastAsia="Calibri"/>
          <w:sz w:val="24"/>
          <w:szCs w:val="24"/>
        </w:rPr>
        <w:t xml:space="preserve">и</w:t>
      </w:r>
      <w:r>
        <w:rPr>
          <w:rFonts w:eastAsia="Calibri"/>
          <w:sz w:val="24"/>
          <w:szCs w:val="24"/>
        </w:rPr>
        <w:t xml:space="preserve"> 1.1</w:t>
      </w:r>
      <w:r>
        <w:rPr>
          <w:rFonts w:eastAsia="Calibri"/>
          <w:sz w:val="24"/>
          <w:szCs w:val="24"/>
        </w:rPr>
        <w:t xml:space="preserve">, 1.</w:t>
      </w:r>
      <w:r>
        <w:rPr>
          <w:rFonts w:eastAsia="Calibri"/>
          <w:sz w:val="24"/>
          <w:szCs w:val="24"/>
        </w:rPr>
        <w:t xml:space="preserve">3</w:t>
      </w:r>
      <w:r>
        <w:rPr>
          <w:rFonts w:eastAsia="Calibri"/>
          <w:sz w:val="24"/>
          <w:szCs w:val="24"/>
        </w:rPr>
        <w:t xml:space="preserve"> и «Итого по мероприятию 1»</w:t>
      </w:r>
      <w:r>
        <w:rPr>
          <w:rFonts w:eastAsia="Calibri"/>
          <w:sz w:val="24"/>
          <w:szCs w:val="24"/>
        </w:rPr>
        <w:t xml:space="preserve"> Приложения 1 «Перечень мероприятий </w:t>
      </w:r>
      <w:r>
        <w:rPr>
          <w:rFonts w:eastAsia="Calibri"/>
          <w:sz w:val="24"/>
          <w:szCs w:val="24"/>
        </w:rPr>
        <w:t xml:space="preserve">программы </w:t>
      </w:r>
      <w:r>
        <w:rPr>
          <w:rFonts w:eastAsia="Calibri"/>
          <w:sz w:val="24"/>
          <w:szCs w:val="24"/>
        </w:rPr>
        <w:t xml:space="preserve">с объемом финансирования» </w:t>
      </w:r>
      <w:r>
        <w:rPr>
          <w:rFonts w:eastAsia="Calibri"/>
          <w:sz w:val="24"/>
          <w:szCs w:val="24"/>
        </w:rPr>
        <w:t xml:space="preserve">(далее – Приложение 1) </w:t>
      </w:r>
      <w:r>
        <w:rPr>
          <w:rFonts w:eastAsia="Calibri"/>
          <w:sz w:val="24"/>
          <w:szCs w:val="24"/>
        </w:rPr>
        <w:t xml:space="preserve">к Программе изложить в следующей редакции:</w:t>
      </w:r>
      <w:r>
        <w:rPr>
          <w:rFonts w:eastAsia="Calibri"/>
          <w:sz w:val="24"/>
          <w:szCs w:val="24"/>
        </w:rPr>
      </w:r>
    </w:p>
    <w:tbl>
      <w:tblPr>
        <w:tblStyle w:val="710"/>
        <w:tblW w:w="9356" w:type="dxa"/>
        <w:tblInd w:w="108" w:type="dxa"/>
        <w:tblBorders>
          <w:bottom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709"/>
        <w:gridCol w:w="851"/>
        <w:gridCol w:w="992"/>
        <w:gridCol w:w="992"/>
        <w:gridCol w:w="992"/>
        <w:gridCol w:w="1134"/>
        <w:gridCol w:w="851"/>
      </w:tblGrid>
      <w:tr>
        <w:tblPrEx/>
        <w:trPr>
          <w:trHeight w:val="251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«1.1.</w:t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Создание благоприятных условий для эффективного функционирования учреждений молодежной политики</w:t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2023-2025</w:t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</w:pPr>
            <w:r>
              <w:t xml:space="preserve">ФБ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</w:t>
            </w:r>
            <w:r>
              <w:rPr>
                <w:sz w:val="18"/>
                <w:szCs w:val="18"/>
              </w:rPr>
              <w:t xml:space="preserve">ЦПиРМИ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25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</w:pPr>
            <w:r>
              <w:t xml:space="preserve">ОБ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10000,0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10000,0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22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</w:pPr>
            <w:r>
              <w:t xml:space="preserve">МБ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43174,3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23174,3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10000,0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10000,0</w:t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7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</w:pPr>
            <w:r>
              <w:t xml:space="preserve">ВБС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53174,3</w:t>
            </w:r>
            <w:r>
              <w:rPr>
                <w:b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33174,3</w:t>
            </w:r>
            <w:r>
              <w:rPr>
                <w:b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10000,0</w:t>
            </w:r>
            <w:r>
              <w:rPr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10000,0</w:t>
            </w:r>
            <w:r>
              <w:rPr>
                <w:b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1.3</w:t>
            </w:r>
            <w:r>
              <w:rPr>
                <w:rFonts w:eastAsia="Calibri"/>
              </w:rPr>
              <w:t xml:space="preserve">.</w:t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Награждение премией Главы Печенгского муниципального округа одаренных детей Печенгского муниципального округа</w:t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2023-2025</w:t>
            </w:r>
            <w:r>
              <w:rPr>
                <w:rFonts w:eastAsia="Calibri"/>
                <w:lang w:val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</w:pPr>
            <w:r>
              <w:t xml:space="preserve">ФБ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Отдел </w:t>
            </w:r>
            <w:r>
              <w:rPr>
                <w:rFonts w:eastAsia="Calibri"/>
                <w:sz w:val="18"/>
                <w:szCs w:val="18"/>
              </w:rPr>
              <w:t xml:space="preserve">КСиМП</w:t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</w:pPr>
            <w:r>
              <w:t xml:space="preserve">ОБ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13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</w:pPr>
            <w:r>
              <w:t xml:space="preserve">МБ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896,6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298,8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298,9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298,9</w:t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13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</w:pPr>
            <w:r>
              <w:t xml:space="preserve">ВБС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13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896,6</w:t>
            </w:r>
            <w:r>
              <w:rPr>
                <w:b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298,8</w:t>
            </w:r>
            <w:r>
              <w:rPr>
                <w:b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298,9</w:t>
            </w:r>
            <w:r>
              <w:rPr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298,9</w:t>
            </w:r>
            <w:r>
              <w:rPr>
                <w:b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</w:tbl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851"/>
        <w:gridCol w:w="992"/>
        <w:gridCol w:w="992"/>
        <w:gridCol w:w="992"/>
        <w:gridCol w:w="1134"/>
        <w:gridCol w:w="851"/>
      </w:tblGrid>
      <w:tr>
        <w:tblPrEx/>
        <w:trPr>
          <w:trHeight w:val="65"/>
        </w:trPr>
        <w:tc>
          <w:tcPr>
            <w:shd w:val="clear" w:color="auto" w:fill="auto"/>
            <w:tcW w:w="18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rPr>
                <w:b/>
                <w:color w:val="000000"/>
                <w:spacing w:val="1"/>
              </w:rPr>
              <w:t xml:space="preserve">Итого по мероприятию 1</w:t>
            </w:r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1000</w:t>
            </w: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1000</w:t>
            </w: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47477,6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2</w:t>
            </w:r>
            <w:r>
              <w:rPr>
                <w:b/>
                <w:bCs/>
              </w:rPr>
              <w:t xml:space="preserve">4676,2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11400,7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11400,7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88"/>
        </w:trPr>
        <w:tc>
          <w:tcPr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57477,6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4676,2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11400,7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11400,7»;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>
        <w:rPr>
          <w:rFonts w:eastAsia="Calibri"/>
          <w:sz w:val="24"/>
          <w:szCs w:val="24"/>
        </w:rPr>
        <w:t xml:space="preserve">строки 2.1</w:t>
      </w:r>
      <w:r>
        <w:rPr>
          <w:rFonts w:eastAsia="Calibri"/>
          <w:sz w:val="24"/>
          <w:szCs w:val="24"/>
        </w:rPr>
        <w:t xml:space="preserve">, 2.3</w:t>
      </w:r>
      <w:r>
        <w:rPr>
          <w:rFonts w:eastAsia="Calibri"/>
          <w:sz w:val="24"/>
          <w:szCs w:val="24"/>
        </w:rPr>
        <w:t xml:space="preserve">, </w:t>
      </w:r>
      <w:r>
        <w:rPr>
          <w:rFonts w:eastAsia="Calibri"/>
          <w:sz w:val="24"/>
          <w:szCs w:val="24"/>
        </w:rPr>
        <w:t xml:space="preserve">«Итого по мероприятию 2»</w:t>
      </w:r>
      <w:r>
        <w:rPr>
          <w:rFonts w:eastAsia="Calibri"/>
          <w:sz w:val="24"/>
          <w:szCs w:val="24"/>
        </w:rPr>
        <w:t xml:space="preserve"> и</w:t>
      </w:r>
      <w:r>
        <w:rPr>
          <w:rFonts w:eastAsia="Calibri"/>
          <w:sz w:val="24"/>
          <w:szCs w:val="24"/>
        </w:rPr>
        <w:t xml:space="preserve"> «Всего по программе»</w:t>
      </w:r>
      <w:r>
        <w:rPr>
          <w:rFonts w:eastAsia="Calibri"/>
          <w:sz w:val="24"/>
          <w:szCs w:val="24"/>
        </w:rPr>
        <w:t xml:space="preserve"> Приложения 1 к Программе изложить в следующей редакции:</w:t>
      </w:r>
      <w:r>
        <w:rPr>
          <w:rFonts w:eastAsia="Calibri"/>
          <w:sz w:val="24"/>
          <w:szCs w:val="24"/>
        </w:rPr>
      </w:r>
    </w:p>
    <w:tbl>
      <w:tblPr>
        <w:tblStyle w:val="710"/>
        <w:tblW w:w="9356" w:type="dxa"/>
        <w:tblInd w:w="108" w:type="dxa"/>
        <w:tblBorders>
          <w:bottom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709"/>
        <w:gridCol w:w="851"/>
        <w:gridCol w:w="992"/>
        <w:gridCol w:w="992"/>
        <w:gridCol w:w="992"/>
        <w:gridCol w:w="1134"/>
        <w:gridCol w:w="851"/>
      </w:tblGrid>
      <w:tr>
        <w:tblPrEx/>
        <w:trPr>
          <w:trHeight w:val="251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«2.1.</w:t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ind w:right="-108" w:firstLine="33"/>
              <w:widowControl/>
              <w:rPr>
                <w:szCs w:val="22"/>
              </w:rPr>
            </w:pPr>
            <w:r>
              <w:rPr>
                <w:szCs w:val="22"/>
              </w:rPr>
              <w:t xml:space="preserve">Создание условий для гражданского становления молодежи</w:t>
            </w:r>
            <w:r>
              <w:rPr>
                <w:szCs w:val="22"/>
              </w:rPr>
            </w:r>
          </w:p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2023-2025</w:t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ФБ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</w:t>
            </w:r>
            <w:r>
              <w:rPr>
                <w:sz w:val="18"/>
                <w:szCs w:val="18"/>
              </w:rPr>
              <w:t xml:space="preserve">КСиМП</w:t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25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ОБ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22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МБ</w:t>
            </w:r>
            <w:r>
              <w:rPr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14</w:t>
            </w:r>
            <w:r>
              <w:rPr>
                <w:bCs/>
                <w:szCs w:val="22"/>
              </w:rPr>
              <w:t xml:space="preserve">99,5</w:t>
            </w:r>
            <w:r>
              <w:rPr>
                <w:bCs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3</w:t>
            </w:r>
            <w:r>
              <w:rPr>
                <w:bCs/>
                <w:szCs w:val="22"/>
              </w:rPr>
              <w:t xml:space="preserve">66,5</w:t>
            </w:r>
            <w:r>
              <w:rPr>
                <w:bCs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566,5</w:t>
            </w:r>
            <w:r>
              <w:rPr>
                <w:bCs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566,5</w:t>
            </w:r>
            <w:r>
              <w:rPr>
                <w:bCs/>
                <w:szCs w:val="22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17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ВБС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13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Итого:</w:t>
            </w:r>
            <w:r>
              <w:rPr>
                <w:b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</w:t>
            </w:r>
            <w:r>
              <w:rPr>
                <w:b/>
                <w:bCs/>
                <w:szCs w:val="22"/>
              </w:rPr>
              <w:t xml:space="preserve">4</w:t>
            </w:r>
            <w:r>
              <w:rPr>
                <w:b/>
                <w:bCs/>
                <w:szCs w:val="22"/>
              </w:rPr>
              <w:t xml:space="preserve">99,5</w:t>
            </w:r>
            <w:r>
              <w:rPr>
                <w:b/>
                <w:bCs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3</w:t>
            </w:r>
            <w:r>
              <w:rPr>
                <w:b/>
                <w:bCs/>
                <w:szCs w:val="22"/>
              </w:rPr>
              <w:t xml:space="preserve">66,5</w:t>
            </w:r>
            <w:r>
              <w:rPr>
                <w:b/>
                <w:bCs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566,5</w:t>
            </w:r>
            <w:r>
              <w:rPr>
                <w:b/>
                <w:bCs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566,5</w:t>
            </w:r>
            <w:r>
              <w:rPr>
                <w:b/>
                <w:bCs/>
                <w:szCs w:val="22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138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2.3.</w:t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Осуществление работ по сохранению памятников Великой Отечественной войны</w:t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2023</w:t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</w:pPr>
            <w:r>
              <w:t xml:space="preserve">ФБ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Отдел </w:t>
            </w:r>
            <w:r>
              <w:rPr>
                <w:rFonts w:eastAsia="Calibri"/>
                <w:sz w:val="18"/>
                <w:szCs w:val="18"/>
              </w:rPr>
              <w:t xml:space="preserve">КСиМП</w:t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</w:pPr>
            <w:r>
              <w:t xml:space="preserve">ОБ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13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</w:pPr>
            <w:r>
              <w:t xml:space="preserve">МБ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713</w:t>
            </w:r>
            <w:r>
              <w:t xml:space="preserve">,8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713</w:t>
            </w:r>
            <w:r>
              <w:t xml:space="preserve">,8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13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</w:pPr>
            <w:r>
              <w:t xml:space="preserve">ВБС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lang w:val="en-US"/>
              </w:rPr>
            </w:pPr>
            <w:r>
              <w:t xml:space="preserve">1274,0</w:t>
            </w:r>
            <w:r>
              <w:rPr>
                <w:lang w:val="en-US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lang w:val="en-US"/>
              </w:rPr>
            </w:pPr>
            <w:r>
              <w:rPr>
                <w:lang w:val="en-US"/>
              </w:rPr>
              <w:t xml:space="preserve">1274</w:t>
            </w:r>
            <w:r>
              <w:t xml:space="preserve">,</w:t>
            </w:r>
            <w:r>
              <w:rPr>
                <w:lang w:val="en-US"/>
              </w:rPr>
              <w:t xml:space="preserve">0</w:t>
            </w:r>
            <w:r>
              <w:rPr>
                <w:lang w:val="en-US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0,0</w:t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13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  <w:lang w:val="en-US"/>
              </w:rPr>
              <w:t xml:space="preserve">19</w:t>
            </w:r>
            <w:r>
              <w:rPr>
                <w:b/>
              </w:rPr>
              <w:t xml:space="preserve">87</w:t>
            </w:r>
            <w:r>
              <w:rPr>
                <w:b/>
              </w:rPr>
              <w:t xml:space="preserve">,8</w:t>
            </w:r>
            <w:r>
              <w:rPr>
                <w:b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1987</w:t>
            </w:r>
            <w:r>
              <w:rPr>
                <w:b/>
              </w:rPr>
              <w:t xml:space="preserve">,8</w:t>
            </w:r>
            <w:r>
              <w:rPr>
                <w:b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</w:tbl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544"/>
        <w:gridCol w:w="851"/>
        <w:gridCol w:w="992"/>
        <w:gridCol w:w="992"/>
        <w:gridCol w:w="994"/>
        <w:gridCol w:w="1134"/>
        <w:gridCol w:w="850"/>
      </w:tblGrid>
      <w:tr>
        <w:tblPrEx/>
        <w:trPr>
          <w:trHeight w:val="65"/>
        </w:trPr>
        <w:tc>
          <w:tcPr>
            <w:shd w:val="clear" w:color="auto" w:fill="auto"/>
            <w:tcW w:w="18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rPr>
                <w:b/>
                <w:color w:val="000000"/>
                <w:spacing w:val="1"/>
              </w:rPr>
              <w:t xml:space="preserve">Итого по мероприятию 2</w:t>
            </w:r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2069,5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2069,5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5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4154</w:t>
            </w:r>
            <w:r>
              <w:rPr>
                <w:b/>
                <w:bCs/>
              </w:rPr>
              <w:t xml:space="preserve">,5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1321</w:t>
            </w:r>
            <w:r>
              <w:rPr>
                <w:b/>
                <w:bCs/>
              </w:rPr>
              <w:t xml:space="preserve">,5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1416,5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1416,5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5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lang w:val="en-US"/>
              </w:rPr>
            </w:pPr>
            <w:r>
              <w:rPr>
                <w:b/>
              </w:rPr>
              <w:t xml:space="preserve">1274,0</w:t>
            </w:r>
            <w:r>
              <w:rPr>
                <w:b/>
                <w:lang w:val="en-US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1274</w:t>
            </w:r>
            <w:r>
              <w:rPr>
                <w:b/>
              </w:rPr>
              <w:t xml:space="preserve">,</w:t>
            </w:r>
            <w:r>
              <w:rPr>
                <w:b/>
                <w:lang w:val="en-US"/>
              </w:rPr>
              <w:t xml:space="preserve">0</w:t>
            </w:r>
            <w:r>
              <w:rPr>
                <w:b/>
                <w:lang w:val="en-US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59"/>
        </w:trPr>
        <w:tc>
          <w:tcPr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7498,0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4665,0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1416,5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1416,5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8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12069,5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12069,5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51876,6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26079,</w:t>
            </w:r>
            <w:r>
              <w:rPr>
                <w:b/>
              </w:rPr>
              <w:t xml:space="preserve">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12898,7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12898,7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1274,0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1274,0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</w:rPr>
            </w:pPr>
            <w:r>
              <w:rPr>
                <w:b/>
                <w:bCs/>
              </w:rPr>
              <w:t xml:space="preserve">65220,1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39422,7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12898,7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12898,7</w:t>
            </w:r>
            <w:r>
              <w:rPr>
                <w:b/>
              </w:rPr>
              <w:t xml:space="preserve">»</w:t>
            </w:r>
            <w:r>
              <w:rPr>
                <w:b/>
              </w:rPr>
              <w:t xml:space="preserve">.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jc w:val="right"/>
        <w:widowControl/>
        <w:tabs>
          <w:tab w:val="left" w:pos="993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widowControl/>
        <w:tabs>
          <w:tab w:val="left" w:pos="0" w:leader="none"/>
        </w:tabs>
        <w:rPr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  <w:t xml:space="preserve">Настоящее постановление </w:t>
      </w:r>
      <w:r>
        <w:rPr>
          <w:sz w:val="24"/>
          <w:szCs w:val="24"/>
          <w:lang w:eastAsia="en-US"/>
        </w:rPr>
        <w:t xml:space="preserve">вступает в силу </w:t>
      </w:r>
      <w:r>
        <w:rPr>
          <w:sz w:val="24"/>
          <w:szCs w:val="24"/>
          <w:lang w:eastAsia="en-US"/>
        </w:rPr>
        <w:t xml:space="preserve">после его подписания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3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  <w:t xml:space="preserve">Настоящее постановление </w:t>
      </w:r>
      <w:r>
        <w:rPr>
          <w:sz w:val="24"/>
          <w:szCs w:val="24"/>
          <w:lang w:eastAsia="en-US"/>
        </w:rPr>
        <w:t xml:space="preserve">опубликова</w:t>
      </w:r>
      <w:r>
        <w:rPr>
          <w:sz w:val="24"/>
          <w:szCs w:val="24"/>
          <w:lang w:eastAsia="en-US"/>
        </w:rPr>
        <w:t xml:space="preserve">ть</w:t>
      </w:r>
      <w:r>
        <w:rPr>
          <w:sz w:val="24"/>
          <w:szCs w:val="24"/>
          <w:lang w:eastAsia="en-US"/>
        </w:rPr>
        <w:t xml:space="preserve"> в </w:t>
      </w:r>
      <w:r>
        <w:rPr>
          <w:sz w:val="24"/>
          <w:szCs w:val="24"/>
          <w:lang w:eastAsia="en-US"/>
        </w:rPr>
        <w:t xml:space="preserve">официальном издании </w:t>
      </w:r>
      <w:r>
        <w:rPr>
          <w:sz w:val="24"/>
          <w:szCs w:val="24"/>
          <w:lang w:eastAsia="en-US"/>
        </w:rPr>
        <w:t xml:space="preserve">газет</w:t>
      </w:r>
      <w:r>
        <w:rPr>
          <w:sz w:val="24"/>
          <w:szCs w:val="24"/>
          <w:lang w:eastAsia="en-US"/>
        </w:rPr>
        <w:t xml:space="preserve">а</w:t>
      </w:r>
      <w:r>
        <w:rPr>
          <w:sz w:val="24"/>
          <w:szCs w:val="24"/>
          <w:lang w:eastAsia="en-US"/>
        </w:rPr>
        <w:t xml:space="preserve"> «Печенга» и разме</w:t>
      </w:r>
      <w:r>
        <w:rPr>
          <w:sz w:val="24"/>
          <w:szCs w:val="24"/>
          <w:lang w:eastAsia="en-US"/>
        </w:rPr>
        <w:t xml:space="preserve">стить на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сайте Печенгского муниципального округа в сети Интернет.</w:t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rPr>
          <w:rFonts w:eastAsia="Calibri"/>
          <w:sz w:val="24"/>
          <w:szCs w:val="24"/>
          <w:highlight w:val="yellow"/>
        </w:rPr>
      </w:pPr>
      <w:r>
        <w:rPr>
          <w:rFonts w:eastAsia="Calibri"/>
          <w:sz w:val="24"/>
          <w:szCs w:val="24"/>
          <w:highlight w:val="yellow"/>
        </w:rPr>
      </w:r>
      <w:r>
        <w:rPr>
          <w:rFonts w:eastAsia="Calibri"/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szCs w:val="24"/>
        </w:rPr>
      </w:pPr>
      <w:r/>
      <w:bookmarkStart w:id="0" w:name="_GoBack"/>
      <w:r/>
      <w:bookmarkEnd w:id="0"/>
      <w:r/>
      <w:r>
        <w:rPr>
          <w:szCs w:val="24"/>
        </w:rPr>
      </w:r>
    </w:p>
    <w:p>
      <w:pPr>
        <w:jc w:val="both"/>
        <w:rPr>
          <w:sz w:val="18"/>
          <w:szCs w:val="18"/>
        </w:rPr>
      </w:pPr>
      <w:r>
        <w:t xml:space="preserve">Б</w:t>
      </w:r>
      <w:r>
        <w:t xml:space="preserve">ольшакова О.В.  5-27-25</w:t>
      </w:r>
      <w:r>
        <w:t xml:space="preserve"> </w:t>
      </w:r>
      <w:r>
        <w:rPr>
          <w:sz w:val="18"/>
          <w:szCs w:val="18"/>
        </w:rPr>
      </w:r>
    </w:p>
    <w:sectPr>
      <w:footnotePr/>
      <w:endnotePr/>
      <w:type w:val="nextPage"/>
      <w:pgSz w:w="11906" w:h="16838" w:orient="portrait"/>
      <w:pgMar w:top="1134" w:right="850" w:bottom="709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SimSun">
    <w:panose1 w:val="02010600030101010101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7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ind w:left="0" w:firstLine="709"/>
        <w:tabs>
          <w:tab w:val="num" w:pos="1134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russianLower"/>
      <w:isLgl w:val="false"/>
      <w:suff w:val="tab"/>
      <w:lvlText w:val="%2)"/>
      <w:lvlJc w:val="left"/>
      <w:pPr>
        <w:ind w:left="371" w:firstLine="709"/>
        <w:tabs>
          <w:tab w:val="num" w:pos="150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8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­"/>
      <w:lvlJc w:val="left"/>
      <w:pPr>
        <w:ind w:left="1440" w:hanging="360"/>
        <w:tabs>
          <w:tab w:val="num" w:pos="1440" w:leader="none"/>
        </w:tabs>
      </w:pPr>
      <w:rPr>
        <w:rFonts w:hint="default" w:ascii="Constantia" w:hAnsi="Constantia"/>
      </w:rPr>
    </w:lvl>
    <w:lvl w:ilvl="2">
      <w:start w:val="8"/>
      <w:numFmt w:val="bullet"/>
      <w:isLgl w:val="false"/>
      <w:suff w:val="tab"/>
      <w:lvlText w:val=""/>
      <w:lvlJc w:val="left"/>
      <w:pPr>
        <w:ind w:left="2340" w:hanging="360"/>
      </w:pPr>
      <w:rPr>
        <w:rFonts w:hint="default" w:ascii="Symbol" w:hAnsi="Symbol" w:eastAsia="Times New Roman"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3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decimal"/>
      <w:isLgl w:val="false"/>
      <w:suff w:val="tab"/>
      <w:lvlText w:val="3.%2."/>
      <w:lvlJc w:val="left"/>
      <w:pPr>
        <w:ind w:left="1080" w:firstLine="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2">
      <w:start w:val="1"/>
      <w:numFmt w:val="russianLower"/>
      <w:isLgl w:val="false"/>
      <w:suff w:val="tab"/>
      <w:lvlText w:val="%3)"/>
      <w:lvlJc w:val="left"/>
      <w:pPr>
        <w:ind w:left="0" w:firstLine="709"/>
        <w:tabs>
          <w:tab w:val="num" w:pos="1134" w:leader="none"/>
        </w:tabs>
      </w:pPr>
      <w:rPr>
        <w:rFonts w:hint="default"/>
      </w:rPr>
    </w:lvl>
    <w:lvl w:ilvl="3">
      <w:start w:val="1"/>
      <w:numFmt w:val="bullet"/>
      <w:isLgl w:val="false"/>
      <w:suff w:val="tab"/>
      <w:lvlText w:val="­"/>
      <w:lvlJc w:val="left"/>
      <w:pPr>
        <w:ind w:left="2880" w:hanging="360"/>
        <w:tabs>
          <w:tab w:val="num" w:pos="2880" w:leader="none"/>
        </w:tabs>
      </w:pPr>
      <w:rPr>
        <w:rFonts w:hint="default" w:ascii="Constantia" w:hAnsi="Constantia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0" w:hanging="360"/>
        <w:tabs>
          <w:tab w:val="num" w:pos="126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-141" w:firstLine="709"/>
        <w:tabs>
          <w:tab w:val="num" w:pos="568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99" w:hanging="360"/>
        <w:tabs>
          <w:tab w:val="num" w:pos="129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19" w:hanging="180"/>
        <w:tabs>
          <w:tab w:val="num" w:pos="201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739" w:hanging="360"/>
        <w:tabs>
          <w:tab w:val="num" w:pos="273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459" w:hanging="360"/>
        <w:tabs>
          <w:tab w:val="num" w:pos="345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179" w:hanging="180"/>
        <w:tabs>
          <w:tab w:val="num" w:pos="417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899" w:hanging="360"/>
        <w:tabs>
          <w:tab w:val="num" w:pos="489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19" w:hanging="360"/>
        <w:tabs>
          <w:tab w:val="num" w:pos="561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339" w:hanging="180"/>
        <w:tabs>
          <w:tab w:val="num" w:pos="6339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5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10.%1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915" w:firstLine="709"/>
        <w:tabs>
          <w:tab w:val="num" w:pos="1624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355" w:hanging="360"/>
        <w:tabs>
          <w:tab w:val="num" w:pos="235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075" w:hanging="180"/>
        <w:tabs>
          <w:tab w:val="num" w:pos="307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795" w:hanging="360"/>
        <w:tabs>
          <w:tab w:val="num" w:pos="379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515" w:hanging="360"/>
        <w:tabs>
          <w:tab w:val="num" w:pos="451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235" w:hanging="180"/>
        <w:tabs>
          <w:tab w:val="num" w:pos="523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955" w:hanging="360"/>
        <w:tabs>
          <w:tab w:val="num" w:pos="595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675" w:hanging="360"/>
        <w:tabs>
          <w:tab w:val="num" w:pos="667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395" w:hanging="180"/>
        <w:tabs>
          <w:tab w:val="num" w:pos="7395" w:leader="none"/>
        </w:tabs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­"/>
      <w:lvlJc w:val="left"/>
      <w:pPr>
        <w:ind w:left="1069" w:hanging="360"/>
      </w:pPr>
      <w:rPr>
        <w:rFonts w:hint="default" w:ascii="Constantia" w:hAnsi="Constanti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  <w:b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33"/>
  </w:num>
  <w:num w:numId="2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0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62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4">
    <w:abstractNumId w:val="29"/>
  </w:num>
  <w:num w:numId="5">
    <w:abstractNumId w:val="1"/>
  </w:num>
  <w:num w:numId="6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7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7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4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8">
    <w:abstractNumId w:val="22"/>
  </w:num>
  <w:num w:numId="9">
    <w:abstractNumId w:val="12"/>
  </w:num>
  <w:num w:numId="10">
    <w:abstractNumId w:val="34"/>
  </w:num>
  <w:num w:numId="11">
    <w:abstractNumId w:val="11"/>
  </w:num>
  <w:num w:numId="12">
    <w:abstractNumId w:val="8"/>
  </w:num>
  <w:num w:numId="13">
    <w:abstractNumId w:val="5"/>
  </w:num>
  <w:num w:numId="14">
    <w:abstractNumId w:val="13"/>
  </w:num>
  <w:num w:numId="15">
    <w:abstractNumId w:val="2"/>
  </w:num>
  <w:num w:numId="16">
    <w:abstractNumId w:val="9"/>
  </w:num>
  <w:num w:numId="17">
    <w:abstractNumId w:val="0"/>
    <w:lvlOverride w:ilvl="0">
      <w:lvl w:ilvl="0">
        <w:start w:val="1"/>
        <w:numFmt w:val="decimal"/>
        <w:isLgl w:val="false"/>
        <w:suff w:val="tab"/>
        <w:lvlText w:val="7.%1."/>
        <w:lvlJc w:val="left"/>
        <w:pPr>
          <w:ind w:left="0" w:firstLine="0"/>
          <w:tabs>
            <w:tab w:val="num" w:pos="0" w:leader="none"/>
          </w:tabs>
        </w:pPr>
        <w:rPr>
          <w:rFonts w:hint="default" w:ascii="Times New Roman" w:hAnsi="Times New Roman" w:cs="Times New Roman"/>
        </w:rPr>
      </w:lvl>
    </w:lvlOverride>
  </w:num>
  <w:num w:numId="18">
    <w:abstractNumId w:val="15"/>
  </w:num>
  <w:num w:numId="19">
    <w:abstractNumId w:val="7"/>
  </w:num>
  <w:num w:numId="20">
    <w:abstractNumId w:val="10"/>
  </w:num>
  <w:num w:numId="21">
    <w:abstractNumId w:val="26"/>
  </w:num>
  <w:num w:numId="22">
    <w:abstractNumId w:val="38"/>
  </w:num>
  <w:num w:numId="23">
    <w:abstractNumId w:val="19"/>
  </w:num>
  <w:num w:numId="24">
    <w:abstractNumId w:val="25"/>
  </w:num>
  <w:num w:numId="25">
    <w:abstractNumId w:val="16"/>
  </w:num>
  <w:num w:numId="26">
    <w:abstractNumId w:val="4"/>
  </w:num>
  <w:num w:numId="27">
    <w:abstractNumId w:val="14"/>
  </w:num>
  <w:num w:numId="28">
    <w:abstractNumId w:val="27"/>
  </w:num>
  <w:num w:numId="29">
    <w:abstractNumId w:val="36"/>
  </w:num>
  <w:num w:numId="30">
    <w:abstractNumId w:val="20"/>
  </w:num>
  <w:num w:numId="31">
    <w:abstractNumId w:val="21"/>
  </w:num>
  <w:num w:numId="32">
    <w:abstractNumId w:val="31"/>
  </w:num>
  <w:num w:numId="33">
    <w:abstractNumId w:val="17"/>
  </w:num>
  <w:num w:numId="34">
    <w:abstractNumId w:val="23"/>
  </w:num>
  <w:num w:numId="35">
    <w:abstractNumId w:val="39"/>
  </w:num>
  <w:num w:numId="36">
    <w:abstractNumId w:val="6"/>
  </w:num>
  <w:num w:numId="37">
    <w:abstractNumId w:val="24"/>
  </w:num>
  <w:num w:numId="38">
    <w:abstractNumId w:val="30"/>
  </w:num>
  <w:num w:numId="39">
    <w:abstractNumId w:val="32"/>
  </w:num>
  <w:num w:numId="40">
    <w:abstractNumId w:val="37"/>
  </w:num>
  <w:num w:numId="41">
    <w:abstractNumId w:val="18"/>
  </w:num>
  <w:num w:numId="42">
    <w:abstractNumId w:val="35"/>
  </w:num>
  <w:num w:numId="43">
    <w:abstractNumId w:val="28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01"/>
    <w:next w:val="70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703"/>
    <w:link w:val="13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03"/>
    <w:link w:val="702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01"/>
    <w:next w:val="70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03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01"/>
    <w:next w:val="70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03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01"/>
    <w:next w:val="70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03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01"/>
    <w:next w:val="70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03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01"/>
    <w:next w:val="70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03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01"/>
    <w:next w:val="70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03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01"/>
    <w:next w:val="70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03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701"/>
    <w:next w:val="70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03"/>
    <w:link w:val="34"/>
    <w:uiPriority w:val="10"/>
    <w:rPr>
      <w:sz w:val="48"/>
      <w:szCs w:val="48"/>
    </w:rPr>
  </w:style>
  <w:style w:type="paragraph" w:styleId="36">
    <w:name w:val="Subtitle"/>
    <w:basedOn w:val="701"/>
    <w:next w:val="70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03"/>
    <w:link w:val="36"/>
    <w:uiPriority w:val="11"/>
    <w:rPr>
      <w:sz w:val="24"/>
      <w:szCs w:val="24"/>
    </w:rPr>
  </w:style>
  <w:style w:type="paragraph" w:styleId="38">
    <w:name w:val="Quote"/>
    <w:basedOn w:val="701"/>
    <w:next w:val="70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01"/>
    <w:next w:val="70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03"/>
    <w:link w:val="711"/>
    <w:uiPriority w:val="99"/>
  </w:style>
  <w:style w:type="character" w:styleId="45">
    <w:name w:val="Footer Char"/>
    <w:basedOn w:val="703"/>
    <w:link w:val="725"/>
    <w:uiPriority w:val="99"/>
  </w:style>
  <w:style w:type="character" w:styleId="47">
    <w:name w:val="Caption Char"/>
    <w:basedOn w:val="718"/>
    <w:link w:val="725"/>
    <w:uiPriority w:val="99"/>
  </w:style>
  <w:style w:type="table" w:styleId="49">
    <w:name w:val="Table Grid Light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0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03"/>
    <w:uiPriority w:val="99"/>
    <w:unhideWhenUsed/>
    <w:rPr>
      <w:vertAlign w:val="superscript"/>
    </w:rPr>
  </w:style>
  <w:style w:type="paragraph" w:styleId="178">
    <w:name w:val="endnote text"/>
    <w:basedOn w:val="70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03"/>
    <w:uiPriority w:val="99"/>
    <w:semiHidden/>
    <w:unhideWhenUsed/>
    <w:rPr>
      <w:vertAlign w:val="superscript"/>
    </w:rPr>
  </w:style>
  <w:style w:type="paragraph" w:styleId="181">
    <w:name w:val="toc 1"/>
    <w:basedOn w:val="701"/>
    <w:next w:val="70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01"/>
    <w:next w:val="70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01"/>
    <w:next w:val="70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01"/>
    <w:next w:val="70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01"/>
    <w:next w:val="70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01"/>
    <w:next w:val="70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01"/>
    <w:next w:val="70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01"/>
    <w:next w:val="70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01"/>
    <w:next w:val="70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01"/>
    <w:next w:val="701"/>
    <w:uiPriority w:val="99"/>
    <w:unhideWhenUsed/>
    <w:pPr>
      <w:spacing w:after="0" w:afterAutospacing="0"/>
    </w:pPr>
  </w:style>
  <w:style w:type="paragraph" w:styleId="701" w:default="1">
    <w:name w:val="Normal"/>
    <w:qFormat/>
    <w:pPr>
      <w:widowControl w:val="off"/>
    </w:pPr>
    <w:rPr>
      <w:rFonts w:ascii="Times New Roman" w:hAnsi="Times New Roman" w:eastAsia="Times New Roman"/>
    </w:rPr>
  </w:style>
  <w:style w:type="paragraph" w:styleId="702">
    <w:name w:val="Heading 2"/>
    <w:basedOn w:val="701"/>
    <w:next w:val="701"/>
    <w:link w:val="706"/>
    <w:qFormat/>
    <w:pPr>
      <w:jc w:val="center"/>
      <w:keepNext/>
      <w:widowControl/>
      <w:outlineLvl w:val="1"/>
    </w:pPr>
    <w:rPr>
      <w:b/>
      <w:sz w:val="44"/>
      <w:szCs w:val="24"/>
    </w:rPr>
  </w:style>
  <w:style w:type="character" w:styleId="703" w:default="1">
    <w:name w:val="Default Paragraph Font"/>
    <w:uiPriority w:val="1"/>
    <w:semiHidden/>
    <w:unhideWhenUsed/>
  </w:style>
  <w:style w:type="table" w:styleId="70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5" w:default="1">
    <w:name w:val="No List"/>
    <w:uiPriority w:val="99"/>
    <w:semiHidden/>
    <w:unhideWhenUsed/>
  </w:style>
  <w:style w:type="character" w:styleId="706" w:customStyle="1">
    <w:name w:val="Заголовок 2 Знак"/>
    <w:link w:val="702"/>
    <w:rPr>
      <w:rFonts w:ascii="Times New Roman" w:hAnsi="Times New Roman" w:eastAsia="Times New Roman" w:cs="Times New Roman"/>
      <w:b/>
      <w:sz w:val="44"/>
      <w:szCs w:val="24"/>
      <w:lang w:eastAsia="ru-RU"/>
    </w:rPr>
  </w:style>
  <w:style w:type="paragraph" w:styleId="707">
    <w:name w:val="Balloon Text"/>
    <w:basedOn w:val="701"/>
    <w:link w:val="708"/>
    <w:semiHidden/>
    <w:rPr>
      <w:rFonts w:ascii="Tahoma" w:hAnsi="Tahoma" w:cs="Tahoma"/>
      <w:sz w:val="16"/>
      <w:szCs w:val="16"/>
    </w:rPr>
  </w:style>
  <w:style w:type="character" w:styleId="708" w:customStyle="1">
    <w:name w:val="Текст выноски Знак"/>
    <w:link w:val="707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709">
    <w:name w:val="Normal (Web)"/>
    <w:basedOn w:val="701"/>
    <w:pPr>
      <w:spacing w:before="100" w:beforeAutospacing="1" w:after="100" w:afterAutospacing="1"/>
      <w:widowControl/>
    </w:pPr>
    <w:rPr>
      <w:sz w:val="24"/>
      <w:szCs w:val="24"/>
    </w:rPr>
  </w:style>
  <w:style w:type="table" w:styleId="710">
    <w:name w:val="Table Grid"/>
    <w:basedOn w:val="704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11">
    <w:name w:val="Header"/>
    <w:basedOn w:val="701"/>
    <w:link w:val="712"/>
    <w:pPr>
      <w:widowControl/>
      <w:tabs>
        <w:tab w:val="center" w:pos="4677" w:leader="none"/>
        <w:tab w:val="right" w:pos="9355" w:leader="none"/>
      </w:tabs>
    </w:pPr>
    <w:rPr>
      <w:sz w:val="28"/>
      <w:szCs w:val="24"/>
    </w:rPr>
  </w:style>
  <w:style w:type="character" w:styleId="712" w:customStyle="1">
    <w:name w:val="Верхний колонтитул Знак"/>
    <w:link w:val="711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713">
    <w:name w:val="Body Text Indent"/>
    <w:basedOn w:val="701"/>
    <w:link w:val="714"/>
    <w:pPr>
      <w:ind w:left="283"/>
      <w:spacing w:after="120"/>
      <w:widowControl/>
    </w:pPr>
    <w:rPr>
      <w:sz w:val="24"/>
      <w:szCs w:val="24"/>
    </w:rPr>
  </w:style>
  <w:style w:type="character" w:styleId="714" w:customStyle="1">
    <w:name w:val="Основной текст с отступом Знак"/>
    <w:link w:val="71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15" w:customStyle="1">
    <w:name w:val="ConsPlusNonformat"/>
    <w:rPr>
      <w:rFonts w:ascii="Courier New" w:hAnsi="Courier New" w:eastAsia="Times New Roman" w:cs="Courier New"/>
    </w:rPr>
  </w:style>
  <w:style w:type="paragraph" w:styleId="716">
    <w:name w:val="Body Text"/>
    <w:basedOn w:val="701"/>
    <w:link w:val="717"/>
    <w:pPr>
      <w:spacing w:after="120"/>
    </w:pPr>
  </w:style>
  <w:style w:type="character" w:styleId="717" w:customStyle="1">
    <w:name w:val="Основной текст Знак"/>
    <w:link w:val="71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718">
    <w:name w:val="Caption"/>
    <w:basedOn w:val="701"/>
    <w:next w:val="701"/>
    <w:qFormat/>
    <w:pPr>
      <w:jc w:val="center"/>
      <w:widowControl/>
    </w:pPr>
    <w:rPr>
      <w:b/>
      <w:sz w:val="32"/>
    </w:rPr>
  </w:style>
  <w:style w:type="paragraph" w:styleId="719">
    <w:name w:val="Body Text Indent 2"/>
    <w:basedOn w:val="701"/>
    <w:link w:val="720"/>
    <w:pPr>
      <w:ind w:left="283"/>
      <w:spacing w:after="120" w:line="480" w:lineRule="auto"/>
      <w:widowControl/>
    </w:pPr>
    <w:rPr>
      <w:sz w:val="24"/>
      <w:szCs w:val="24"/>
    </w:rPr>
  </w:style>
  <w:style w:type="character" w:styleId="720" w:customStyle="1">
    <w:name w:val="Основной текст с отступом 2 Знак"/>
    <w:link w:val="71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21">
    <w:name w:val="List Paragraph"/>
    <w:basedOn w:val="701"/>
    <w:qFormat/>
    <w:pPr>
      <w:contextualSpacing/>
      <w:ind w:left="720"/>
      <w:spacing w:after="200" w:line="276" w:lineRule="auto"/>
      <w:widowControl/>
    </w:pPr>
    <w:rPr>
      <w:rFonts w:ascii="Calibri" w:hAnsi="Calibri" w:eastAsia="Calibri"/>
      <w:sz w:val="22"/>
      <w:szCs w:val="22"/>
      <w:lang w:eastAsia="en-US"/>
    </w:rPr>
  </w:style>
  <w:style w:type="paragraph" w:styleId="722">
    <w:name w:val="No Spacing"/>
    <w:uiPriority w:val="1"/>
    <w:qFormat/>
    <w:rPr>
      <w:rFonts w:cs="Calibri"/>
      <w:sz w:val="22"/>
      <w:szCs w:val="22"/>
      <w:lang w:eastAsia="en-US"/>
    </w:rPr>
  </w:style>
  <w:style w:type="paragraph" w:styleId="723" w:customStyle="1">
    <w:name w:val="ConsPlusNormal"/>
    <w:rPr>
      <w:rFonts w:ascii="Times New Roman" w:hAnsi="Times New Roman" w:eastAsia="Times New Roman"/>
      <w:sz w:val="24"/>
      <w:szCs w:val="24"/>
    </w:rPr>
  </w:style>
  <w:style w:type="character" w:styleId="724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paragraph" w:styleId="725">
    <w:name w:val="Footer"/>
    <w:basedOn w:val="701"/>
    <w:link w:val="72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26" w:customStyle="1">
    <w:name w:val="Нижний колонтитул Знак"/>
    <w:link w:val="725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727">
    <w:name w:val="Hyperlink"/>
    <w:basedOn w:val="703"/>
    <w:uiPriority w:val="99"/>
    <w:unhideWhenUsed/>
    <w:rPr>
      <w:color w:val="0000ff" w:themeColor="hyperlink"/>
      <w:u w:val="single"/>
    </w:rPr>
  </w:style>
  <w:style w:type="paragraph" w:styleId="728" w:customStyle="1">
    <w:name w:val="Абзац списка1"/>
    <w:basedOn w:val="701"/>
    <w:pPr>
      <w:ind w:left="720"/>
      <w:spacing w:after="200" w:line="276" w:lineRule="auto"/>
      <w:widowControl/>
    </w:pPr>
    <w:rPr>
      <w:rFonts w:ascii="Calibri" w:hAnsi="Calibri" w:eastAsia="Calibri"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A4E0E-04F4-4978-AB35-745479672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Татаринцева Наталия Андреевна</dc:creator>
  <cp:revision>5</cp:revision>
  <dcterms:created xsi:type="dcterms:W3CDTF">2023-12-15T11:01:00Z</dcterms:created>
  <dcterms:modified xsi:type="dcterms:W3CDTF">2024-02-15T13:42:21Z</dcterms:modified>
</cp:coreProperties>
</file>