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  <w:lang w:val="en-US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</w:t>
      </w:r>
      <w:r>
        <w:rPr>
          <w:b/>
          <w:sz w:val="24"/>
          <w:lang w:val="en-US"/>
        </w:rPr>
        <w:t xml:space="preserve">8</w:t>
      </w:r>
      <w:r>
        <w:rPr>
          <w:b/>
          <w:sz w:val="24"/>
        </w:rPr>
        <w:t xml:space="preserve">.</w:t>
      </w:r>
      <w:r>
        <w:rPr>
          <w:b/>
          <w:sz w:val="24"/>
          <w:lang w:val="en-US"/>
        </w:rPr>
        <w:t xml:space="preserve">11</w:t>
      </w:r>
      <w:r>
        <w:rPr>
          <w:b/>
          <w:sz w:val="24"/>
        </w:rPr>
        <w:t xml:space="preserve">.</w:t>
      </w:r>
      <w:r>
        <w:rPr>
          <w:b/>
          <w:sz w:val="24"/>
          <w:lang w:val="en-US"/>
        </w:rPr>
        <w:t xml:space="preserve">2023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</w:t>
      </w:r>
      <w:r>
        <w:rPr>
          <w:b/>
          <w:sz w:val="24"/>
          <w:lang w:val="en-US"/>
        </w:rPr>
        <w:t xml:space="preserve">1757</w:t>
      </w:r>
      <w:r>
        <w:rPr>
          <w:b/>
          <w:sz w:val="24"/>
          <w:lang w:val="en-US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муниципальную программу </w:t>
      </w:r>
      <w:r>
        <w:rPr>
          <w:b/>
        </w:rPr>
        <w:t xml:space="preserve">Печенгского муниципального округа </w:t>
      </w:r>
      <w:r>
        <w:rPr>
          <w:b/>
        </w:rPr>
        <w:t xml:space="preserve">«</w:t>
      </w:r>
      <w:r>
        <w:rPr>
          <w:b/>
        </w:rPr>
        <w:t xml:space="preserve">Обеспечение общественного порядка и</w:t>
      </w:r>
      <w:r>
        <w:rPr>
          <w:b/>
        </w:rPr>
        <w:t xml:space="preserve"> </w:t>
      </w:r>
      <w:r>
        <w:rPr>
          <w:b/>
        </w:rPr>
        <w:t xml:space="preserve">безопасности населения</w:t>
      </w:r>
      <w:r>
        <w:rPr>
          <w:b/>
        </w:rPr>
        <w:t xml:space="preserve">» на 202</w:t>
      </w:r>
      <w:r>
        <w:rPr>
          <w:b/>
        </w:rPr>
        <w:t xml:space="preserve">3</w:t>
      </w:r>
      <w:r>
        <w:rPr>
          <w:b/>
        </w:rPr>
        <w:t xml:space="preserve">-202</w:t>
      </w:r>
      <w:r>
        <w:rPr>
          <w:b/>
        </w:rPr>
        <w:t xml:space="preserve">5</w:t>
      </w:r>
      <w:r>
        <w:rPr>
          <w:b/>
        </w:rPr>
        <w:t xml:space="preserve"> годы, утвержденную</w:t>
      </w:r>
      <w:r>
        <w:rPr>
          <w:b/>
        </w:rPr>
        <w:t xml:space="preserve">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</w:t>
      </w:r>
      <w:r>
        <w:rPr>
          <w:b/>
        </w:rPr>
        <w:t xml:space="preserve">администрации</w:t>
      </w:r>
      <w:r>
        <w:rPr>
          <w:b/>
        </w:rPr>
        <w:t xml:space="preserve"> </w:t>
      </w:r>
      <w:r>
        <w:rPr>
          <w:b/>
        </w:rPr>
        <w:t xml:space="preserve">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от </w:t>
      </w:r>
      <w:r>
        <w:rPr>
          <w:b/>
        </w:rPr>
        <w:t xml:space="preserve">03</w:t>
      </w:r>
      <w:r>
        <w:rPr>
          <w:b/>
        </w:rPr>
        <w:t xml:space="preserve">.</w:t>
      </w:r>
      <w:r>
        <w:rPr>
          <w:b/>
        </w:rPr>
        <w:t xml:space="preserve">1</w:t>
      </w:r>
      <w:r>
        <w:rPr>
          <w:b/>
        </w:rPr>
        <w:t xml:space="preserve">1.202</w:t>
      </w:r>
      <w:r>
        <w:rPr>
          <w:b/>
        </w:rPr>
        <w:t xml:space="preserve">2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49</w:t>
      </w:r>
      <w:r>
        <w:rPr>
          <w:b/>
        </w:rPr>
        <w:t xml:space="preserve">8</w:t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</w:t>
      </w:r>
      <w:r>
        <w:rPr>
          <w:rFonts w:eastAsia="Times New Roman"/>
          <w:sz w:val="24"/>
          <w:szCs w:val="24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eastAsia="Times New Roman"/>
          <w:sz w:val="24"/>
          <w:szCs w:val="24"/>
        </w:rPr>
        <w:t xml:space="preserve">я</w:t>
      </w:r>
      <w:r>
        <w:rPr>
          <w:rFonts w:eastAsia="Times New Roman"/>
          <w:sz w:val="24"/>
          <w:szCs w:val="24"/>
        </w:rPr>
        <w:t xml:space="preserve"> эффективности использования бюджетных средств </w:t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-202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утвержденную постановлением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1.202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49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.2023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1517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-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«Показатели программы» в паспорте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</w:p>
    <w:tbl>
      <w:tblPr>
        <w:tblW w:w="9435" w:type="dxa"/>
        <w:jc w:val="center"/>
        <w:tblInd w:w="-209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168"/>
        <w:gridCol w:w="7267"/>
      </w:tblGrid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«Показатели программы</w:t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pStyle w:val="6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заседаний МВК по обеспечению 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Анализ аварийности на территории Печенгского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Количество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Исполнение решений суда по организации работ по устранению нарушений требований законодательства по 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Профилактика детского дорожно-транспортного травматизма.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Освещение в СМИ проводимых мероприятий по совершенствованию системы обеспечения 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светоотражающими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фликерами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обучающихся начальных классов.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Пропаганда безопасности дорожного движения среди учащихся образовательных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Формирование у детей навыков безопасного участия в дорожном движении.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 Наличие стендов, наглядных пособий по безопасности дорожного движения.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11. Количество проведенных заседаний МВК по профилактике правонарушений в Печенгском муниципальном округе.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12. Информирование населения о состоянии преступности на территории Печенгского муниципального округа.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13.  Анализ эффективности работы по профилактике правонарушений в Печенгском муниципальном округе.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14. Численность несовершеннолетних, привлеченных к административной ответственности за совершение правонарушений.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15. Количество преступлений и </w:t>
            </w:r>
            <w:r>
              <w:rPr>
                <w:spacing w:val="-4"/>
                <w:sz w:val="24"/>
                <w:szCs w:val="24"/>
              </w:rPr>
              <w:t xml:space="preserve">правонарушений</w:t>
            </w:r>
            <w:r>
              <w:rPr>
                <w:spacing w:val="-4"/>
                <w:sz w:val="24"/>
                <w:szCs w:val="24"/>
              </w:rPr>
              <w:t xml:space="preserve"> совершенных несовершеннолетними.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16. Количество повторно совершенных преступлений.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17. Организация и проведение мониторинга миграционной составляющей на рынке труда.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18. Обеспечение деятельности комиссии по делам несовершеннолетних Печенгского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rPr>
                <w:rFonts w:eastAsia="Times New Roman"/>
                <w:spacing w:val="1"/>
                <w:sz w:val="24"/>
                <w:szCs w:val="24"/>
              </w:rPr>
            </w:pPr>
            <w:r>
              <w:rPr>
                <w:rFonts w:eastAsia="Times New Roman"/>
                <w:spacing w:val="1"/>
                <w:sz w:val="24"/>
                <w:szCs w:val="24"/>
              </w:rPr>
              <w:t xml:space="preserve">19. Доля обученного населения действиям при ГО и ЧС.</w:t>
            </w:r>
            <w:r>
              <w:rPr>
                <w:rFonts w:eastAsia="Times New Roman"/>
                <w:spacing w:val="1"/>
                <w:sz w:val="24"/>
                <w:szCs w:val="24"/>
              </w:rPr>
            </w:r>
          </w:p>
          <w:p>
            <w:pPr>
              <w:jc w:val="both"/>
              <w:rPr>
                <w:rFonts w:eastAsia="Times New Roman"/>
                <w:spacing w:val="1"/>
                <w:sz w:val="24"/>
                <w:szCs w:val="24"/>
              </w:rPr>
            </w:pPr>
            <w:r>
              <w:rPr>
                <w:rFonts w:eastAsia="Times New Roman"/>
                <w:spacing w:val="1"/>
                <w:sz w:val="24"/>
                <w:szCs w:val="24"/>
              </w:rPr>
              <w:t xml:space="preserve">20. Количество установленной наглядной агитации с разъяснением правил поведения граждан на водных объектах.</w:t>
            </w:r>
            <w:r>
              <w:rPr>
                <w:rFonts w:eastAsia="Times New Roman"/>
                <w:spacing w:val="1"/>
                <w:sz w:val="24"/>
                <w:szCs w:val="24"/>
              </w:rPr>
            </w:r>
          </w:p>
          <w:p>
            <w:pPr>
              <w:jc w:val="both"/>
              <w:rPr>
                <w:rFonts w:eastAsia="Times New Roman"/>
                <w:spacing w:val="1"/>
                <w:sz w:val="24"/>
                <w:szCs w:val="24"/>
              </w:rPr>
            </w:pPr>
            <w:r>
              <w:rPr>
                <w:rFonts w:eastAsia="Times New Roman"/>
                <w:spacing w:val="1"/>
                <w:sz w:val="24"/>
                <w:szCs w:val="24"/>
              </w:rPr>
              <w:t xml:space="preserve">21. Количество проведенных конкурсов детского рисунка в общеобразовательных учреждениях по правилам безопасности поведения на водных объектах.</w:t>
            </w:r>
            <w:r>
              <w:rPr>
                <w:rFonts w:eastAsia="Times New Roman"/>
                <w:spacing w:val="1"/>
                <w:sz w:val="24"/>
                <w:szCs w:val="24"/>
              </w:rPr>
            </w:r>
          </w:p>
          <w:p>
            <w:pPr>
              <w:jc w:val="both"/>
              <w:rPr>
                <w:rFonts w:eastAsia="Times New Roman"/>
                <w:spacing w:val="1"/>
                <w:sz w:val="24"/>
                <w:szCs w:val="24"/>
              </w:rPr>
            </w:pPr>
            <w:r>
              <w:rPr>
                <w:rFonts w:eastAsia="Times New Roman"/>
                <w:spacing w:val="1"/>
                <w:sz w:val="24"/>
                <w:szCs w:val="24"/>
              </w:rPr>
              <w:t xml:space="preserve">22. Предупреждение гибели людей и повреждения имущества.</w:t>
            </w:r>
            <w:r>
              <w:rPr>
                <w:rFonts w:eastAsia="Times New Roman"/>
                <w:spacing w:val="1"/>
                <w:sz w:val="24"/>
                <w:szCs w:val="24"/>
              </w:rPr>
            </w:r>
          </w:p>
          <w:p>
            <w:pPr>
              <w:jc w:val="both"/>
              <w:rPr>
                <w:rFonts w:eastAsia="Times New Roman"/>
                <w:spacing w:val="1"/>
                <w:sz w:val="24"/>
                <w:szCs w:val="24"/>
              </w:rPr>
            </w:pPr>
            <w:r>
              <w:rPr>
                <w:rFonts w:eastAsia="Times New Roman"/>
                <w:spacing w:val="1"/>
                <w:sz w:val="24"/>
                <w:szCs w:val="24"/>
              </w:rPr>
              <w:t xml:space="preserve">23. Недопущение распространения огня (при лесном пожаре) на жилые постройки.</w:t>
            </w:r>
            <w:r>
              <w:rPr>
                <w:rFonts w:eastAsia="Times New Roman"/>
                <w:spacing w:val="1"/>
                <w:sz w:val="24"/>
                <w:szCs w:val="24"/>
              </w:rPr>
            </w:r>
          </w:p>
          <w:p>
            <w:pPr>
              <w:jc w:val="both"/>
              <w:rPr>
                <w:rFonts w:eastAsia="Times New Roman"/>
                <w:spacing w:val="1"/>
                <w:sz w:val="24"/>
                <w:szCs w:val="24"/>
              </w:rPr>
            </w:pPr>
            <w:r>
              <w:rPr>
                <w:rFonts w:eastAsia="Times New Roman"/>
                <w:spacing w:val="1"/>
                <w:sz w:val="24"/>
                <w:szCs w:val="24"/>
              </w:rPr>
              <w:t xml:space="preserve">24. Наличие противопожарного спасательного оборудования, 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СИЗ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 для оснащения волонтеров при тушении лестных пожаров.</w:t>
            </w:r>
            <w:r>
              <w:rPr>
                <w:rFonts w:eastAsia="Times New Roman"/>
                <w:spacing w:val="1"/>
                <w:sz w:val="24"/>
                <w:szCs w:val="24"/>
              </w:rPr>
            </w:r>
          </w:p>
          <w:p>
            <w:pPr>
              <w:jc w:val="both"/>
              <w:rPr>
                <w:rFonts w:eastAsia="Times New Roman"/>
                <w:spacing w:val="1"/>
                <w:sz w:val="24"/>
                <w:szCs w:val="24"/>
              </w:rPr>
            </w:pPr>
            <w:r>
              <w:rPr>
                <w:rFonts w:eastAsia="Times New Roman"/>
                <w:spacing w:val="1"/>
                <w:sz w:val="24"/>
                <w:szCs w:val="24"/>
              </w:rPr>
              <w:t xml:space="preserve">25. Количество 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приобретенных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 и установленных сетевых </w:t>
            </w:r>
            <w:r>
              <w:rPr>
                <w:rFonts w:eastAsia="Times New Roman"/>
                <w:spacing w:val="1"/>
                <w:sz w:val="24"/>
                <w:szCs w:val="24"/>
                <w:lang w:val="en-US"/>
              </w:rPr>
              <w:t xml:space="preserve">IP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-камер.</w:t>
            </w:r>
            <w:r>
              <w:rPr>
                <w:rFonts w:eastAsia="Times New Roman"/>
                <w:spacing w:val="1"/>
                <w:sz w:val="24"/>
                <w:szCs w:val="24"/>
              </w:rPr>
            </w:r>
          </w:p>
          <w:p>
            <w:pPr>
              <w:jc w:val="both"/>
              <w:rPr>
                <w:rFonts w:eastAsia="Times New Roman"/>
                <w:spacing w:val="1"/>
                <w:sz w:val="24"/>
                <w:szCs w:val="24"/>
              </w:rPr>
            </w:pPr>
            <w:r>
              <w:rPr>
                <w:rFonts w:eastAsia="Times New Roman"/>
                <w:spacing w:val="1"/>
                <w:sz w:val="24"/>
                <w:szCs w:val="24"/>
              </w:rPr>
              <w:t xml:space="preserve">26. Поддержание в рабочем состоянии системы МАСО.</w:t>
            </w:r>
            <w:r>
              <w:rPr>
                <w:rFonts w:eastAsia="Times New Roman"/>
                <w:spacing w:val="1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1"/>
                <w:sz w:val="24"/>
                <w:szCs w:val="24"/>
                <w:lang w:eastAsia="ru-RU"/>
              </w:rPr>
              <w:t xml:space="preserve">27. 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28. Количество проведенных заседаний антитеррористической комиссии Печенгского муниципального округа.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29. Количество размещенной  информации по профилактике терроризма и экстремизма в СМИ, на сайте Печенгского муниципального округа.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30. 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31. Количество проверок объектов массового пребывания граждан на соответствие установленным нормам антитеррористической защищенности.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32. Информирование жителей Печенгского муниципального округа о порядке действий при угрозе возникновения террористических актов, посредствам размещения информации в СМИ, на сайте муниципального округа.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33. 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34. Повышение уровня компетентности обучающихся образовательных организаций в вопросах профилактики терроризма, экстремизма, межнациональных и межконфессиональных конфликтов. 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35. 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  <w:r>
              <w:rPr>
                <w:spacing w:val="-4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36. Усиление антитеррористической защищенности объектов, находящихся в ведении Печенгского муниципального округа.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37. Наличие комплексной схемы организации дорожного движения.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  <w:p>
            <w:pPr>
              <w:pStyle w:val="685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38. Наличие исправной пожарной сигнализации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</w:tr>
    </w:tbl>
    <w:p>
      <w:pPr>
        <w:pStyle w:val="683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«Финансовое обеспечение программы» в паспорте </w:t>
      </w:r>
      <w:r>
        <w:rPr>
          <w:rFonts w:eastAsia="Times New Roman"/>
          <w:sz w:val="24"/>
          <w:szCs w:val="24"/>
        </w:rPr>
        <w:t xml:space="preserve">Программы изложить в</w:t>
      </w:r>
      <w:r>
        <w:rPr>
          <w:rFonts w:eastAsia="Times New Roman"/>
          <w:sz w:val="24"/>
          <w:szCs w:val="24"/>
        </w:rPr>
        <w:t xml:space="preserve">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9442" w:type="dxa"/>
        <w:jc w:val="center"/>
        <w:tblInd w:w="-4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«Финансовое обеспечение </w:t>
            </w:r>
            <w:r>
              <w:rPr>
                <w:sz w:val="24"/>
                <w:szCs w:val="24"/>
                <w:lang w:eastAsia="en-US"/>
              </w:rPr>
              <w:t xml:space="preserve">программы</w:t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программе: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sz w:val="24"/>
                <w:szCs w:val="24"/>
                <w:lang w:eastAsia="en-US"/>
              </w:rPr>
              <w:t xml:space="preserve">68 629,0</w:t>
            </w:r>
            <w:r>
              <w:rPr>
                <w:b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</w:t>
            </w:r>
            <w:r>
              <w:rPr>
                <w:sz w:val="24"/>
                <w:szCs w:val="24"/>
                <w:lang w:eastAsia="en-US"/>
              </w:rPr>
              <w:t xml:space="preserve"> 9111,7</w:t>
            </w:r>
            <w:r>
              <w:rPr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</w:t>
            </w:r>
            <w:r>
              <w:rPr>
                <w:sz w:val="24"/>
                <w:szCs w:val="24"/>
                <w:lang w:eastAsia="en-US"/>
              </w:rPr>
              <w:t xml:space="preserve">3064,9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sz w:val="24"/>
                <w:szCs w:val="24"/>
                <w:lang w:eastAsia="en-US"/>
              </w:rPr>
              <w:t xml:space="preserve">3023,4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</w:t>
            </w:r>
            <w:r>
              <w:rPr>
                <w:sz w:val="24"/>
                <w:szCs w:val="24"/>
                <w:lang w:eastAsia="en-US"/>
              </w:rPr>
              <w:t xml:space="preserve"> 3023,4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</w:t>
            </w:r>
            <w:r>
              <w:rPr>
                <w:sz w:val="24"/>
                <w:szCs w:val="24"/>
                <w:lang w:eastAsia="en-US"/>
              </w:rPr>
              <w:t xml:space="preserve">59517,3</w:t>
            </w:r>
            <w:r>
              <w:rPr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</w:t>
            </w:r>
            <w:r>
              <w:rPr>
                <w:sz w:val="24"/>
                <w:szCs w:val="24"/>
                <w:lang w:eastAsia="en-US"/>
              </w:rPr>
              <w:t xml:space="preserve">2</w:t>
            </w:r>
            <w:r>
              <w:rPr>
                <w:sz w:val="24"/>
                <w:szCs w:val="24"/>
                <w:lang w:eastAsia="en-US"/>
              </w:rPr>
              <w:t xml:space="preserve">3720,9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sz w:val="24"/>
                <w:szCs w:val="24"/>
                <w:lang w:eastAsia="en-US"/>
              </w:rPr>
              <w:t xml:space="preserve">17699,2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</w:t>
            </w:r>
            <w:r>
              <w:rPr>
                <w:sz w:val="24"/>
                <w:szCs w:val="24"/>
                <w:lang w:eastAsia="en-US"/>
              </w:rPr>
              <w:t xml:space="preserve">18097,2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</w:t>
            </w:r>
            <w:r>
              <w:rPr>
                <w:sz w:val="24"/>
                <w:szCs w:val="24"/>
                <w:lang w:eastAsia="en-US"/>
              </w:rPr>
              <w:t xml:space="preserve">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  <w:lang w:eastAsia="en-US"/>
        </w:rPr>
        <w:outlineLvl w:val="1"/>
      </w:pPr>
      <w:r>
        <w:rPr>
          <w:sz w:val="24"/>
          <w:szCs w:val="24"/>
        </w:rPr>
        <w:t xml:space="preserve">- строку 2.1.12</w:t>
      </w:r>
      <w:r>
        <w:rPr>
          <w:sz w:val="24"/>
          <w:szCs w:val="24"/>
          <w:lang w:eastAsia="en-US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исключить;</w:t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lang w:eastAsia="en-US"/>
        </w:rPr>
        <w:outlineLvl w:val="1"/>
      </w:pPr>
      <w:r>
        <w:rPr>
          <w:sz w:val="24"/>
          <w:szCs w:val="24"/>
        </w:rPr>
        <w:t xml:space="preserve">- пункт 12 строки «Показатели программы» в паспорте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одпрограммы 1 </w:t>
      </w:r>
      <w:r>
        <w:rPr>
          <w:sz w:val="24"/>
          <w:szCs w:val="24"/>
          <w:lang w:eastAsia="en-US"/>
        </w:rPr>
        <w:t xml:space="preserve">«Повышение безопасности дорожного движения и снижение дорожно-транспортного травматизма» (далее – Подпрограмма 1) исключить;</w:t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 строку «Финансовое обеспечение подпрограммы» в паспорте Подпрограммы 1 изложить в следующей редакции: </w:t>
      </w:r>
      <w:r>
        <w:rPr>
          <w:rFonts w:eastAsia="Times New Roman"/>
          <w:sz w:val="24"/>
          <w:szCs w:val="24"/>
        </w:rPr>
      </w:r>
    </w:p>
    <w:tbl>
      <w:tblPr>
        <w:tblW w:w="9401" w:type="dxa"/>
        <w:jc w:val="center"/>
        <w:tblInd w:w="1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72"/>
        <w:gridCol w:w="7129"/>
      </w:tblGrid>
      <w:tr>
        <w:tblPrEx/>
        <w:trPr>
          <w:jc w:val="center"/>
          <w:trHeight w:val="2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2" w:type="dxa"/>
            <w:textDirection w:val="lrTb"/>
            <w:noWrap w:val="false"/>
          </w:tcPr>
          <w:p>
            <w:pPr>
              <w:ind w:left="44" w:right="-57"/>
              <w:rPr>
                <w:rFonts w:eastAsia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Times New Roman"/>
                <w:sz w:val="24"/>
                <w:szCs w:val="24"/>
              </w:rPr>
              <w:t xml:space="preserve">«Финансовое обеспечение </w:t>
            </w:r>
            <w:r>
              <w:rPr>
                <w:rFonts w:eastAsia="Times New Roman"/>
                <w:sz w:val="24"/>
                <w:szCs w:val="24"/>
              </w:rPr>
              <w:t xml:space="preserve">под</w:t>
            </w:r>
            <w:r>
              <w:rPr>
                <w:rFonts w:eastAsia="Times New Roman"/>
                <w:sz w:val="24"/>
                <w:szCs w:val="24"/>
              </w:rPr>
              <w:t xml:space="preserve">программы</w:t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29" w:type="dxa"/>
            <w:textDirection w:val="lrTb"/>
            <w:noWrap w:val="false"/>
          </w:tcPr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117,5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117,5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117,5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  <w:lang w:eastAsia="en-US"/>
        </w:rPr>
        <w:outlineLvl w:val="1"/>
      </w:pPr>
      <w:r>
        <w:rPr>
          <w:sz w:val="24"/>
          <w:szCs w:val="24"/>
          <w:lang w:eastAsia="en-US"/>
        </w:rPr>
        <w:t xml:space="preserve">-</w:t>
      </w:r>
      <w:r>
        <w:rPr>
          <w:sz w:val="24"/>
          <w:szCs w:val="24"/>
          <w:lang w:eastAsia="en-US"/>
        </w:rPr>
        <w:t xml:space="preserve"> строку 1.1.6 </w:t>
      </w:r>
      <w:r>
        <w:rPr>
          <w:sz w:val="24"/>
          <w:szCs w:val="24"/>
          <w:lang w:eastAsia="en-US"/>
        </w:rPr>
        <w:t xml:space="preserve">таблиц</w:t>
      </w:r>
      <w:r>
        <w:rPr>
          <w:sz w:val="24"/>
          <w:szCs w:val="24"/>
          <w:lang w:eastAsia="en-US"/>
        </w:rPr>
        <w:t xml:space="preserve">ы</w:t>
      </w:r>
      <w:r>
        <w:rPr>
          <w:sz w:val="24"/>
          <w:szCs w:val="24"/>
          <w:lang w:eastAsia="en-US"/>
        </w:rPr>
        <w:t xml:space="preserve"> 1 «Перечень мероприятий подпрограм</w:t>
      </w:r>
      <w:r>
        <w:rPr>
          <w:sz w:val="24"/>
          <w:szCs w:val="24"/>
          <w:lang w:eastAsia="en-US"/>
        </w:rPr>
        <w:t xml:space="preserve">мы с объемом финансирования» к П</w:t>
      </w:r>
      <w:r>
        <w:rPr>
          <w:sz w:val="24"/>
          <w:szCs w:val="24"/>
          <w:lang w:eastAsia="en-US"/>
        </w:rPr>
        <w:t xml:space="preserve">одпрограмме 1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исключить;</w:t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строки «Итого по мероприятию 1» и «Всего по подпрограмме 1» таблицы 1 «Перечень мероприятий подпрограммы с объемом финансирования» к Подпрограмме 1 изложить в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2975"/>
        <w:gridCol w:w="850"/>
        <w:gridCol w:w="1099"/>
        <w:gridCol w:w="1099"/>
        <w:gridCol w:w="1099"/>
        <w:gridCol w:w="1241"/>
        <w:gridCol w:w="994"/>
      </w:tblGrid>
      <w:tr>
        <w:tblPrEx/>
        <w:trPr>
          <w:trHeight w:val="45"/>
        </w:trPr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«Итого по мероприятию 1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117</w:t>
            </w:r>
            <w:r>
              <w:rPr>
                <w:rFonts w:eastAsia="Times New Roman"/>
                <w:b/>
              </w:rPr>
              <w:t xml:space="preserve">,</w:t>
            </w:r>
            <w:r>
              <w:rPr>
                <w:rFonts w:eastAsia="Times New Roman"/>
                <w:b/>
              </w:rPr>
              <w:t xml:space="preserve">5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117,5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117,5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117,5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по подпрограмме 1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191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117,5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117,5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117,5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117,5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0,0»;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1.1.6 таблицы 2 «Перечень мероприятий подпрограммы </w:t>
      </w:r>
      <w:r>
        <w:rPr>
          <w:sz w:val="24"/>
          <w:szCs w:val="24"/>
        </w:rPr>
        <w:t xml:space="preserve">с показателями результативности выполнения мероприятий» к Подпрограмме 1 иск</w:t>
      </w:r>
      <w:r>
        <w:rPr>
          <w:sz w:val="24"/>
          <w:szCs w:val="24"/>
        </w:rPr>
        <w:t xml:space="preserve">лючить;</w:t>
      </w:r>
      <w:r>
        <w:rPr>
          <w:sz w:val="24"/>
          <w:szCs w:val="24"/>
        </w:rPr>
      </w:r>
    </w:p>
    <w:p>
      <w:pPr>
        <w:pStyle w:val="683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«Финансовое обесп</w:t>
      </w:r>
      <w:r>
        <w:rPr>
          <w:rFonts w:eastAsia="Times New Roman"/>
          <w:sz w:val="24"/>
          <w:szCs w:val="24"/>
        </w:rPr>
        <w:t xml:space="preserve">ечение подпрограммы» в паспорте подпрограммы 3 «Обеспечение защиты населения и территорий от чрезвычайных ситуаций»</w:t>
      </w:r>
      <w:r>
        <w:rPr>
          <w:rFonts w:eastAsia="Times New Roman"/>
          <w:sz w:val="24"/>
          <w:szCs w:val="24"/>
        </w:rPr>
        <w:t xml:space="preserve"> (далее – Подпрограмма 3)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9442" w:type="dxa"/>
        <w:jc w:val="center"/>
        <w:tblInd w:w="-4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>
        <w:tblPrEx/>
        <w:trPr>
          <w:jc w:val="center"/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</w:t>
            </w:r>
            <w:r>
              <w:rPr>
                <w:sz w:val="24"/>
                <w:szCs w:val="24"/>
                <w:lang w:eastAsia="en-US"/>
              </w:rPr>
              <w:t xml:space="preserve">под</w:t>
            </w:r>
            <w:r>
              <w:rPr>
                <w:sz w:val="24"/>
                <w:szCs w:val="24"/>
                <w:lang w:eastAsia="en-US"/>
              </w:rPr>
              <w:t xml:space="preserve">программе: 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sz w:val="24"/>
                <w:szCs w:val="24"/>
                <w:lang w:eastAsia="en-US"/>
              </w:rPr>
              <w:t xml:space="preserve">50 095,8</w:t>
            </w:r>
            <w:r>
              <w:rPr>
                <w:b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</w:t>
            </w:r>
            <w:r>
              <w:rPr>
                <w:sz w:val="24"/>
                <w:szCs w:val="24"/>
                <w:lang w:eastAsia="en-US"/>
              </w:rPr>
              <w:t xml:space="preserve">50095,8</w:t>
            </w:r>
            <w:r>
              <w:rPr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</w:t>
            </w:r>
            <w:r>
              <w:rPr>
                <w:sz w:val="24"/>
                <w:szCs w:val="24"/>
                <w:lang w:eastAsia="en-US"/>
              </w:rPr>
              <w:t xml:space="preserve">20019,4 </w:t>
            </w:r>
            <w:r>
              <w:rPr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14839,2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15237,2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</w:t>
            </w:r>
            <w:r>
              <w:rPr>
                <w:sz w:val="24"/>
                <w:szCs w:val="24"/>
                <w:lang w:eastAsia="en-US"/>
              </w:rPr>
              <w:t xml:space="preserve">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  <w:lang w:eastAsia="en-US"/>
        </w:rPr>
        <w:outlineLvl w:val="1"/>
      </w:pPr>
      <w:r>
        <w:rPr>
          <w:rFonts w:eastAsia="Times New Roman"/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и</w:t>
      </w:r>
      <w:r>
        <w:rPr>
          <w:rFonts w:eastAsia="Times New Roman"/>
          <w:sz w:val="24"/>
          <w:szCs w:val="24"/>
        </w:rPr>
        <w:t xml:space="preserve"> 3.1.5</w:t>
      </w:r>
      <w:r>
        <w:rPr>
          <w:rFonts w:eastAsia="Times New Roman"/>
          <w:sz w:val="24"/>
          <w:szCs w:val="24"/>
        </w:rPr>
        <w:t xml:space="preserve"> и «Итого по мероприятию 1»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</w:t>
      </w:r>
      <w:r>
        <w:rPr>
          <w:rFonts w:eastAsia="Times New Roman"/>
          <w:sz w:val="24"/>
          <w:szCs w:val="24"/>
        </w:rPr>
        <w:t xml:space="preserve"> 1 «Перечень мероприятий </w:t>
      </w:r>
      <w:r>
        <w:rPr>
          <w:rFonts w:eastAsia="Times New Roman"/>
          <w:sz w:val="24"/>
          <w:szCs w:val="24"/>
        </w:rPr>
        <w:t xml:space="preserve">подпрограммы </w:t>
      </w:r>
      <w:r>
        <w:rPr>
          <w:rFonts w:eastAsia="Times New Roman"/>
          <w:sz w:val="24"/>
          <w:szCs w:val="24"/>
        </w:rPr>
        <w:t xml:space="preserve">с объемом финансирования»</w:t>
      </w:r>
      <w:r>
        <w:rPr>
          <w:sz w:val="24"/>
          <w:szCs w:val="24"/>
          <w:lang w:eastAsia="en-US"/>
        </w:rPr>
        <w:t xml:space="preserve"> к Подпрограмме 3 изложить в следующей редакции:</w:t>
      </w:r>
      <w:r>
        <w:rPr>
          <w:sz w:val="24"/>
          <w:szCs w:val="24"/>
          <w:lang w:eastAsia="en-US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992"/>
        <w:gridCol w:w="993"/>
        <w:gridCol w:w="992"/>
        <w:gridCol w:w="850"/>
        <w:gridCol w:w="851"/>
        <w:gridCol w:w="1134"/>
      </w:tblGrid>
      <w:tr>
        <w:tblPrEx/>
        <w:trPr>
          <w:trHeight w:val="18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3.1.5.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2023-2025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,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КСиМП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, МБУ ДО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«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ДХШ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             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№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1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1795,5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795,5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500,0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500,0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1795,5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795,5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500,0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500,0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мероприятию 1</w:t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2395</w:t>
            </w:r>
            <w:r>
              <w:rPr>
                <w:rFonts w:eastAsia="Times New Roman"/>
                <w:b/>
                <w:spacing w:val="1"/>
              </w:rPr>
              <w:t xml:space="preserve">,5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795,5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</w:t>
            </w:r>
            <w:r>
              <w:rPr>
                <w:rFonts w:eastAsia="Times New Roman"/>
                <w:b/>
                <w:spacing w:val="1"/>
              </w:rPr>
              <w:t xml:space="preserve">00,0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</w:t>
            </w:r>
            <w:r>
              <w:rPr>
                <w:rFonts w:eastAsia="Times New Roman"/>
                <w:b/>
                <w:spacing w:val="1"/>
              </w:rPr>
              <w:t xml:space="preserve">00,0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169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173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2395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795,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</w:t>
            </w:r>
            <w:r>
              <w:rPr>
                <w:rFonts w:eastAsia="Times New Roman"/>
                <w:b/>
                <w:spacing w:val="1"/>
              </w:rPr>
              <w:t xml:space="preserve">00,0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</w:t>
            </w:r>
            <w:r>
              <w:rPr>
                <w:rFonts w:eastAsia="Times New Roman"/>
                <w:b/>
                <w:spacing w:val="1"/>
              </w:rPr>
              <w:t xml:space="preserve">00,0»;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строки 3.2.1, 3.2.4, </w:t>
      </w:r>
      <w:r>
        <w:rPr>
          <w:rFonts w:eastAsia="Times New Roman"/>
          <w:sz w:val="24"/>
          <w:szCs w:val="24"/>
        </w:rPr>
        <w:t xml:space="preserve">«И</w:t>
      </w:r>
      <w:r>
        <w:rPr>
          <w:rFonts w:eastAsia="Times New Roman"/>
          <w:sz w:val="24"/>
          <w:szCs w:val="24"/>
        </w:rPr>
        <w:t xml:space="preserve">того по мероприятию 2» и</w:t>
      </w:r>
      <w:r>
        <w:rPr>
          <w:rFonts w:eastAsia="Times New Roman"/>
          <w:sz w:val="24"/>
          <w:szCs w:val="24"/>
        </w:rPr>
        <w:t xml:space="preserve"> «Всего по подпрограмме 3» таблицы 1 «Перечень мероприятий подпрограммы с объемом финансирования» Подпрограммы 3 изложить в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993"/>
        <w:gridCol w:w="992"/>
        <w:gridCol w:w="992"/>
        <w:gridCol w:w="992"/>
        <w:gridCol w:w="1134"/>
        <w:gridCol w:w="851"/>
      </w:tblGrid>
      <w:tr>
        <w:tblPrEx/>
        <w:trPr>
          <w:trHeight w:val="111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«3.2.1.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Приобретение противопожарного, спасательного оборудования, </w:t>
            </w:r>
            <w:r>
              <w:rPr>
                <w:rFonts w:eastAsia="Times New Roman"/>
                <w:spacing w:val="1"/>
              </w:rPr>
              <w:t xml:space="preserve">СИЗ</w:t>
            </w:r>
            <w:r>
              <w:rPr>
                <w:rFonts w:eastAsia="Times New Roman"/>
                <w:spacing w:val="1"/>
              </w:rPr>
              <w:t xml:space="preserve"> и другого имущества для создания резерва администрации муниципального округа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2023-2025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15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1409,4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1209,4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1409,4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1209,4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3.2.4.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Обеспечение функционирования МКУ «ЕДДС Печенгского муниципального округа»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2023-2025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МКУ «ЕДДС»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44410,9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17</w:t>
            </w:r>
            <w:r>
              <w:rPr>
                <w:rFonts w:eastAsia="Times New Roman"/>
                <w:spacing w:val="1"/>
              </w:rPr>
              <w:t xml:space="preserve">414</w:t>
            </w:r>
            <w:r>
              <w:rPr>
                <w:rFonts w:eastAsia="Times New Roman"/>
                <w:spacing w:val="1"/>
              </w:rPr>
              <w:t xml:space="preserve">,5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13299,2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13697,2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44</w:t>
            </w:r>
            <w:r>
              <w:rPr>
                <w:rFonts w:eastAsia="Times New Roman"/>
                <w:b/>
                <w:spacing w:val="1"/>
              </w:rPr>
              <w:t xml:space="preserve">410</w:t>
            </w:r>
            <w:r>
              <w:rPr>
                <w:rFonts w:eastAsia="Times New Roman"/>
                <w:b/>
                <w:spacing w:val="1"/>
              </w:rPr>
              <w:t xml:space="preserve">,9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17</w:t>
            </w:r>
            <w:r>
              <w:rPr>
                <w:rFonts w:eastAsia="Times New Roman"/>
                <w:b/>
                <w:spacing w:val="1"/>
              </w:rPr>
              <w:t xml:space="preserve">414</w:t>
            </w:r>
            <w:r>
              <w:rPr>
                <w:rFonts w:eastAsia="Times New Roman"/>
                <w:b/>
                <w:spacing w:val="1"/>
              </w:rPr>
              <w:t xml:space="preserve">,5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13299,2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13697,2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7"/>
        </w:trPr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мероприятию 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47700,3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19223,9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14039,2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14437,2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5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47700,3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19223,9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14039,2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14437,2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3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50095,8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20019,4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14839,2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15237,2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50095,8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20019,4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14839,2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15237,2»;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683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</w:t>
      </w:r>
      <w:r>
        <w:rPr>
          <w:rFonts w:eastAsia="Times New Roman"/>
          <w:sz w:val="24"/>
          <w:szCs w:val="24"/>
        </w:rPr>
        <w:t xml:space="preserve">подпрограммы 4 «Противодействие терроризму и профилактика экстремизма» (далее – Подпрограмма 4)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9442" w:type="dxa"/>
        <w:jc w:val="center"/>
        <w:tblInd w:w="-4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>
        <w:tblPrEx/>
        <w:trPr>
          <w:jc w:val="center"/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</w:t>
            </w:r>
            <w:r>
              <w:rPr>
                <w:sz w:val="24"/>
                <w:szCs w:val="24"/>
                <w:lang w:eastAsia="en-US"/>
              </w:rPr>
              <w:t xml:space="preserve">под</w:t>
            </w:r>
            <w:r>
              <w:rPr>
                <w:sz w:val="24"/>
                <w:szCs w:val="24"/>
                <w:lang w:eastAsia="en-US"/>
              </w:rPr>
              <w:t xml:space="preserve">программе: </w:t>
            </w:r>
            <w:r>
              <w:rPr>
                <w:b/>
                <w:sz w:val="24"/>
                <w:szCs w:val="24"/>
                <w:lang w:eastAsia="en-US"/>
              </w:rPr>
              <w:t xml:space="preserve">9 30</w:t>
            </w:r>
            <w:r>
              <w:rPr>
                <w:b/>
                <w:sz w:val="24"/>
                <w:szCs w:val="24"/>
                <w:lang w:eastAsia="en-US"/>
              </w:rPr>
              <w:t xml:space="preserve">4</w:t>
            </w:r>
            <w:r>
              <w:rPr>
                <w:b/>
                <w:sz w:val="24"/>
                <w:szCs w:val="24"/>
                <w:lang w:eastAsia="en-US"/>
              </w:rPr>
              <w:t xml:space="preserve">,0</w:t>
            </w:r>
            <w:r>
              <w:rPr>
                <w:b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</w:t>
            </w:r>
            <w:r>
              <w:rPr>
                <w:sz w:val="24"/>
                <w:szCs w:val="24"/>
                <w:lang w:eastAsia="en-US"/>
              </w:rPr>
              <w:t xml:space="preserve">9304,0</w:t>
            </w:r>
            <w:r>
              <w:rPr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</w:t>
            </w:r>
            <w:r>
              <w:rPr>
                <w:sz w:val="24"/>
                <w:szCs w:val="24"/>
                <w:lang w:eastAsia="en-US"/>
              </w:rPr>
              <w:t xml:space="preserve">3584,0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2860,0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2860,0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</w:t>
            </w:r>
            <w:r>
              <w:rPr>
                <w:sz w:val="24"/>
                <w:szCs w:val="24"/>
                <w:lang w:eastAsia="en-US"/>
              </w:rPr>
              <w:t xml:space="preserve">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  <w:lang w:eastAsia="en-US"/>
        </w:rPr>
        <w:outlineLvl w:val="1"/>
      </w:pPr>
      <w:r>
        <w:rPr>
          <w:sz w:val="24"/>
          <w:szCs w:val="24"/>
          <w:lang w:eastAsia="en-US"/>
        </w:rPr>
        <w:t xml:space="preserve">- </w:t>
      </w:r>
      <w:r>
        <w:rPr>
          <w:sz w:val="24"/>
          <w:szCs w:val="24"/>
          <w:lang w:eastAsia="en-US"/>
        </w:rPr>
        <w:t xml:space="preserve">строки 4.2.1, «Итого по мероприятию 2» и «Всего по подпрограмме 4» </w:t>
      </w:r>
      <w:r>
        <w:rPr>
          <w:sz w:val="24"/>
          <w:szCs w:val="24"/>
          <w:lang w:eastAsia="en-US"/>
        </w:rPr>
        <w:t xml:space="preserve">таблиц</w:t>
      </w:r>
      <w:r>
        <w:rPr>
          <w:sz w:val="24"/>
          <w:szCs w:val="24"/>
          <w:lang w:eastAsia="en-US"/>
        </w:rPr>
        <w:t xml:space="preserve">ы</w:t>
      </w:r>
      <w:r>
        <w:rPr>
          <w:sz w:val="24"/>
          <w:szCs w:val="24"/>
          <w:lang w:eastAsia="en-US"/>
        </w:rPr>
        <w:t xml:space="preserve"> 1 «Перечень мероприятий подпрограммы с объемом финансирования» к Подпрограмме </w:t>
      </w:r>
      <w:r>
        <w:rPr>
          <w:sz w:val="24"/>
          <w:szCs w:val="24"/>
          <w:lang w:eastAsia="en-US"/>
        </w:rPr>
        <w:t xml:space="preserve">4</w:t>
      </w:r>
      <w:r>
        <w:rPr>
          <w:sz w:val="24"/>
          <w:szCs w:val="24"/>
          <w:lang w:eastAsia="en-US"/>
        </w:rPr>
        <w:t xml:space="preserve"> изложить в следующей редакции:</w:t>
      </w:r>
      <w:r>
        <w:rPr>
          <w:sz w:val="24"/>
          <w:szCs w:val="24"/>
          <w:lang w:eastAsia="en-US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992"/>
        <w:gridCol w:w="992"/>
        <w:gridCol w:w="851"/>
        <w:gridCol w:w="850"/>
        <w:gridCol w:w="993"/>
        <w:gridCol w:w="992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4.2.1</w:t>
            </w:r>
            <w:r>
              <w:rPr>
                <w:rFonts w:eastAsia="Times New Roman"/>
                <w:spacing w:val="1"/>
              </w:rPr>
              <w:t xml:space="preserve">.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Мероприятия по усилению антитеррористической защищенности объектов, находящихся в ведении Печенгского муниципального округа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2023-2025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ПБ, отдел образования,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 МБДОУ, КУИ 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9214,0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3554,0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2830,0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2830,0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92</w:t>
            </w:r>
            <w:r>
              <w:rPr>
                <w:rFonts w:eastAsia="Times New Roman"/>
                <w:b/>
                <w:spacing w:val="1"/>
              </w:rPr>
              <w:t xml:space="preserve">14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</w:t>
            </w:r>
            <w:r>
              <w:rPr>
                <w:rFonts w:eastAsia="Times New Roman"/>
                <w:b/>
                <w:spacing w:val="1"/>
              </w:rPr>
              <w:t xml:space="preserve">554,0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2830,0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2830,0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мероприятию 2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9214,0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3554,0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2830,0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2830,0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89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9214,0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3554,0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2830,0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2830,0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4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ФБ            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ОБ            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МБ            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9304</w:t>
            </w:r>
            <w:r>
              <w:rPr>
                <w:rFonts w:eastAsia="Times New Roman"/>
                <w:b/>
              </w:rPr>
              <w:t xml:space="preserve">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3584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2860,0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2860,0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ВБС           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Итого:        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9304</w:t>
            </w:r>
            <w:r>
              <w:rPr>
                <w:rFonts w:eastAsia="Times New Roman"/>
                <w:b/>
              </w:rPr>
              <w:t xml:space="preserve">,0</w:t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358</w:t>
            </w:r>
            <w:r>
              <w:rPr>
                <w:rFonts w:eastAsia="Times New Roman"/>
                <w:b/>
                <w:spacing w:val="1"/>
              </w:rPr>
              <w:t xml:space="preserve">4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2860,0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2860,0</w:t>
            </w:r>
            <w:r>
              <w:rPr>
                <w:rFonts w:eastAsia="Times New Roman"/>
                <w:b/>
                <w:spacing w:val="1"/>
              </w:rPr>
              <w:t xml:space="preserve">»</w:t>
            </w:r>
            <w:r>
              <w:rPr>
                <w:rFonts w:eastAsia="Times New Roman"/>
                <w:b/>
                <w:spacing w:val="1"/>
              </w:rPr>
              <w:t xml:space="preserve">.</w:t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подлежит опубликованию в газете «Печенга» и размещению</w:t>
      </w:r>
      <w:bookmarkStart w:id="0" w:name="_GoBack"/>
      <w:r/>
      <w:bookmarkEnd w:id="0"/>
      <w:r>
        <w:rPr>
          <w:sz w:val="24"/>
        </w:rPr>
        <w:t xml:space="preserve"> </w:t>
      </w:r>
      <w:r>
        <w:rPr>
          <w:rFonts w:eastAsia="Times New Roman"/>
          <w:sz w:val="24"/>
          <w:szCs w:val="24"/>
        </w:rPr>
        <w:t xml:space="preserve">на официальном сайте Печенгского муниципального округа</w:t>
      </w:r>
      <w:r>
        <w:rPr>
          <w:sz w:val="24"/>
        </w:rPr>
        <w:t xml:space="preserve"> </w:t>
      </w:r>
      <w:hyperlink r:id="rId11" w:tooltip="https://pechengamr.gov-murman.ru/" w:history="1">
        <w:r>
          <w:rPr>
            <w:sz w:val="24"/>
            <w:u w:val="single"/>
          </w:rPr>
          <w:t xml:space="preserve">https://pechengamr.gov-murman.ru/</w:t>
        </w:r>
      </w:hyperlink>
      <w:r/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</w:p>
    <w:p>
      <w:pPr>
        <w:jc w:val="both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Тарасов А.Г.</w:t>
      </w:r>
      <w:r>
        <w:t xml:space="preserve">,50007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8"/>
    <w:next w:val="668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69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8"/>
    <w:next w:val="668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69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8"/>
    <w:next w:val="668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69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8"/>
    <w:next w:val="668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69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8"/>
    <w:next w:val="668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69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8"/>
    <w:next w:val="668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69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8"/>
    <w:next w:val="668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69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8"/>
    <w:next w:val="668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69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8"/>
    <w:next w:val="668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69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68"/>
    <w:next w:val="668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69"/>
    <w:link w:val="34"/>
    <w:uiPriority w:val="10"/>
    <w:rPr>
      <w:sz w:val="48"/>
      <w:szCs w:val="48"/>
    </w:rPr>
  </w:style>
  <w:style w:type="paragraph" w:styleId="36">
    <w:name w:val="Subtitle"/>
    <w:basedOn w:val="668"/>
    <w:next w:val="668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69"/>
    <w:link w:val="36"/>
    <w:uiPriority w:val="11"/>
    <w:rPr>
      <w:sz w:val="24"/>
      <w:szCs w:val="24"/>
    </w:rPr>
  </w:style>
  <w:style w:type="paragraph" w:styleId="38">
    <w:name w:val="Quote"/>
    <w:basedOn w:val="668"/>
    <w:next w:val="668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8"/>
    <w:next w:val="668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69"/>
    <w:link w:val="676"/>
    <w:uiPriority w:val="99"/>
  </w:style>
  <w:style w:type="character" w:styleId="45">
    <w:name w:val="Footer Char"/>
    <w:basedOn w:val="669"/>
    <w:link w:val="678"/>
    <w:uiPriority w:val="99"/>
  </w:style>
  <w:style w:type="paragraph" w:styleId="46">
    <w:name w:val="Caption"/>
    <w:basedOn w:val="668"/>
    <w:next w:val="6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78"/>
    <w:uiPriority w:val="99"/>
  </w:style>
  <w:style w:type="table" w:styleId="49">
    <w:name w:val="Table Grid Light"/>
    <w:basedOn w:val="6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68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69"/>
    <w:uiPriority w:val="99"/>
    <w:unhideWhenUsed/>
    <w:rPr>
      <w:vertAlign w:val="superscript"/>
    </w:rPr>
  </w:style>
  <w:style w:type="paragraph" w:styleId="178">
    <w:name w:val="endnote text"/>
    <w:basedOn w:val="668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69"/>
    <w:uiPriority w:val="99"/>
    <w:semiHidden/>
    <w:unhideWhenUsed/>
    <w:rPr>
      <w:vertAlign w:val="superscript"/>
    </w:rPr>
  </w:style>
  <w:style w:type="paragraph" w:styleId="181">
    <w:name w:val="toc 1"/>
    <w:basedOn w:val="668"/>
    <w:next w:val="668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8"/>
    <w:next w:val="668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8"/>
    <w:next w:val="668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8"/>
    <w:next w:val="668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8"/>
    <w:next w:val="668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8"/>
    <w:next w:val="668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8"/>
    <w:next w:val="668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8"/>
    <w:next w:val="668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8"/>
    <w:next w:val="668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8"/>
    <w:next w:val="668"/>
    <w:uiPriority w:val="99"/>
    <w:unhideWhenUsed/>
    <w:pPr>
      <w:spacing w:after="0" w:afterAutospacing="0"/>
    </w:pPr>
  </w:style>
  <w:style w:type="paragraph" w:styleId="668" w:default="1">
    <w:name w:val="Normal"/>
    <w:qFormat/>
    <w:rPr>
      <w:rFonts w:eastAsia="Calibri"/>
    </w:rPr>
  </w:style>
  <w:style w:type="character" w:styleId="669" w:default="1">
    <w:name w:val="Default Paragraph Font"/>
    <w:uiPriority w:val="1"/>
    <w:semiHidden/>
    <w:unhideWhenUsed/>
  </w:style>
  <w:style w:type="table" w:styleId="6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1" w:default="1">
    <w:name w:val="No List"/>
    <w:uiPriority w:val="99"/>
    <w:semiHidden/>
    <w:unhideWhenUsed/>
  </w:style>
  <w:style w:type="paragraph" w:styleId="672">
    <w:name w:val="Normal (Web)"/>
    <w:basedOn w:val="668"/>
    <w:semiHidden/>
    <w:pPr>
      <w:spacing w:before="100" w:beforeAutospacing="1" w:after="100" w:afterAutospacing="1"/>
    </w:pPr>
    <w:rPr>
      <w:sz w:val="24"/>
      <w:szCs w:val="24"/>
    </w:rPr>
  </w:style>
  <w:style w:type="paragraph" w:styleId="673" w:customStyle="1">
    <w:name w:val="Абзац списка1"/>
    <w:basedOn w:val="668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674">
    <w:name w:val="Balloon Text"/>
    <w:basedOn w:val="668"/>
    <w:link w:val="675"/>
    <w:rPr>
      <w:rFonts w:ascii="Calibri" w:hAnsi="Calibri"/>
      <w:sz w:val="16"/>
      <w:szCs w:val="16"/>
    </w:rPr>
  </w:style>
  <w:style w:type="character" w:styleId="675" w:customStyle="1">
    <w:name w:val="Текст выноски Знак"/>
    <w:link w:val="674"/>
    <w:rPr>
      <w:rFonts w:ascii="Calibri" w:hAnsi="Calibri" w:eastAsia="Calibri"/>
      <w:sz w:val="16"/>
      <w:szCs w:val="16"/>
    </w:rPr>
  </w:style>
  <w:style w:type="paragraph" w:styleId="676">
    <w:name w:val="Header"/>
    <w:basedOn w:val="668"/>
    <w:link w:val="677"/>
    <w:pPr>
      <w:tabs>
        <w:tab w:val="center" w:pos="4677" w:leader="none"/>
        <w:tab w:val="right" w:pos="9355" w:leader="none"/>
      </w:tabs>
    </w:pPr>
  </w:style>
  <w:style w:type="character" w:styleId="677" w:customStyle="1">
    <w:name w:val="Верхний колонтитул Знак"/>
    <w:link w:val="676"/>
    <w:rPr>
      <w:rFonts w:eastAsia="Calibri"/>
    </w:rPr>
  </w:style>
  <w:style w:type="paragraph" w:styleId="678">
    <w:name w:val="Footer"/>
    <w:basedOn w:val="668"/>
    <w:link w:val="679"/>
    <w:pPr>
      <w:tabs>
        <w:tab w:val="center" w:pos="4677" w:leader="none"/>
        <w:tab w:val="right" w:pos="9355" w:leader="none"/>
      </w:tabs>
    </w:pPr>
  </w:style>
  <w:style w:type="character" w:styleId="679" w:customStyle="1">
    <w:name w:val="Нижний колонтитул Знак"/>
    <w:link w:val="678"/>
    <w:rPr>
      <w:rFonts w:eastAsia="Calibri"/>
    </w:rPr>
  </w:style>
  <w:style w:type="table" w:styleId="680">
    <w:name w:val="Table Grid"/>
    <w:basedOn w:val="67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81">
    <w:name w:val="List Paragraph"/>
    <w:basedOn w:val="668"/>
    <w:qFormat/>
    <w:pPr>
      <w:contextualSpacing/>
      <w:ind w:left="720"/>
    </w:pPr>
  </w:style>
  <w:style w:type="paragraph" w:styleId="682" w:customStyle="1">
    <w:name w:val="Знак Знак2"/>
    <w:basedOn w:val="66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683">
    <w:name w:val="Body Text 2"/>
    <w:basedOn w:val="668"/>
    <w:link w:val="684"/>
    <w:pPr>
      <w:spacing w:after="120" w:line="480" w:lineRule="auto"/>
    </w:pPr>
  </w:style>
  <w:style w:type="character" w:styleId="684" w:customStyle="1">
    <w:name w:val="Основной текст 2 Знак"/>
    <w:basedOn w:val="669"/>
    <w:link w:val="683"/>
    <w:rPr>
      <w:rFonts w:eastAsia="Calibri"/>
    </w:rPr>
  </w:style>
  <w:style w:type="paragraph" w:styleId="685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E1CD6-C5C5-449C-BA86-A9EE15076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3</cp:revision>
  <dcterms:created xsi:type="dcterms:W3CDTF">2023-12-07T09:29:00Z</dcterms:created>
  <dcterms:modified xsi:type="dcterms:W3CDTF">2024-02-15T13:43:08Z</dcterms:modified>
</cp:coreProperties>
</file>