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28.11.2023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1759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муниципальн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ую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программ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у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Печенгского муниципального округа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Муниципальные финансы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3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5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,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утверждё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нную постановлением администрации Печенгского муниципального округа от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03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11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.202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501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</w:t>
      </w:r>
      <w:r>
        <w:rPr>
          <w:rFonts w:ascii="Times New Roman" w:hAnsi="Times New Roman"/>
          <w:sz w:val="24"/>
          <w:szCs w:val="24"/>
        </w:rPr>
        <w:t xml:space="preserve"> статьей 179 Бюджетного кодекса Российской Федерации, Порядком разработки</w:t>
      </w:r>
      <w:r>
        <w:rPr>
          <w:rFonts w:ascii="Times New Roman" w:hAnsi="Times New Roman"/>
          <w:sz w:val="24"/>
          <w:szCs w:val="24"/>
        </w:rPr>
        <w:t xml:space="preserve">, реализации</w:t>
      </w:r>
      <w:r>
        <w:rPr>
          <w:rFonts w:ascii="Times New Roman" w:hAnsi="Times New Roman"/>
          <w:sz w:val="24"/>
          <w:szCs w:val="24"/>
        </w:rPr>
        <w:t xml:space="preserve"> и оценки эффективности муниципальных программ </w:t>
      </w:r>
      <w:r>
        <w:rPr>
          <w:rFonts w:ascii="Times New Roman" w:hAnsi="Times New Roman"/>
          <w:sz w:val="24"/>
          <w:szCs w:val="24"/>
        </w:rPr>
        <w:t xml:space="preserve">Печенгск</w:t>
      </w:r>
      <w:r>
        <w:rPr>
          <w:rFonts w:ascii="Times New Roman" w:hAnsi="Times New Roman"/>
          <w:sz w:val="24"/>
          <w:szCs w:val="24"/>
        </w:rPr>
        <w:t xml:space="preserve">ого</w:t>
      </w:r>
      <w:r>
        <w:rPr>
          <w:rFonts w:ascii="Times New Roman" w:hAnsi="Times New Roman"/>
          <w:sz w:val="24"/>
          <w:szCs w:val="24"/>
        </w:rPr>
        <w:t xml:space="preserve"> муниципальн</w:t>
      </w:r>
      <w:r>
        <w:rPr>
          <w:rFonts w:ascii="Times New Roman" w:hAnsi="Times New Roman"/>
          <w:sz w:val="24"/>
          <w:szCs w:val="24"/>
        </w:rPr>
        <w:t xml:space="preserve">ого</w:t>
      </w:r>
      <w:r>
        <w:rPr>
          <w:rFonts w:ascii="Times New Roman" w:hAnsi="Times New Roman"/>
          <w:sz w:val="24"/>
          <w:szCs w:val="24"/>
        </w:rPr>
        <w:t xml:space="preserve"> округ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, утвержденн</w:t>
      </w:r>
      <w:r>
        <w:rPr>
          <w:rFonts w:ascii="Times New Roman" w:hAnsi="Times New Roman"/>
          <w:sz w:val="24"/>
          <w:szCs w:val="24"/>
        </w:rPr>
        <w:t xml:space="preserve">ым</w:t>
      </w:r>
      <w:r>
        <w:rPr>
          <w:rFonts w:ascii="Times New Roman" w:hAnsi="Times New Roman"/>
          <w:sz w:val="24"/>
          <w:szCs w:val="24"/>
        </w:rPr>
        <w:t xml:space="preserve"> постановлением администрации Печенгск</w:t>
      </w:r>
      <w:r>
        <w:rPr>
          <w:rFonts w:ascii="Times New Roman" w:hAnsi="Times New Roman"/>
          <w:sz w:val="24"/>
          <w:szCs w:val="24"/>
        </w:rPr>
        <w:t xml:space="preserve">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муниципального округа от 16</w:t>
      </w:r>
      <w:r>
        <w:rPr>
          <w:rFonts w:ascii="Times New Roman" w:hAnsi="Times New Roman"/>
          <w:sz w:val="24"/>
          <w:szCs w:val="24"/>
        </w:rPr>
        <w:t xml:space="preserve">.0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838</w:t>
      </w:r>
      <w:r>
        <w:rPr>
          <w:rFonts w:ascii="Times New Roman" w:hAnsi="Times New Roman"/>
          <w:sz w:val="24"/>
          <w:szCs w:val="24"/>
        </w:rPr>
        <w:t xml:space="preserve">, в целях повышения эффективности использования бюджетных средств </w:t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Внести в муниципальную программу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«Муниципальные финансы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годы, утвержденную постановлением администрации Печенгского муниципального округа 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03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501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(в редакции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постановления администрации 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13.10.2023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1520)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(далее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Программа)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следующие изменения: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- с</w:t>
      </w:r>
      <w:r>
        <w:rPr>
          <w:rFonts w:ascii="Times New Roman" w:hAnsi="Times New Roman" w:eastAsia="Times New Roman"/>
          <w:sz w:val="24"/>
          <w:szCs w:val="24"/>
        </w:rPr>
        <w:t xml:space="preserve">троку «</w:t>
      </w:r>
      <w:r>
        <w:rPr>
          <w:rFonts w:ascii="Times New Roman" w:hAnsi="Times New Roman" w:eastAsia="Times New Roman"/>
          <w:sz w:val="24"/>
          <w:szCs w:val="24"/>
        </w:rPr>
        <w:t xml:space="preserve">Финансовое обеспечение программы» </w:t>
      </w:r>
      <w:r>
        <w:rPr>
          <w:rFonts w:ascii="Times New Roman" w:hAnsi="Times New Roman" w:eastAsia="Times New Roman"/>
          <w:sz w:val="24"/>
          <w:szCs w:val="24"/>
        </w:rPr>
        <w:t xml:space="preserve">в паспорте Программы</w:t>
      </w:r>
      <w:r>
        <w:rPr>
          <w:rFonts w:ascii="Times New Roman" w:hAnsi="Times New Roman" w:eastAsia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</w:t>
      </w:r>
      <w:r>
        <w:rPr>
          <w:rFonts w:ascii="Times New Roman" w:hAnsi="Times New Roman" w:eastAsia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613" w:type="dxa"/>
        <w:jc w:val="center"/>
        <w:tblInd w:w="-24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02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0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582,9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6582,9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8933,6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57727,4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59921,9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строк</w:t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.2, 2.2.2</w:t>
      </w:r>
      <w:r>
        <w:rPr>
          <w:rFonts w:ascii="Times New Roman" w:hAnsi="Times New Roman"/>
          <w:sz w:val="24"/>
          <w:szCs w:val="24"/>
        </w:rPr>
        <w:t xml:space="preserve">, 2.2.4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таблицы «</w:t>
      </w:r>
      <w:r>
        <w:rPr>
          <w:rFonts w:ascii="Times New Roman" w:hAnsi="Times New Roman"/>
          <w:sz w:val="24"/>
          <w:szCs w:val="24"/>
        </w:rPr>
        <w:t xml:space="preserve">Основны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показател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эффективности</w:t>
      </w:r>
      <w:r>
        <w:rPr>
          <w:rFonts w:ascii="Times New Roman" w:hAnsi="Times New Roman"/>
          <w:sz w:val="24"/>
          <w:szCs w:val="24"/>
        </w:rPr>
        <w:t xml:space="preserve"> р</w:t>
      </w:r>
      <w:r>
        <w:rPr>
          <w:rFonts w:ascii="Times New Roman" w:hAnsi="Times New Roman"/>
          <w:sz w:val="24"/>
          <w:szCs w:val="24"/>
        </w:rPr>
        <w:t xml:space="preserve">еализации программы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раздела 2 «Основные цели и задачи программы с указанием сроков и этапов её реализации</w:t>
      </w:r>
      <w:r>
        <w:rPr>
          <w:rFonts w:ascii="Times New Roman" w:hAnsi="Times New Roman"/>
          <w:sz w:val="24"/>
          <w:szCs w:val="24"/>
        </w:rPr>
        <w:t xml:space="preserve">, а также перечень основных мероприятий и показателей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паспорта Программы </w:t>
      </w:r>
      <w:r>
        <w:rPr>
          <w:rFonts w:ascii="Times New Roman" w:hAnsi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/>
          <w:sz w:val="24"/>
          <w:szCs w:val="24"/>
        </w:rPr>
      </w:r>
    </w:p>
    <w:tbl>
      <w:tblPr>
        <w:tblStyle w:val="707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122"/>
        <w:gridCol w:w="705"/>
        <w:gridCol w:w="717"/>
        <w:gridCol w:w="708"/>
        <w:gridCol w:w="993"/>
        <w:gridCol w:w="850"/>
        <w:gridCol w:w="851"/>
        <w:gridCol w:w="1701"/>
      </w:tblGrid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«1.2.</w:t>
            </w:r>
            <w:r>
              <w:rPr>
                <w:sz w:val="20"/>
                <w:szCs w:val="20"/>
              </w:rPr>
            </w:r>
          </w:p>
        </w:tc>
        <w:tc>
          <w:tcPr>
            <w:tcW w:w="212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Темп роста налоговых и неналоговых доходов бюджета округа к аналогичному показателю предыдущего года</w:t>
            </w:r>
            <w:r>
              <w:rPr>
                <w:sz w:val="20"/>
                <w:szCs w:val="20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</w:p>
        </w:tc>
        <w:tc>
          <w:tcPr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-2,2</w:t>
            </w:r>
            <w:r>
              <w:rPr>
                <w:sz w:val="20"/>
                <w:szCs w:val="2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12,3</w:t>
            </w:r>
            <w:r>
              <w:rPr>
                <w:sz w:val="20"/>
                <w:szCs w:val="20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  <w:lang w:val="en-US"/>
              </w:rPr>
              <w:t xml:space="preserve">0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  <w:lang w:val="en-US"/>
              </w:rPr>
              <w:t xml:space="preserve">1%</w:t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4,0</w:t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4,5</w:t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 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</w:p>
        </w:tc>
        <w:tc>
          <w:tcPr>
            <w:tcW w:w="212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запланированных программных расходов бюджета округа в общем объеме расходов бюджета округа </w:t>
            </w:r>
            <w:r>
              <w:rPr>
                <w:sz w:val="20"/>
                <w:szCs w:val="20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</w:p>
        </w:tc>
        <w:tc>
          <w:tcPr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99,1</w:t>
            </w:r>
            <w:r>
              <w:rPr>
                <w:sz w:val="20"/>
                <w:szCs w:val="2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99,8</w:t>
            </w:r>
            <w:r>
              <w:rPr>
                <w:sz w:val="20"/>
                <w:szCs w:val="20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98,9</w:t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99,1</w:t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99,4</w:t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2.2.4.</w:t>
            </w:r>
            <w:r>
              <w:rPr>
                <w:sz w:val="20"/>
                <w:szCs w:val="20"/>
              </w:rPr>
            </w:r>
          </w:p>
        </w:tc>
        <w:tc>
          <w:tcPr>
            <w:tcW w:w="212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Прирост доходной части бюджета округа, без учета безвозмездных поступлений</w:t>
            </w:r>
            <w:r>
              <w:rPr>
                <w:sz w:val="20"/>
                <w:szCs w:val="20"/>
              </w:rPr>
            </w:r>
          </w:p>
        </w:tc>
        <w:tc>
          <w:tcPr>
            <w:tcW w:w="7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</w:p>
        </w:tc>
        <w:tc>
          <w:tcPr>
            <w:tcW w:w="7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-2,2</w:t>
            </w:r>
            <w:r>
              <w:rPr>
                <w:sz w:val="20"/>
                <w:szCs w:val="2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12,3</w:t>
            </w:r>
            <w:r>
              <w:rPr>
                <w:sz w:val="20"/>
                <w:szCs w:val="20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  <w:lang w:val="en-US"/>
              </w:rPr>
              <w:t xml:space="preserve">0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4,0</w:t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4,5</w:t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округа»;</w:t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/>
          <w:sz w:val="24"/>
          <w:szCs w:val="24"/>
        </w:rPr>
        <w:t xml:space="preserve">троку «</w:t>
      </w:r>
      <w:r>
        <w:rPr>
          <w:rFonts w:ascii="Times New Roman" w:hAnsi="Times New Roman" w:eastAsia="Times New Roman"/>
          <w:sz w:val="24"/>
          <w:szCs w:val="24"/>
        </w:rPr>
        <w:t xml:space="preserve">Финансовое обеспечение подпрограммы» </w:t>
      </w:r>
      <w:r>
        <w:rPr>
          <w:rFonts w:ascii="Times New Roman" w:hAnsi="Times New Roman" w:eastAsia="Times New Roman"/>
          <w:sz w:val="24"/>
          <w:szCs w:val="24"/>
        </w:rPr>
        <w:t xml:space="preserve">в </w:t>
      </w:r>
      <w:r>
        <w:rPr>
          <w:rFonts w:ascii="Times New Roman" w:hAnsi="Times New Roman" w:eastAsia="Times New Roman"/>
          <w:sz w:val="24"/>
          <w:szCs w:val="24"/>
        </w:rPr>
        <w:t xml:space="preserve">паспорте </w:t>
      </w:r>
      <w:r>
        <w:rPr>
          <w:rFonts w:ascii="Times New Roman" w:hAnsi="Times New Roman" w:eastAsia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одпрограммы 1</w:t>
      </w:r>
      <w:r>
        <w:rPr>
          <w:rFonts w:ascii="Times New Roman" w:hAnsi="Times New Roman"/>
          <w:sz w:val="24"/>
          <w:szCs w:val="24"/>
        </w:rPr>
        <w:t xml:space="preserve"> «Управление муниципальным долгом» (далее – Подпрограмма 1)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</w:t>
      </w:r>
      <w:r>
        <w:rPr>
          <w:rFonts w:ascii="Times New Roman" w:hAnsi="Times New Roman" w:eastAsia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537" w:type="dxa"/>
        <w:jc w:val="center"/>
        <w:tblInd w:w="-1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6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271,3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271,3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80,7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123,6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67,0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строки 1.1.2, «Итого по мероприятию 1» и «Всего по подпрограмме 1» таблицы 1 «Перечень мероприятий подпрограммы с объёмом финансирования» к Подпрограмме 1 изложить в следующей редакции: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39"/>
        <w:gridCol w:w="1974"/>
        <w:gridCol w:w="681"/>
        <w:gridCol w:w="838"/>
        <w:gridCol w:w="1117"/>
        <w:gridCol w:w="977"/>
        <w:gridCol w:w="977"/>
        <w:gridCol w:w="1117"/>
        <w:gridCol w:w="838"/>
      </w:tblGrid>
      <w:tr>
        <w:tblPrEx/>
        <w:trPr>
          <w:trHeight w:val="156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05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Обслуживание муниципального долга 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6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-2025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5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5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271,3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123,6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67,0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5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5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271,3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123,6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271,3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123,6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271,3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123,6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271,3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123,6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271,3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80,7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123,6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67,0»;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691"/>
        <w:numPr>
          <w:ilvl w:val="0"/>
          <w:numId w:val="12"/>
        </w:numPr>
        <w:ind w:left="0" w:firstLine="709"/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строк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2.1.</w:t>
      </w:r>
      <w:r>
        <w:rPr>
          <w:rFonts w:ascii="Times New Roman" w:hAnsi="Times New Roman"/>
          <w:sz w:val="24"/>
          <w:szCs w:val="24"/>
        </w:rPr>
        <w:t xml:space="preserve">2, 2.2.1</w:t>
      </w:r>
      <w:r>
        <w:rPr>
          <w:rFonts w:ascii="Times New Roman" w:hAnsi="Times New Roman"/>
          <w:sz w:val="24"/>
          <w:szCs w:val="24"/>
        </w:rPr>
        <w:t xml:space="preserve"> таблицы 2 «Перечень мероприятий подпрограммы с показателями результативности выполнени</w:t>
      </w:r>
      <w:r>
        <w:rPr>
          <w:rFonts w:ascii="Times New Roman" w:hAnsi="Times New Roman"/>
          <w:sz w:val="24"/>
          <w:szCs w:val="24"/>
        </w:rPr>
        <w:t xml:space="preserve">я мероприятий» подпрограммы 2 «О</w:t>
      </w:r>
      <w:r>
        <w:rPr>
          <w:rFonts w:ascii="Times New Roman" w:hAnsi="Times New Roman"/>
          <w:sz w:val="24"/>
          <w:szCs w:val="24"/>
        </w:rPr>
        <w:t xml:space="preserve">рганизация бюджетного процесса»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/>
          <w:sz w:val="24"/>
          <w:szCs w:val="24"/>
        </w:rPr>
      </w:r>
    </w:p>
    <w:tbl>
      <w:tblPr>
        <w:tblStyle w:val="707"/>
        <w:tblW w:w="94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1843"/>
        <w:gridCol w:w="708"/>
        <w:gridCol w:w="851"/>
        <w:gridCol w:w="709"/>
        <w:gridCol w:w="708"/>
        <w:gridCol w:w="992"/>
      </w:tblGrid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Формирование проекта бюджета округа в соответствии с действующим законодательством</w:t>
            </w:r>
            <w:r>
              <w:rPr>
                <w:sz w:val="20"/>
                <w:szCs w:val="20"/>
              </w:rPr>
              <w:t xml:space="preserve"> с соблюдением всех норм и ограничений</w:t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2023-2025</w:t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запланированных программных расходов бюджета округа в общем объеме расходов бюджета округа</w:t>
            </w:r>
            <w:r>
              <w:rPr>
                <w:sz w:val="20"/>
                <w:szCs w:val="2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98,9</w:t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99,1</w:t>
            </w:r>
            <w:r>
              <w:rPr>
                <w:sz w:val="20"/>
                <w:szCs w:val="2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99,4</w:t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ФИНУ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2.2.1.</w:t>
            </w:r>
            <w:r>
              <w:rPr>
                <w:sz w:val="20"/>
                <w:szCs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Проведение мероприятий, направленных на увеличение доходного потенциала бюджета округа</w:t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2023-2025</w:t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bCs/>
                <w:sz w:val="20"/>
                <w:szCs w:val="20"/>
                <w:lang w:eastAsia="ru-RU"/>
              </w:rPr>
            </w:pPr>
            <w:r>
              <w:rPr>
                <w:bCs/>
                <w:sz w:val="20"/>
                <w:szCs w:val="20"/>
                <w:lang w:eastAsia="ru-RU"/>
              </w:rPr>
              <w:t xml:space="preserve">Прирост доходной части бюджета округа, без учета безвозмездных поступлений</w:t>
            </w:r>
            <w:r>
              <w:rPr>
                <w:bCs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0,1</w:t>
            </w: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4,0</w:t>
            </w:r>
            <w:r>
              <w:rPr>
                <w:sz w:val="20"/>
                <w:szCs w:val="2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4,5</w:t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ФИНУ»;</w:t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/>
          <w:sz w:val="24"/>
          <w:szCs w:val="24"/>
        </w:rPr>
        <w:t xml:space="preserve">троку «</w:t>
      </w:r>
      <w:r>
        <w:rPr>
          <w:rFonts w:ascii="Times New Roman" w:hAnsi="Times New Roman" w:eastAsia="Times New Roman"/>
          <w:sz w:val="24"/>
          <w:szCs w:val="24"/>
        </w:rPr>
        <w:t xml:space="preserve">Финансовое обеспечение подпрограммы» </w:t>
      </w:r>
      <w:r>
        <w:rPr>
          <w:rFonts w:ascii="Times New Roman" w:hAnsi="Times New Roman" w:eastAsia="Times New Roman"/>
          <w:sz w:val="24"/>
          <w:szCs w:val="24"/>
        </w:rPr>
        <w:t xml:space="preserve">в </w:t>
      </w:r>
      <w:r>
        <w:rPr>
          <w:rFonts w:ascii="Times New Roman" w:hAnsi="Times New Roman" w:eastAsia="Times New Roman"/>
          <w:sz w:val="24"/>
          <w:szCs w:val="24"/>
        </w:rPr>
        <w:t xml:space="preserve">паспорте </w:t>
      </w:r>
      <w:r>
        <w:rPr>
          <w:rFonts w:ascii="Times New Roman" w:hAnsi="Times New Roman" w:eastAsia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одпрограмм</w:t>
      </w:r>
      <w:r>
        <w:rPr>
          <w:rFonts w:ascii="Times New Roman" w:hAnsi="Times New Roman"/>
          <w:sz w:val="24"/>
          <w:szCs w:val="24"/>
        </w:rPr>
        <w:t xml:space="preserve">ы 3</w:t>
      </w:r>
      <w:r>
        <w:rPr>
          <w:rFonts w:ascii="Times New Roman" w:hAnsi="Times New Roman"/>
          <w:sz w:val="24"/>
          <w:szCs w:val="24"/>
        </w:rPr>
        <w:t xml:space="preserve"> «Обеспечение бухгалтерского обслуживания» (далее – Подпрограмма 3)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</w:t>
      </w:r>
      <w:r>
        <w:rPr>
          <w:rFonts w:ascii="Times New Roman" w:hAnsi="Times New Roman" w:eastAsia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537" w:type="dxa"/>
        <w:jc w:val="center"/>
        <w:tblInd w:w="-1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6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6 311,6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6311,6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8852,9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7603,8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9854,9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строки 3.1.1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«Итого по мероприятию 1»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 «Всего по подпрограмме 3»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таблицы 1 «Перечень мероприятий подпрограммы с объёмом финансирования» к Подпрограмме 3 изложить в следующей редакции: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39"/>
        <w:gridCol w:w="1974"/>
        <w:gridCol w:w="681"/>
        <w:gridCol w:w="838"/>
        <w:gridCol w:w="1117"/>
        <w:gridCol w:w="977"/>
        <w:gridCol w:w="977"/>
        <w:gridCol w:w="1117"/>
        <w:gridCol w:w="838"/>
      </w:tblGrid>
      <w:tr>
        <w:tblPrEx/>
        <w:trPr>
          <w:trHeight w:val="156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3.1.1.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05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Бухгалтерское обслуживание финансово-хозяйственной деятельности органов местного самоуправления и муниципальных учреждений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36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2023-2025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; МКУ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5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5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174961,6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57502,9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57603,8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59854,9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5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5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6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174961,6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57502,9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57603,8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59854,9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174961,6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57502,9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57603,8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59854,9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174961,6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57502,9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57603,8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59854,9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6311,6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58852,9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57603,8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59854,9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8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6311,6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58852,9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57603,8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59854,9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</w:t>
      </w:r>
      <w:r>
        <w:rPr>
          <w:rFonts w:ascii="Times New Roman" w:hAnsi="Times New Roman" w:eastAsia="Times New Roman"/>
          <w:sz w:val="24"/>
          <w:szCs w:val="24"/>
        </w:rPr>
        <w:t xml:space="preserve">после его</w:t>
      </w:r>
      <w:r>
        <w:rPr>
          <w:rFonts w:ascii="Times New Roman" w:hAnsi="Times New Roman" w:eastAsia="Times New Roman"/>
          <w:sz w:val="24"/>
          <w:szCs w:val="24"/>
        </w:rPr>
        <w:t xml:space="preserve"> подписания</w:t>
      </w:r>
      <w:r>
        <w:rPr>
          <w:rFonts w:ascii="Times New Roman" w:hAnsi="Times New Roman" w:eastAsia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 http://pechengamr.gov-murman.ru/.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А.В. Кузнецов</w:t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/>
      <w:bookmarkStart w:id="0" w:name="_GoBack"/>
      <w:r/>
      <w:bookmarkEnd w:id="0"/>
      <w:r/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И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онова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О.В., 50270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7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3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9"/>
  </w:num>
  <w:num w:numId="8">
    <w:abstractNumId w:val="5"/>
  </w:num>
  <w:num w:numId="9">
    <w:abstractNumId w:val="11"/>
  </w:num>
  <w:num w:numId="10">
    <w:abstractNumId w:val="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81"/>
    <w:link w:val="67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81"/>
    <w:link w:val="679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81"/>
    <w:link w:val="680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77"/>
    <w:next w:val="67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8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7"/>
    <w:next w:val="67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8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7"/>
    <w:next w:val="67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8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7"/>
    <w:next w:val="67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8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7"/>
    <w:next w:val="67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8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7"/>
    <w:next w:val="67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8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77"/>
    <w:next w:val="67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81"/>
    <w:link w:val="34"/>
    <w:uiPriority w:val="10"/>
    <w:rPr>
      <w:sz w:val="48"/>
      <w:szCs w:val="48"/>
    </w:rPr>
  </w:style>
  <w:style w:type="paragraph" w:styleId="36">
    <w:name w:val="Subtitle"/>
    <w:basedOn w:val="677"/>
    <w:next w:val="67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81"/>
    <w:link w:val="36"/>
    <w:uiPriority w:val="11"/>
    <w:rPr>
      <w:sz w:val="24"/>
      <w:szCs w:val="24"/>
    </w:rPr>
  </w:style>
  <w:style w:type="paragraph" w:styleId="38">
    <w:name w:val="Quote"/>
    <w:basedOn w:val="677"/>
    <w:next w:val="67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77"/>
    <w:next w:val="67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81"/>
    <w:link w:val="710"/>
    <w:uiPriority w:val="99"/>
  </w:style>
  <w:style w:type="character" w:styleId="45">
    <w:name w:val="Footer Char"/>
    <w:basedOn w:val="681"/>
    <w:link w:val="696"/>
    <w:uiPriority w:val="99"/>
  </w:style>
  <w:style w:type="character" w:styleId="47">
    <w:name w:val="Caption Char"/>
    <w:basedOn w:val="727"/>
    <w:link w:val="696"/>
    <w:uiPriority w:val="99"/>
  </w:style>
  <w:style w:type="table" w:styleId="49">
    <w:name w:val="Table Grid Light"/>
    <w:basedOn w:val="6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8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8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8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8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8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7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81"/>
    <w:uiPriority w:val="99"/>
    <w:unhideWhenUsed/>
    <w:rPr>
      <w:vertAlign w:val="superscript"/>
    </w:rPr>
  </w:style>
  <w:style w:type="paragraph" w:styleId="178">
    <w:name w:val="endnote text"/>
    <w:basedOn w:val="67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81"/>
    <w:uiPriority w:val="99"/>
    <w:semiHidden/>
    <w:unhideWhenUsed/>
    <w:rPr>
      <w:vertAlign w:val="superscript"/>
    </w:rPr>
  </w:style>
  <w:style w:type="paragraph" w:styleId="181">
    <w:name w:val="toc 1"/>
    <w:basedOn w:val="677"/>
    <w:next w:val="67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77"/>
    <w:next w:val="67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77"/>
    <w:next w:val="67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77"/>
    <w:next w:val="67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77"/>
    <w:next w:val="67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77"/>
    <w:next w:val="67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77"/>
    <w:next w:val="67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77"/>
    <w:next w:val="67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77"/>
    <w:next w:val="67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77"/>
    <w:next w:val="677"/>
    <w:uiPriority w:val="99"/>
    <w:unhideWhenUsed/>
    <w:pPr>
      <w:spacing w:after="0" w:afterAutospacing="0"/>
    </w:pPr>
  </w:style>
  <w:style w:type="paragraph" w:styleId="677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78">
    <w:name w:val="Heading 1"/>
    <w:basedOn w:val="677"/>
    <w:link w:val="704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679">
    <w:name w:val="Heading 2"/>
    <w:basedOn w:val="677"/>
    <w:next w:val="677"/>
    <w:link w:val="705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680">
    <w:name w:val="Heading 3"/>
    <w:basedOn w:val="677"/>
    <w:next w:val="677"/>
    <w:link w:val="706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character" w:styleId="681" w:default="1">
    <w:name w:val="Default Paragraph Font"/>
    <w:uiPriority w:val="1"/>
    <w:semiHidden/>
    <w:unhideWhenUsed/>
  </w:style>
  <w:style w:type="table" w:styleId="68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3" w:default="1">
    <w:name w:val="No List"/>
    <w:uiPriority w:val="99"/>
    <w:semiHidden/>
    <w:unhideWhenUsed/>
  </w:style>
  <w:style w:type="paragraph" w:styleId="684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685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686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687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688" w:customStyle="1">
    <w:name w:val="МОН Знак"/>
    <w:link w:val="689"/>
    <w:rPr>
      <w:sz w:val="24"/>
      <w:szCs w:val="24"/>
    </w:rPr>
  </w:style>
  <w:style w:type="paragraph" w:styleId="689" w:customStyle="1">
    <w:name w:val="МОН"/>
    <w:basedOn w:val="677"/>
    <w:link w:val="688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690">
    <w:name w:val="Strong"/>
    <w:qFormat/>
    <w:rPr>
      <w:b/>
      <w:bCs/>
    </w:rPr>
  </w:style>
  <w:style w:type="paragraph" w:styleId="691">
    <w:name w:val="List Paragraph"/>
    <w:basedOn w:val="677"/>
    <w:qFormat/>
    <w:pPr>
      <w:contextualSpacing/>
      <w:ind w:left="720"/>
    </w:pPr>
  </w:style>
  <w:style w:type="character" w:styleId="692" w:customStyle="1">
    <w:name w:val="Основной текст_"/>
    <w:link w:val="693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693" w:customStyle="1">
    <w:name w:val="Основной текст2"/>
    <w:basedOn w:val="677"/>
    <w:link w:val="692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694">
    <w:name w:val="Body Text 2"/>
    <w:basedOn w:val="677"/>
    <w:link w:val="695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695" w:customStyle="1">
    <w:name w:val="Основной текст 2 Знак"/>
    <w:link w:val="694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696">
    <w:name w:val="Footer"/>
    <w:basedOn w:val="677"/>
    <w:link w:val="697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697" w:customStyle="1">
    <w:name w:val="Нижний колонтитул Знак"/>
    <w:link w:val="696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698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699" w:customStyle="1">
    <w:name w:val="32"/>
    <w:basedOn w:val="67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700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701">
    <w:name w:val="Normal (Web)"/>
    <w:basedOn w:val="67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702">
    <w:name w:val="Body Text Indent"/>
    <w:basedOn w:val="677"/>
    <w:link w:val="703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703" w:customStyle="1">
    <w:name w:val="Основной текст с отступом Знак"/>
    <w:link w:val="702"/>
    <w:rPr>
      <w:rFonts w:ascii="Times New Roman" w:hAnsi="Times New Roman" w:eastAsia="Times New Roman" w:cs="Times New Roman"/>
      <w:sz w:val="24"/>
      <w:szCs w:val="24"/>
    </w:rPr>
  </w:style>
  <w:style w:type="character" w:styleId="704" w:customStyle="1">
    <w:name w:val="Заголовок 1 Знак"/>
    <w:link w:val="67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705" w:customStyle="1">
    <w:name w:val="Заголовок 2 Знак"/>
    <w:link w:val="679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706" w:customStyle="1">
    <w:name w:val="Заголовок 3 Знак"/>
    <w:link w:val="680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707">
    <w:name w:val="Table Grid"/>
    <w:basedOn w:val="682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08">
    <w:name w:val="Balloon Text"/>
    <w:basedOn w:val="677"/>
    <w:link w:val="70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709" w:customStyle="1">
    <w:name w:val="Текст выноски Знак"/>
    <w:link w:val="708"/>
    <w:rPr>
      <w:rFonts w:ascii="Tahoma" w:hAnsi="Tahoma" w:eastAsia="Times New Roman" w:cs="Tahoma"/>
      <w:sz w:val="16"/>
      <w:szCs w:val="16"/>
      <w:lang w:eastAsia="ru-RU"/>
    </w:rPr>
  </w:style>
  <w:style w:type="paragraph" w:styleId="710">
    <w:name w:val="Header"/>
    <w:basedOn w:val="677"/>
    <w:link w:val="711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711" w:customStyle="1">
    <w:name w:val="Верхний колонтитул Знак"/>
    <w:link w:val="710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12">
    <w:name w:val="Emphasis"/>
    <w:qFormat/>
    <w:rPr>
      <w:i/>
      <w:iCs/>
    </w:rPr>
  </w:style>
  <w:style w:type="paragraph" w:styleId="713" w:customStyle="1">
    <w:name w:val="Содержимое таблицы"/>
    <w:basedOn w:val="677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714" w:customStyle="1">
    <w:name w:val="consplusnormal"/>
    <w:basedOn w:val="67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715" w:customStyle="1">
    <w:name w:val="a2"/>
    <w:basedOn w:val="67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716" w:customStyle="1">
    <w:name w:val="15"/>
    <w:basedOn w:val="67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717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18" w:customStyle="1">
    <w:name w:val="h1"/>
    <w:basedOn w:val="67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719" w:customStyle="1">
    <w:name w:val="msonospacing"/>
    <w:basedOn w:val="67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720" w:customStyle="1">
    <w:name w:val="ac"/>
    <w:basedOn w:val="67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721">
    <w:name w:val="Body Text 3"/>
    <w:basedOn w:val="677"/>
    <w:link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722" w:customStyle="1">
    <w:name w:val="Основной текст 3 Знак"/>
    <w:link w:val="721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23">
    <w:name w:val="HTML Bottom of Form"/>
    <w:basedOn w:val="677"/>
    <w:next w:val="677"/>
    <w:link w:val="724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724" w:customStyle="1">
    <w:name w:val="z-Конец формы Знак"/>
    <w:link w:val="723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725" w:customStyle="1">
    <w:name w:val="Style16"/>
    <w:basedOn w:val="677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726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727">
    <w:name w:val="Caption"/>
    <w:basedOn w:val="677"/>
    <w:next w:val="677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728">
    <w:name w:val="Body Text"/>
    <w:basedOn w:val="677"/>
    <w:link w:val="729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729" w:customStyle="1">
    <w:name w:val="Основной текст Знак"/>
    <w:link w:val="728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30">
    <w:name w:val="Body Text Indent 2"/>
    <w:basedOn w:val="677"/>
    <w:link w:val="731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731" w:customStyle="1">
    <w:name w:val="Основной текст с отступом 2 Знак"/>
    <w:link w:val="73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32" w:customStyle="1">
    <w:name w:val="Заголовок №2_"/>
    <w:link w:val="733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733" w:customStyle="1">
    <w:name w:val="Заголовок №2"/>
    <w:basedOn w:val="677"/>
    <w:link w:val="732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734">
    <w:name w:val="No Spacing"/>
    <w:qFormat/>
    <w:rPr>
      <w:sz w:val="22"/>
      <w:szCs w:val="22"/>
      <w:lang w:eastAsia="en-US"/>
    </w:rPr>
  </w:style>
  <w:style w:type="paragraph" w:styleId="735" w:customStyle="1">
    <w:name w:val="Default"/>
    <w:rPr>
      <w:rFonts w:ascii="Arial" w:hAnsi="Arial" w:cs="Arial"/>
      <w:color w:val="000000"/>
      <w:sz w:val="24"/>
      <w:szCs w:val="24"/>
    </w:rPr>
  </w:style>
  <w:style w:type="paragraph" w:styleId="736" w:customStyle="1">
    <w:name w:val="msonormalcxspmiddle"/>
    <w:basedOn w:val="67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737" w:customStyle="1">
    <w:name w:val="Нет списка1"/>
    <w:next w:val="683"/>
    <w:semiHidden/>
    <w:unhideWhenUsed/>
  </w:style>
  <w:style w:type="table" w:styleId="738" w:customStyle="1">
    <w:name w:val="Сетка таблицы1"/>
    <w:basedOn w:val="682"/>
    <w:next w:val="707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39" w:customStyle="1">
    <w:name w:val="Абзац списка1"/>
    <w:basedOn w:val="677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740" w:customStyle="1">
    <w:name w:val="Знак Знак2"/>
    <w:basedOn w:val="67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741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742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743" w:customStyle="1">
    <w:name w:val="Обычный (веб)18"/>
    <w:basedOn w:val="677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744" w:customStyle="1">
    <w:name w:val="Знак Знак2"/>
    <w:basedOn w:val="67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745" w:customStyle="1">
    <w:name w:val="Знак Знак2"/>
    <w:basedOn w:val="67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746" w:customStyle="1">
    <w:name w:val="Знак Знак2 Знак Знак Знак Знак Знак Знак"/>
    <w:basedOn w:val="67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747" w:customStyle="1">
    <w:name w:val="Знак Знак2"/>
    <w:basedOn w:val="67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748" w:customStyle="1">
    <w:name w:val="Знак Знак2"/>
    <w:basedOn w:val="67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749" w:customStyle="1">
    <w:name w:val="Знак Знак2"/>
    <w:basedOn w:val="67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750">
    <w:name w:val="Body Text Indent 3"/>
    <w:basedOn w:val="677"/>
    <w:link w:val="751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751" w:customStyle="1">
    <w:name w:val="Основной текст с отступом 3 Знак"/>
    <w:link w:val="750"/>
    <w:uiPriority w:val="99"/>
    <w:semiHidden/>
    <w:rPr>
      <w:sz w:val="16"/>
      <w:szCs w:val="16"/>
    </w:rPr>
  </w:style>
  <w:style w:type="paragraph" w:styleId="752" w:customStyle="1">
    <w:name w:val="1"/>
    <w:basedOn w:val="67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753">
    <w:name w:val="Hyperlink"/>
    <w:rPr>
      <w:strike w:val="0"/>
      <w:color w:val="808080"/>
      <w:u w:val="none"/>
    </w:rPr>
  </w:style>
  <w:style w:type="character" w:styleId="754" w:customStyle="1">
    <w:name w:val="blk"/>
  </w:style>
  <w:style w:type="character" w:styleId="755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756" w:customStyle="1">
    <w:name w:val="Знак Знак2 Знак Знак Знак Знак Знак Знак Знак Знак Знак Знак Знак Знак Знак Знак Знак Знак"/>
    <w:basedOn w:val="67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228A9-2094-4A06-BDEE-237DACDD9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3</cp:revision>
  <dcterms:created xsi:type="dcterms:W3CDTF">2023-12-07T09:15:00Z</dcterms:created>
  <dcterms:modified xsi:type="dcterms:W3CDTF">2024-02-15T13:43:52Z</dcterms:modified>
</cp:coreProperties>
</file>