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28.11.2023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1760</w:t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муниципальную программу</w:t>
      </w:r>
      <w:r>
        <w:rPr>
          <w:b/>
        </w:rPr>
        <w:t xml:space="preserve"> Печенгского муниципального округа</w:t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«</w:t>
      </w:r>
      <w:r>
        <w:rPr>
          <w:b/>
        </w:rPr>
        <w:t xml:space="preserve">М</w:t>
      </w:r>
      <w:r>
        <w:rPr>
          <w:b/>
        </w:rPr>
        <w:t xml:space="preserve">униципальн</w:t>
      </w:r>
      <w:r>
        <w:rPr>
          <w:b/>
        </w:rPr>
        <w:t xml:space="preserve">ое</w:t>
      </w:r>
      <w:r>
        <w:rPr>
          <w:b/>
        </w:rPr>
        <w:t xml:space="preserve"> имущество</w:t>
      </w:r>
      <w:r>
        <w:rPr>
          <w:b/>
        </w:rPr>
        <w:t xml:space="preserve"> и земельные</w:t>
      </w:r>
      <w:r>
        <w:rPr>
          <w:b/>
        </w:rPr>
        <w:t xml:space="preserve"> ресурс</w:t>
      </w:r>
      <w:r>
        <w:rPr>
          <w:b/>
        </w:rPr>
        <w:t xml:space="preserve">ы</w:t>
      </w:r>
      <w:r>
        <w:rPr>
          <w:b/>
        </w:rPr>
        <w:t xml:space="preserve">» на 202</w:t>
      </w:r>
      <w:r>
        <w:rPr>
          <w:b/>
        </w:rPr>
        <w:t xml:space="preserve">3</w:t>
      </w:r>
      <w:r>
        <w:rPr>
          <w:b/>
        </w:rPr>
        <w:t xml:space="preserve">-202</w:t>
      </w:r>
      <w:r>
        <w:rPr>
          <w:b/>
        </w:rPr>
        <w:t xml:space="preserve">5</w:t>
      </w:r>
      <w:r>
        <w:rPr>
          <w:b/>
        </w:rPr>
        <w:t xml:space="preserve"> годы, </w:t>
      </w:r>
      <w:r>
        <w:rPr>
          <w:b/>
        </w:rPr>
        <w:t xml:space="preserve">утвержденную</w:t>
      </w:r>
      <w:r>
        <w:rPr>
          <w:b/>
        </w:rPr>
        <w:t xml:space="preserve"> </w:t>
      </w:r>
      <w:r>
        <w:rPr>
          <w:b/>
        </w:rPr>
        <w:t xml:space="preserve">постановлени</w:t>
      </w:r>
      <w:r>
        <w:rPr>
          <w:b/>
        </w:rPr>
        <w:t xml:space="preserve">ем</w:t>
      </w:r>
      <w:r>
        <w:rPr>
          <w:b/>
        </w:rPr>
        <w:t xml:space="preserve"> </w:t>
      </w:r>
      <w:r>
        <w:rPr>
          <w:b/>
        </w:rPr>
        <w:t xml:space="preserve">администрации</w:t>
      </w:r>
      <w:r>
        <w:rPr>
          <w:b/>
        </w:rPr>
        <w:t xml:space="preserve"> </w:t>
      </w:r>
      <w:r>
        <w:rPr>
          <w:b/>
        </w:rPr>
        <w:t xml:space="preserve">Печенгск</w:t>
      </w:r>
      <w:r>
        <w:rPr>
          <w:b/>
        </w:rPr>
        <w:t xml:space="preserve">ого муниципального округа</w:t>
      </w:r>
      <w:r>
        <w:rPr>
          <w:b/>
        </w:rPr>
        <w:t xml:space="preserve"> от </w:t>
      </w:r>
      <w:r>
        <w:rPr>
          <w:b/>
        </w:rPr>
        <w:t xml:space="preserve">03</w:t>
      </w:r>
      <w:r>
        <w:rPr>
          <w:b/>
        </w:rPr>
        <w:t xml:space="preserve">.11.202</w:t>
      </w:r>
      <w:r>
        <w:rPr>
          <w:b/>
        </w:rPr>
        <w:t xml:space="preserve">2</w:t>
      </w:r>
      <w:r>
        <w:rPr>
          <w:b/>
        </w:rPr>
        <w:t xml:space="preserve"> № </w:t>
      </w:r>
      <w:r>
        <w:rPr>
          <w:b/>
        </w:rPr>
        <w:t xml:space="preserve">1502</w:t>
      </w:r>
      <w:r>
        <w:rPr>
          <w:b/>
        </w:rPr>
        <w:t xml:space="preserve"> </w:t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szCs w:val="24"/>
        </w:rPr>
      </w:pPr>
      <w:r>
        <w:rPr>
          <w:szCs w:val="24"/>
        </w:rPr>
      </w:r>
      <w:r>
        <w:rPr>
          <w:szCs w:val="24"/>
        </w:rPr>
      </w:r>
    </w:p>
    <w:p>
      <w:pPr>
        <w:ind w:firstLine="709"/>
        <w:jc w:val="both"/>
        <w:rPr>
          <w:rFonts w:eastAsia="Times New Roman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</w:t>
      </w:r>
      <w:r>
        <w:rPr>
          <w:rFonts w:eastAsia="Times New Roman"/>
          <w:color w:val="000000"/>
          <w:sz w:val="24"/>
          <w:szCs w:val="24"/>
        </w:rPr>
        <w:t xml:space="preserve">ого</w:t>
      </w:r>
      <w:r>
        <w:rPr>
          <w:rFonts w:eastAsia="Times New Roman"/>
          <w:color w:val="000000"/>
          <w:sz w:val="24"/>
          <w:szCs w:val="24"/>
        </w:rPr>
        <w:t xml:space="preserve"> постановлением администрации Печенгского муниципального округа от 16.08.2021 № 838, в целях повышени</w:t>
      </w:r>
      <w:r>
        <w:rPr>
          <w:rFonts w:eastAsia="Times New Roman"/>
          <w:color w:val="000000"/>
          <w:sz w:val="24"/>
          <w:szCs w:val="24"/>
        </w:rPr>
        <w:t xml:space="preserve">я</w:t>
      </w:r>
      <w:r>
        <w:rPr>
          <w:rFonts w:eastAsia="Times New Roman"/>
          <w:color w:val="000000"/>
          <w:sz w:val="24"/>
          <w:szCs w:val="24"/>
        </w:rPr>
        <w:t xml:space="preserve"> эффективности использования бюджетных средств </w:t>
      </w:r>
      <w:r>
        <w:rPr>
          <w:rFonts w:eastAsia="Times New Roman"/>
          <w:color w:val="000000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1"/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программу Печенгского муниципального округа «Муниципальное имущество и земельные ресурсы» на 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03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№ 1</w:t>
      </w:r>
      <w:r>
        <w:rPr>
          <w:sz w:val="24"/>
          <w:szCs w:val="24"/>
        </w:rPr>
        <w:t xml:space="preserve">502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 </w:t>
      </w:r>
      <w:r>
        <w:rPr>
          <w:sz w:val="24"/>
          <w:szCs w:val="24"/>
        </w:rPr>
        <w:t xml:space="preserve">13.10</w:t>
      </w:r>
      <w:r>
        <w:rPr>
          <w:sz w:val="24"/>
          <w:szCs w:val="24"/>
        </w:rPr>
        <w:t xml:space="preserve">.2023 № </w:t>
      </w:r>
      <w:r>
        <w:rPr>
          <w:sz w:val="24"/>
          <w:szCs w:val="24"/>
        </w:rPr>
        <w:t xml:space="preserve">1521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строку «Финансовое обеспечение программы» в паспорте Программы изложить в следующей редакции: </w:t>
      </w:r>
      <w:r>
        <w:rPr>
          <w:sz w:val="24"/>
          <w:szCs w:val="24"/>
        </w:rPr>
      </w:r>
    </w:p>
    <w:tbl>
      <w:tblPr>
        <w:tblW w:w="9469" w:type="dxa"/>
        <w:jc w:val="center"/>
        <w:tblInd w:w="-94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74"/>
        <w:gridCol w:w="7395"/>
      </w:tblGrid>
      <w:tr>
        <w:tblPrEx/>
        <w:trPr>
          <w:jc w:val="center"/>
          <w:trHeight w:val="5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74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95" w:type="dxa"/>
            <w:textDirection w:val="lrTb"/>
            <w:noWrap w:val="false"/>
          </w:tcPr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5 540,3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16029,9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5343,3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5343,3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5343,3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29510,4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2995,1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74971,8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61543,5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0,0 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1"/>
              <w:ind w:left="0"/>
              <w:widowControl w:val="off"/>
              <w:rPr>
                <w:i/>
                <w:color w:val="0000cc"/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202</w:t>
            </w:r>
            <w:r>
              <w:rPr>
                <w:sz w:val="24"/>
                <w:szCs w:val="24"/>
              </w:rPr>
              <w:t xml:space="preserve">5 </w:t>
            </w:r>
            <w:r>
              <w:rPr>
                <w:sz w:val="24"/>
                <w:szCs w:val="24"/>
              </w:rPr>
              <w:t xml:space="preserve">год: 0,0  тыс. рублей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i/>
                <w:color w:val="0000cc"/>
                <w:sz w:val="18"/>
                <w:szCs w:val="18"/>
              </w:rPr>
            </w:r>
          </w:p>
        </w:tc>
      </w:tr>
    </w:tbl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2.2.2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таблице</w:t>
      </w:r>
      <w:r>
        <w:rPr>
          <w:sz w:val="24"/>
          <w:szCs w:val="24"/>
        </w:rPr>
        <w:t xml:space="preserve"> «Основные показатели эффективности реализации программы» раздела 2 «Основные цели и задачи программы с указанием сроков </w:t>
      </w:r>
      <w:r>
        <w:rPr>
          <w:sz w:val="24"/>
          <w:szCs w:val="24"/>
        </w:rPr>
        <w:t xml:space="preserve">и этапов </w:t>
      </w:r>
      <w:r>
        <w:rPr>
          <w:sz w:val="24"/>
          <w:szCs w:val="24"/>
        </w:rPr>
        <w:t xml:space="preserve">ее реализации, а также перечень основных мероприятий и показателей</w:t>
      </w:r>
      <w:r>
        <w:rPr>
          <w:sz w:val="24"/>
          <w:szCs w:val="24"/>
        </w:rPr>
        <w:t xml:space="preserve">» Программы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tbl>
      <w:tblPr>
        <w:tblpPr w:horzAnchor="margin" w:tblpX="85" w:vertAnchor="text" w:tblpY="1" w:leftFromText="181" w:topFromText="0" w:rightFromText="181" w:bottomFromText="0"/>
        <w:tblW w:w="4906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415"/>
        <w:gridCol w:w="671"/>
        <w:gridCol w:w="753"/>
        <w:gridCol w:w="834"/>
        <w:gridCol w:w="879"/>
        <w:gridCol w:w="794"/>
        <w:gridCol w:w="840"/>
        <w:gridCol w:w="1388"/>
      </w:tblGrid>
      <w:tr>
        <w:tblPrEx/>
        <w:trPr>
          <w:trHeight w:val="112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</w:rPr>
            </w:pPr>
            <w:r>
              <w:rPr>
                <w:color w:val="000000"/>
              </w:rPr>
              <w:t xml:space="preserve">«</w:t>
            </w:r>
            <w:r>
              <w:rPr>
                <w:color w:val="000000"/>
              </w:rPr>
              <w:t xml:space="preserve">2.2.2.</w:t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86" w:type="pct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земельных участков, в отношении которых проведена оценка рыночной стоимости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01" w:type="pc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4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68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23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39" w:type="pct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Отчет </w:t>
            </w:r>
            <w:r>
              <w:t xml:space="preserve">КУИ</w:t>
            </w:r>
            <w:r>
              <w:t xml:space="preserve">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</w:t>
      </w:r>
      <w:r>
        <w:rPr>
          <w:rFonts w:eastAsia="Times New Roman"/>
          <w:sz w:val="24"/>
          <w:szCs w:val="24"/>
        </w:rPr>
        <w:t xml:space="preserve">п</w:t>
      </w:r>
      <w:r>
        <w:rPr>
          <w:rFonts w:eastAsia="Times New Roman"/>
          <w:sz w:val="24"/>
          <w:szCs w:val="24"/>
        </w:rPr>
        <w:t xml:space="preserve">одпрограммы 1</w:t>
      </w:r>
      <w:r>
        <w:rPr>
          <w:rFonts w:eastAsia="Times New Roman"/>
          <w:sz w:val="24"/>
          <w:szCs w:val="24"/>
        </w:rPr>
        <w:t xml:space="preserve"> «Управление муниципальным имуществом» (далее – Подпрограмма 1)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552"/>
        <w:gridCol w:w="6804"/>
      </w:tblGrid>
      <w:tr>
        <w:tblPrEx/>
        <w:trPr>
          <w:trHeight w:val="556"/>
        </w:trPr>
        <w:tc>
          <w:tcPr>
            <w:tcW w:w="25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299,5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16029,9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5343,3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5343,3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5343,3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269,6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617,1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59540,4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61112,1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rFonts w:eastAsia="Times New Roman"/>
          <w:sz w:val="24"/>
          <w:szCs w:val="24"/>
        </w:rPr>
        <w:t xml:space="preserve">строк</w:t>
      </w:r>
      <w:r>
        <w:rPr>
          <w:rFonts w:eastAsia="Times New Roman"/>
          <w:sz w:val="24"/>
          <w:szCs w:val="24"/>
        </w:rPr>
        <w:t xml:space="preserve">и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1.1.2, </w:t>
      </w:r>
      <w:r>
        <w:rPr>
          <w:rFonts w:eastAsia="Times New Roman"/>
          <w:sz w:val="24"/>
          <w:szCs w:val="24"/>
        </w:rPr>
        <w:t xml:space="preserve">1.1.</w:t>
      </w:r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 xml:space="preserve">1.1.</w:t>
      </w:r>
      <w:r>
        <w:rPr>
          <w:rFonts w:eastAsia="Times New Roman"/>
          <w:sz w:val="24"/>
          <w:szCs w:val="24"/>
        </w:rPr>
        <w:t xml:space="preserve">9, </w:t>
      </w:r>
      <w:r>
        <w:rPr>
          <w:rFonts w:eastAsia="Times New Roman"/>
          <w:sz w:val="24"/>
          <w:szCs w:val="24"/>
        </w:rPr>
        <w:t xml:space="preserve">«</w:t>
      </w:r>
      <w:r>
        <w:rPr>
          <w:rFonts w:eastAsia="Times New Roman"/>
          <w:color w:val="000000"/>
          <w:spacing w:val="1"/>
          <w:sz w:val="24"/>
          <w:szCs w:val="24"/>
        </w:rPr>
        <w:t xml:space="preserve">Итого по мероприятию 1» и</w:t>
      </w:r>
      <w:r>
        <w:rPr>
          <w:rFonts w:eastAsia="Times New Roman"/>
          <w:color w:val="000000"/>
          <w:spacing w:val="1"/>
          <w:sz w:val="24"/>
          <w:szCs w:val="24"/>
        </w:rPr>
        <w:t xml:space="preserve"> «Всего по подпрограмме 1</w:t>
      </w:r>
      <w:r>
        <w:rPr>
          <w:rFonts w:eastAsia="Times New Roman"/>
          <w:sz w:val="24"/>
          <w:szCs w:val="24"/>
        </w:rPr>
        <w:t xml:space="preserve">»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т</w:t>
      </w:r>
      <w:r>
        <w:rPr>
          <w:rFonts w:eastAsia="Times New Roman"/>
          <w:sz w:val="24"/>
          <w:szCs w:val="24"/>
        </w:rPr>
        <w:t xml:space="preserve">аблицы 1 </w:t>
      </w:r>
      <w:r>
        <w:rPr>
          <w:rFonts w:eastAsia="Times New Roman"/>
          <w:sz w:val="24"/>
          <w:szCs w:val="24"/>
        </w:rPr>
        <w:t xml:space="preserve">«</w:t>
      </w:r>
      <w:r>
        <w:rPr>
          <w:rFonts w:eastAsia="Times New Roman"/>
          <w:sz w:val="24"/>
          <w:szCs w:val="24"/>
        </w:rPr>
        <w:t xml:space="preserve">Перечень мероприятий подпрограммы с объемом финансирования</w:t>
      </w:r>
      <w:r>
        <w:rPr>
          <w:rFonts w:eastAsia="Times New Roman"/>
          <w:sz w:val="24"/>
          <w:szCs w:val="24"/>
        </w:rPr>
        <w:t xml:space="preserve">» к П</w:t>
      </w:r>
      <w:r>
        <w:rPr>
          <w:rFonts w:eastAsia="Times New Roman"/>
          <w:sz w:val="24"/>
          <w:szCs w:val="24"/>
        </w:rPr>
        <w:t xml:space="preserve">одпрограмме </w:t>
      </w:r>
      <w:r>
        <w:rPr>
          <w:rFonts w:eastAsia="Times New Roman"/>
          <w:sz w:val="24"/>
          <w:szCs w:val="24"/>
        </w:rPr>
        <w:t xml:space="preserve">1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9"/>
        <w:gridCol w:w="1984"/>
        <w:gridCol w:w="713"/>
        <w:gridCol w:w="850"/>
        <w:gridCol w:w="994"/>
        <w:gridCol w:w="992"/>
        <w:gridCol w:w="992"/>
        <w:gridCol w:w="1132"/>
        <w:gridCol w:w="851"/>
      </w:tblGrid>
      <w:tr>
        <w:tblPrEx/>
        <w:trPr>
          <w:trHeight w:val="185"/>
        </w:trPr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1.</w:t>
            </w:r>
            <w:r>
              <w:t xml:space="preserve">1.</w:t>
            </w:r>
            <w:r>
              <w:t xml:space="preserve">2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060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Оплата коммунальных услуг, в том числе: содержания и текущего ремонта имущества, составляющего муниципальную казну</w:t>
            </w:r>
            <w:r>
              <w:t xml:space="preserve"> </w:t>
            </w:r>
            <w:r>
              <w:t xml:space="preserve">(требование п. 2 ст. 539 ГК РФ, ст. 158 ЖК РФ)</w:t>
            </w:r>
            <w:r/>
          </w:p>
        </w:tc>
        <w:tc>
          <w:tcPr>
            <w:shd w:val="clear" w:color="auto" w:fill="auto"/>
            <w:tcW w:w="38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spacing w:val="1"/>
              </w:rPr>
              <w:t xml:space="preserve">2023-2025</w:t>
            </w:r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КУИ</w:t>
            </w:r>
            <w:r>
              <w:rPr>
                <w:sz w:val="18"/>
                <w:szCs w:val="18"/>
              </w:rPr>
              <w:t xml:space="preserve">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Администрация</w:t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2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140025,1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48829,2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44812,1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46383,8</w:t>
            </w:r>
            <w:r/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140025,1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48829,2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44812,1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46383,8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5"/>
        </w:trPr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>
              <w:t xml:space="preserve">1.</w:t>
            </w:r>
            <w:r>
              <w:t xml:space="preserve">3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060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Оплата ежемесячных взносов по капитальному ремонту муниципального жилого и нежилого фонда в части муниципальной </w:t>
            </w:r>
            <w:r>
              <w:t xml:space="preserve">собственности</w:t>
            </w:r>
            <w:r/>
          </w:p>
        </w:tc>
        <w:tc>
          <w:tcPr>
            <w:shd w:val="clear" w:color="auto" w:fill="auto"/>
            <w:tcW w:w="38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spacing w:val="1"/>
              </w:rPr>
              <w:t xml:space="preserve">2023-2025</w:t>
            </w:r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КУИ</w:t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16029,9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5343,3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5343,3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5343,3</w:t>
            </w:r>
            <w:r/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33196,6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16336,2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8430,2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8430,2</w:t>
            </w:r>
            <w:r/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49226,5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21679,5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13773,5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13773,5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1.1.9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060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Содержание животных, находящихся в муниципальной собственности</w:t>
            </w:r>
            <w:r/>
          </w:p>
        </w:tc>
        <w:tc>
          <w:tcPr>
            <w:shd w:val="clear" w:color="auto" w:fill="auto"/>
            <w:tcW w:w="38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КУИ</w:t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164</w:t>
            </w:r>
            <w:r>
              <w:t xml:space="preserve">29,0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59</w:t>
            </w:r>
            <w:r>
              <w:t xml:space="preserve">67,4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>
              <w:t xml:space="preserve">2</w:t>
            </w:r>
            <w:r>
              <w:t xml:space="preserve">3</w:t>
            </w:r>
            <w:r>
              <w:t xml:space="preserve">0</w:t>
            </w:r>
            <w:r>
              <w:t xml:space="preserve">,</w:t>
            </w:r>
            <w:r>
              <w:t xml:space="preserve">8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>
              <w:t xml:space="preserve">2</w:t>
            </w:r>
            <w:r>
              <w:t xml:space="preserve">3</w:t>
            </w:r>
            <w:r>
              <w:t xml:space="preserve">0,</w:t>
            </w:r>
            <w:r>
              <w:t xml:space="preserve">8</w:t>
            </w:r>
            <w:r/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164</w:t>
            </w:r>
            <w:r>
              <w:rPr>
                <w:b/>
              </w:rPr>
              <w:t xml:space="preserve">29,0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59</w:t>
            </w:r>
            <w:r>
              <w:rPr>
                <w:b/>
              </w:rPr>
              <w:t xml:space="preserve">67,4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</w:t>
            </w:r>
            <w:r>
              <w:rPr>
                <w:b/>
              </w:rPr>
              <w:t xml:space="preserve">2</w:t>
            </w:r>
            <w:r>
              <w:rPr>
                <w:b/>
              </w:rPr>
              <w:t xml:space="preserve">3</w:t>
            </w:r>
            <w:r>
              <w:rPr>
                <w:b/>
              </w:rPr>
              <w:t xml:space="preserve">0,</w:t>
            </w:r>
            <w:r>
              <w:rPr>
                <w:b/>
              </w:rPr>
              <w:t xml:space="preserve">8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</w:t>
            </w:r>
            <w:r>
              <w:rPr>
                <w:b/>
              </w:rPr>
              <w:t xml:space="preserve">2</w:t>
            </w:r>
            <w:r>
              <w:rPr>
                <w:b/>
              </w:rPr>
              <w:t xml:space="preserve">3</w:t>
            </w:r>
            <w:r>
              <w:rPr>
                <w:b/>
              </w:rPr>
              <w:t xml:space="preserve">0,</w:t>
            </w:r>
            <w:r>
              <w:rPr>
                <w:b/>
              </w:rPr>
              <w:t xml:space="preserve">8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b/>
                <w:spacing w:val="1"/>
              </w:rPr>
              <w:t xml:space="preserve">Итого по мероприятию 1</w:t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16029,9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5343,3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5343,3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5343,3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8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199</w:t>
            </w:r>
            <w:r>
              <w:rPr>
                <w:b/>
                <w:bCs/>
              </w:rPr>
              <w:t xml:space="preserve">269,6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78</w:t>
            </w:r>
            <w:r>
              <w:rPr>
                <w:b/>
              </w:rPr>
              <w:t xml:space="preserve">617,1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59540,4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61112,1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215</w:t>
            </w:r>
            <w:r>
              <w:rPr>
                <w:b/>
                <w:bCs/>
              </w:rPr>
              <w:t xml:space="preserve">299,5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83</w:t>
            </w:r>
            <w:r>
              <w:rPr>
                <w:b/>
              </w:rPr>
              <w:t xml:space="preserve">960,4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64883,7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66455,4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16029,9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5343,3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5343,3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5343,3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199</w:t>
            </w:r>
            <w:r>
              <w:rPr>
                <w:b/>
                <w:bCs/>
              </w:rPr>
              <w:t xml:space="preserve">269,6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78</w:t>
            </w:r>
            <w:r>
              <w:rPr>
                <w:b/>
              </w:rPr>
              <w:t xml:space="preserve">617,1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59</w:t>
            </w:r>
            <w:r>
              <w:rPr>
                <w:b/>
              </w:rPr>
              <w:t xml:space="preserve">540,4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61112,1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215</w:t>
            </w:r>
            <w:r>
              <w:rPr>
                <w:b/>
                <w:bCs/>
              </w:rPr>
              <w:t xml:space="preserve">299,5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83</w:t>
            </w:r>
            <w:r>
              <w:rPr>
                <w:b/>
              </w:rPr>
              <w:t xml:space="preserve">960,4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64883,7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66455,4»;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</w:t>
      </w:r>
      <w:r>
        <w:rPr>
          <w:rFonts w:eastAsia="Times New Roman"/>
          <w:sz w:val="24"/>
          <w:szCs w:val="24"/>
        </w:rPr>
        <w:t xml:space="preserve">подпрограммы 2 «</w:t>
      </w:r>
      <w:r>
        <w:rPr>
          <w:bCs/>
          <w:sz w:val="24"/>
          <w:szCs w:val="24"/>
        </w:rPr>
        <w:t xml:space="preserve">Управление земельными ресурсами</w:t>
      </w:r>
      <w:r>
        <w:rPr>
          <w:rFonts w:eastAsia="Times New Roman"/>
          <w:sz w:val="24"/>
          <w:szCs w:val="24"/>
        </w:rPr>
        <w:t xml:space="preserve">» (далее – Подпрограмма 2)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552"/>
        <w:gridCol w:w="6804"/>
      </w:tblGrid>
      <w:tr>
        <w:tblPrEx/>
        <w:trPr>
          <w:trHeight w:val="556"/>
        </w:trPr>
        <w:tc>
          <w:tcPr>
            <w:tcW w:w="25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1 558,2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1558,2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695,4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431,4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431,4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6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rFonts w:eastAsia="Times New Roman"/>
          <w:sz w:val="24"/>
          <w:szCs w:val="24"/>
        </w:rPr>
        <w:t xml:space="preserve">строк</w:t>
      </w:r>
      <w:r>
        <w:rPr>
          <w:rFonts w:eastAsia="Times New Roman"/>
          <w:sz w:val="24"/>
          <w:szCs w:val="24"/>
        </w:rPr>
        <w:t xml:space="preserve">и 2.1.2, </w:t>
      </w:r>
      <w:r>
        <w:rPr>
          <w:rFonts w:eastAsia="Times New Roman"/>
          <w:sz w:val="24"/>
          <w:szCs w:val="24"/>
        </w:rPr>
        <w:t xml:space="preserve">«</w:t>
      </w:r>
      <w:r>
        <w:rPr>
          <w:rFonts w:eastAsia="Times New Roman"/>
          <w:color w:val="000000"/>
          <w:spacing w:val="1"/>
          <w:sz w:val="24"/>
          <w:szCs w:val="24"/>
        </w:rPr>
        <w:t xml:space="preserve">Итого по мероприятию 1» и</w:t>
      </w:r>
      <w:r>
        <w:rPr>
          <w:rFonts w:eastAsia="Times New Roman"/>
          <w:color w:val="000000"/>
          <w:spacing w:val="1"/>
          <w:sz w:val="24"/>
          <w:szCs w:val="24"/>
        </w:rPr>
        <w:t xml:space="preserve"> «Всего по подпрограмме </w:t>
      </w:r>
      <w:r>
        <w:rPr>
          <w:rFonts w:eastAsia="Times New Roman"/>
          <w:color w:val="000000"/>
          <w:spacing w:val="1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»</w:t>
      </w:r>
      <w:r>
        <w:rPr>
          <w:rFonts w:eastAsia="Times New Roman"/>
          <w:sz w:val="24"/>
          <w:szCs w:val="24"/>
        </w:rPr>
        <w:t xml:space="preserve"> т</w:t>
      </w:r>
      <w:r>
        <w:rPr>
          <w:rFonts w:eastAsia="Times New Roman"/>
          <w:sz w:val="24"/>
          <w:szCs w:val="24"/>
        </w:rPr>
        <w:t xml:space="preserve">аблицы 1 </w:t>
      </w:r>
      <w:r>
        <w:rPr>
          <w:rFonts w:eastAsia="Times New Roman"/>
          <w:sz w:val="24"/>
          <w:szCs w:val="24"/>
        </w:rPr>
        <w:t xml:space="preserve">«</w:t>
      </w:r>
      <w:r>
        <w:rPr>
          <w:rFonts w:eastAsia="Times New Roman"/>
          <w:sz w:val="24"/>
          <w:szCs w:val="24"/>
        </w:rPr>
        <w:t xml:space="preserve">Перечень мероприятий подпрограммы с объемом финансирования</w:t>
      </w:r>
      <w:r>
        <w:rPr>
          <w:rFonts w:eastAsia="Times New Roman"/>
          <w:sz w:val="24"/>
          <w:szCs w:val="24"/>
        </w:rPr>
        <w:t xml:space="preserve">» к П</w:t>
      </w:r>
      <w:r>
        <w:rPr>
          <w:rFonts w:eastAsia="Times New Roman"/>
          <w:sz w:val="24"/>
          <w:szCs w:val="24"/>
        </w:rPr>
        <w:t xml:space="preserve">одпрограмме </w:t>
      </w:r>
      <w:r>
        <w:rPr>
          <w:rFonts w:eastAsia="Times New Roman"/>
          <w:sz w:val="24"/>
          <w:szCs w:val="24"/>
        </w:rPr>
        <w:t xml:space="preserve">2 </w:t>
      </w:r>
      <w:r>
        <w:rPr>
          <w:rFonts w:eastAsia="Times New Roman"/>
          <w:sz w:val="24"/>
          <w:szCs w:val="24"/>
        </w:rPr>
        <w:t xml:space="preserve">изложить в следующей редакции</w:t>
      </w:r>
      <w:r>
        <w:rPr>
          <w:rFonts w:eastAsia="Times New Roman"/>
          <w:sz w:val="24"/>
          <w:szCs w:val="24"/>
        </w:rPr>
        <w:t xml:space="preserve">:</w:t>
      </w:r>
      <w:r>
        <w:rPr>
          <w:rFonts w:eastAsia="Times New Roman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9"/>
        <w:gridCol w:w="2553"/>
        <w:gridCol w:w="851"/>
        <w:gridCol w:w="997"/>
        <w:gridCol w:w="850"/>
        <w:gridCol w:w="850"/>
        <w:gridCol w:w="850"/>
        <w:gridCol w:w="848"/>
        <w:gridCol w:w="709"/>
      </w:tblGrid>
      <w:tr>
        <w:tblPrEx/>
        <w:trPr>
          <w:trHeight w:val="125"/>
        </w:trPr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«2.1.2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364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Проведение оценки рыночной стоимости земельных участков</w:t>
            </w:r>
            <w:r/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</w:t>
            </w:r>
            <w:r>
              <w:rPr>
                <w:color w:val="000000"/>
                <w:spacing w:val="1"/>
              </w:rPr>
              <w:t xml:space="preserve">3</w:t>
            </w:r>
            <w:r>
              <w:rPr>
                <w:color w:val="000000"/>
                <w:spacing w:val="1"/>
              </w:rPr>
              <w:t xml:space="preserve">-202</w:t>
            </w:r>
            <w:r>
              <w:rPr>
                <w:color w:val="000000"/>
                <w:spacing w:val="1"/>
              </w:rPr>
              <w:t xml:space="preserve">5</w:t>
            </w:r>
            <w:r/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162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36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78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36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t xml:space="preserve">200,0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t xml:space="preserve">1</w:t>
            </w:r>
            <w:r>
              <w:t xml:space="preserve">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t xml:space="preserve">1</w:t>
            </w:r>
            <w:r>
              <w:t xml:space="preserve">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36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rPr>
                <w:b/>
              </w:rPr>
            </w:pPr>
            <w: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1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364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 мероприятию 1</w:t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1558,2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695,4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1558,2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695,4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2</w:t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1558,2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695,4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33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1558,2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695,4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431,4»</w:t>
            </w:r>
            <w:r>
              <w:rPr>
                <w:b/>
              </w:rPr>
              <w:t xml:space="preserve">;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строку 2.1.2 таблицы 2 «</w:t>
      </w:r>
      <w:r>
        <w:rPr>
          <w:rFonts w:eastAsia="Times New Roman"/>
          <w:sz w:val="24"/>
          <w:szCs w:val="24"/>
        </w:rPr>
        <w:t xml:space="preserve">Перечень </w:t>
      </w:r>
      <w:r>
        <w:rPr>
          <w:rFonts w:eastAsia="Times New Roman"/>
          <w:sz w:val="24"/>
          <w:szCs w:val="24"/>
        </w:rPr>
        <w:t xml:space="preserve">м</w:t>
      </w:r>
      <w:r>
        <w:rPr>
          <w:sz w:val="24"/>
          <w:szCs w:val="24"/>
        </w:rPr>
        <w:t xml:space="preserve">ероприятий</w:t>
      </w:r>
      <w:r>
        <w:rPr>
          <w:sz w:val="24"/>
          <w:szCs w:val="24"/>
        </w:rPr>
        <w:t xml:space="preserve"> подпрограммы </w:t>
      </w:r>
      <w:r>
        <w:rPr>
          <w:sz w:val="24"/>
          <w:szCs w:val="24"/>
        </w:rPr>
        <w:t xml:space="preserve">с показателями результативности выполнения мероприятий</w:t>
      </w:r>
      <w:r>
        <w:rPr>
          <w:rFonts w:eastAsia="Times New Roman"/>
          <w:sz w:val="24"/>
          <w:szCs w:val="24"/>
        </w:rPr>
        <w:t xml:space="preserve">» к П</w:t>
      </w:r>
      <w:r>
        <w:rPr>
          <w:rFonts w:eastAsia="Times New Roman"/>
          <w:sz w:val="24"/>
          <w:szCs w:val="24"/>
        </w:rPr>
        <w:t xml:space="preserve">одпрограмме </w:t>
      </w:r>
      <w:r>
        <w:rPr>
          <w:rFonts w:eastAsia="Times New Roman"/>
          <w:sz w:val="24"/>
          <w:szCs w:val="24"/>
        </w:rPr>
        <w:t xml:space="preserve">2 изложить в следующей редакции:</w:t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709"/>
        <w:gridCol w:w="1984"/>
        <w:gridCol w:w="709"/>
        <w:gridCol w:w="850"/>
        <w:gridCol w:w="851"/>
        <w:gridCol w:w="850"/>
        <w:gridCol w:w="851"/>
      </w:tblGrid>
      <w:tr>
        <w:tblPrEx/>
        <w:trPr>
          <w:trHeight w:val="739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«2.1.2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 оценки рыночной стоимости земельных участков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</w:t>
            </w:r>
            <w:r>
              <w:rPr>
                <w:color w:val="000000"/>
                <w:spacing w:val="1"/>
              </w:rPr>
              <w:t xml:space="preserve">3</w:t>
            </w:r>
            <w:r>
              <w:rPr>
                <w:color w:val="000000"/>
                <w:spacing w:val="1"/>
              </w:rPr>
              <w:t xml:space="preserve">-202</w:t>
            </w:r>
            <w:r>
              <w:rPr>
                <w:color w:val="000000"/>
                <w:spacing w:val="1"/>
              </w:rPr>
              <w:t xml:space="preserve">5</w:t>
            </w:r>
            <w:r/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земельных участков, в отношении которых проведена оценка рыночной стоимости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КУИ».</w:t>
            </w:r>
            <w:r>
              <w:rPr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</w:t>
      </w:r>
      <w:r>
        <w:rPr>
          <w:rFonts w:eastAsia="Times New Roman"/>
          <w:sz w:val="24"/>
          <w:szCs w:val="24"/>
        </w:rPr>
        <w:t xml:space="preserve">подпрограммы 3 «Создание безопасных и комфортных условий проживания граждан» (далее – Подпрограмма </w:t>
      </w:r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)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6804"/>
      </w:tblGrid>
      <w:tr>
        <w:tblPrEx/>
        <w:trPr>
          <w:trHeight w:val="1865"/>
        </w:trPr>
        <w:tc>
          <w:tcPr>
            <w:tcW w:w="2552" w:type="dxa"/>
            <w:textDirection w:val="lrTb"/>
            <w:noWrap w:val="false"/>
          </w:tcPr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</w:t>
            </w:r>
            <w:r>
              <w:rPr>
                <w:sz w:val="24"/>
                <w:szCs w:val="24"/>
                <w:lang w:eastAsia="en-US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Всего по подпрограмме: </w:t>
            </w:r>
            <w:r>
              <w:rPr>
                <w:b/>
                <w:sz w:val="24"/>
                <w:szCs w:val="24"/>
                <w:lang w:eastAsia="en-US"/>
              </w:rPr>
              <w:t xml:space="preserve">28 682,6</w:t>
            </w:r>
            <w:r>
              <w:rPr>
                <w:b/>
                <w:sz w:val="24"/>
                <w:szCs w:val="24"/>
                <w:lang w:eastAsia="en-US"/>
              </w:rPr>
              <w:t xml:space="preserve"> тыс. рублей</w:t>
            </w:r>
            <w:r>
              <w:rPr>
                <w:sz w:val="24"/>
                <w:szCs w:val="24"/>
                <w:lang w:eastAsia="en-US"/>
              </w:rPr>
              <w:t xml:space="preserve">,                                           в том числе: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ФБ: 0,0 тыс. рублей, из них: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2023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ОБ: 0,0 тыс. рублей, из них: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2023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МБ: </w:t>
            </w:r>
            <w:r>
              <w:rPr>
                <w:sz w:val="24"/>
                <w:szCs w:val="24"/>
                <w:lang w:eastAsia="en-US"/>
              </w:rPr>
              <w:t xml:space="preserve">28682,6</w:t>
            </w:r>
            <w:r>
              <w:rPr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2023 год: 1</w:t>
            </w:r>
            <w:r>
              <w:rPr>
                <w:sz w:val="24"/>
                <w:szCs w:val="24"/>
                <w:lang w:eastAsia="en-US"/>
              </w:rPr>
              <w:t xml:space="preserve">3682,6</w:t>
            </w:r>
            <w:r>
              <w:rPr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15000,0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ВБС: 0,0 тыс. рублей, из них: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2023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i/>
                <w:color w:val="0000ff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</w:t>
            </w:r>
            <w:r>
              <w:rPr>
                <w:sz w:val="24"/>
                <w:szCs w:val="24"/>
                <w:lang w:eastAsia="en-US"/>
              </w:rPr>
              <w:t xml:space="preserve">.</w:t>
            </w:r>
            <w:r>
              <w:rPr>
                <w:sz w:val="24"/>
                <w:szCs w:val="24"/>
                <w:lang w:eastAsia="en-US"/>
              </w:rPr>
              <w:t xml:space="preserve">»;</w:t>
            </w:r>
            <w:r>
              <w:rPr>
                <w:i/>
                <w:color w:val="0000ff"/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rFonts w:eastAsia="Times New Roman"/>
          <w:sz w:val="24"/>
          <w:szCs w:val="24"/>
        </w:rPr>
        <w:t xml:space="preserve">строк</w:t>
      </w:r>
      <w:r>
        <w:rPr>
          <w:rFonts w:eastAsia="Times New Roman"/>
          <w:sz w:val="24"/>
          <w:szCs w:val="24"/>
        </w:rPr>
        <w:t xml:space="preserve">и 3.2.1, 3.2.2, </w:t>
      </w:r>
      <w:r>
        <w:rPr>
          <w:rFonts w:eastAsia="Times New Roman"/>
          <w:sz w:val="24"/>
          <w:szCs w:val="24"/>
        </w:rPr>
        <w:t xml:space="preserve">«</w:t>
      </w:r>
      <w:r>
        <w:rPr>
          <w:rFonts w:eastAsia="Times New Roman"/>
          <w:color w:val="000000"/>
          <w:spacing w:val="1"/>
          <w:sz w:val="24"/>
          <w:szCs w:val="24"/>
        </w:rPr>
        <w:t xml:space="preserve">Итого по мероприятию 2» и</w:t>
      </w:r>
      <w:r>
        <w:rPr>
          <w:rFonts w:eastAsia="Times New Roman"/>
          <w:color w:val="000000"/>
          <w:spacing w:val="1"/>
          <w:sz w:val="24"/>
          <w:szCs w:val="24"/>
        </w:rPr>
        <w:t xml:space="preserve"> «Всего по подпрограмме </w:t>
      </w:r>
      <w:r>
        <w:rPr>
          <w:rFonts w:eastAsia="Times New Roman"/>
          <w:color w:val="000000"/>
          <w:spacing w:val="1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»</w:t>
      </w:r>
      <w:r>
        <w:rPr>
          <w:rFonts w:eastAsia="Times New Roman"/>
          <w:sz w:val="24"/>
          <w:szCs w:val="24"/>
        </w:rPr>
        <w:t xml:space="preserve"> т</w:t>
      </w:r>
      <w:r>
        <w:rPr>
          <w:rFonts w:eastAsia="Times New Roman"/>
          <w:sz w:val="24"/>
          <w:szCs w:val="24"/>
        </w:rPr>
        <w:t xml:space="preserve">аблицы 1 </w:t>
      </w:r>
      <w:r>
        <w:rPr>
          <w:rFonts w:eastAsia="Times New Roman"/>
          <w:sz w:val="24"/>
          <w:szCs w:val="24"/>
        </w:rPr>
        <w:t xml:space="preserve">«</w:t>
      </w:r>
      <w:r>
        <w:rPr>
          <w:rFonts w:eastAsia="Times New Roman"/>
          <w:sz w:val="24"/>
          <w:szCs w:val="24"/>
        </w:rPr>
        <w:t xml:space="preserve">Перечень мероприятий подпрограммы с объемом финансирования</w:t>
      </w:r>
      <w:r>
        <w:rPr>
          <w:rFonts w:eastAsia="Times New Roman"/>
          <w:sz w:val="24"/>
          <w:szCs w:val="24"/>
        </w:rPr>
        <w:t xml:space="preserve">» к П</w:t>
      </w:r>
      <w:r>
        <w:rPr>
          <w:rFonts w:eastAsia="Times New Roman"/>
          <w:sz w:val="24"/>
          <w:szCs w:val="24"/>
        </w:rPr>
        <w:t xml:space="preserve">одпрограмме </w:t>
      </w:r>
      <w:r>
        <w:rPr>
          <w:rFonts w:eastAsia="Times New Roman"/>
          <w:sz w:val="24"/>
          <w:szCs w:val="24"/>
        </w:rPr>
        <w:t xml:space="preserve">3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9"/>
        <w:gridCol w:w="1984"/>
        <w:gridCol w:w="713"/>
        <w:gridCol w:w="850"/>
        <w:gridCol w:w="994"/>
        <w:gridCol w:w="992"/>
        <w:gridCol w:w="992"/>
        <w:gridCol w:w="1132"/>
        <w:gridCol w:w="851"/>
      </w:tblGrid>
      <w:tr>
        <w:tblPrEx/>
        <w:trPr>
          <w:trHeight w:val="185"/>
        </w:trPr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«3.2.1.</w:t>
            </w:r>
            <w:r/>
          </w:p>
        </w:tc>
        <w:tc>
          <w:tcPr>
            <w:shd w:val="clear" w:color="auto" w:fill="auto"/>
            <w:tcW w:w="1060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пустующих жилых помещений муниципального жилищного фонда</w:t>
            </w:r>
            <w:r/>
          </w:p>
        </w:tc>
        <w:tc>
          <w:tcPr>
            <w:shd w:val="clear" w:color="auto" w:fill="auto"/>
            <w:tcW w:w="38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2023-2025</w:t>
            </w:r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 и ЖКХ; 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2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28583,6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13583,6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15000,0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28583,6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13583,6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5"/>
        </w:trPr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3.2.2.</w:t>
            </w:r>
            <w:r/>
          </w:p>
        </w:tc>
        <w:tc>
          <w:tcPr>
            <w:shd w:val="clear" w:color="auto" w:fill="auto"/>
            <w:tcW w:w="1060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Обследование жилых помещений и многоквартирных домов на предмет непригодности для проживания</w:t>
            </w:r>
            <w:r/>
          </w:p>
        </w:tc>
        <w:tc>
          <w:tcPr>
            <w:shd w:val="clear" w:color="auto" w:fill="auto"/>
            <w:tcW w:w="38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2023</w:t>
            </w:r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 и ЖКХ</w:t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99,0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99,0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5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60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1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99,0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99,0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b/>
                <w:spacing w:val="1"/>
              </w:rPr>
              <w:t xml:space="preserve">Итого по мероприятию </w:t>
            </w:r>
            <w:r>
              <w:rPr>
                <w:b/>
                <w:spacing w:val="1"/>
              </w:rPr>
              <w:t xml:space="preserve">2</w:t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89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28682,6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13682,6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28682,6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13682,6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3</w:t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89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28682,6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13682,6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89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28682,6</w:t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13682,6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0,0».</w:t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681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2.</w:t>
      </w:r>
      <w:r>
        <w:rPr>
          <w:rFonts w:eastAsia="Times New Roman"/>
          <w:sz w:val="24"/>
          <w:szCs w:val="24"/>
        </w:rPr>
        <w:t xml:space="preserve"> 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</w:p>
    <w:p>
      <w:pPr>
        <w:pStyle w:val="681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3. </w:t>
      </w:r>
      <w:r>
        <w:rPr>
          <w:rFonts w:eastAsia="Times New Roman"/>
          <w:sz w:val="24"/>
          <w:szCs w:val="24"/>
        </w:rPr>
        <w:t xml:space="preserve">Настоящее постановление опубликова</w:t>
      </w:r>
      <w:r>
        <w:rPr>
          <w:rFonts w:eastAsia="Times New Roman"/>
          <w:sz w:val="24"/>
          <w:szCs w:val="24"/>
        </w:rPr>
        <w:t xml:space="preserve">ть</w:t>
      </w:r>
      <w:r>
        <w:rPr>
          <w:rFonts w:eastAsia="Times New Roman"/>
          <w:sz w:val="24"/>
          <w:szCs w:val="24"/>
        </w:rPr>
        <w:t xml:space="preserve"> в</w:t>
      </w:r>
      <w:r>
        <w:rPr>
          <w:rFonts w:eastAsia="Times New Roman"/>
          <w:sz w:val="24"/>
          <w:szCs w:val="24"/>
        </w:rPr>
        <w:t xml:space="preserve"> официальном издании</w:t>
      </w:r>
      <w:r>
        <w:rPr>
          <w:rFonts w:eastAsia="Times New Roman"/>
          <w:sz w:val="24"/>
          <w:szCs w:val="24"/>
        </w:rPr>
        <w:t xml:space="preserve"> газет</w:t>
      </w:r>
      <w:r>
        <w:rPr>
          <w:rFonts w:eastAsia="Times New Roman"/>
          <w:sz w:val="24"/>
          <w:szCs w:val="24"/>
        </w:rPr>
        <w:t xml:space="preserve">а</w:t>
      </w:r>
      <w:r>
        <w:rPr>
          <w:rFonts w:eastAsia="Times New Roman"/>
          <w:sz w:val="24"/>
          <w:szCs w:val="24"/>
        </w:rPr>
        <w:t xml:space="preserve"> «Печенга» и разме</w:t>
      </w:r>
      <w:r>
        <w:rPr>
          <w:rFonts w:eastAsia="Times New Roman"/>
          <w:sz w:val="24"/>
          <w:szCs w:val="24"/>
        </w:rPr>
        <w:t xml:space="preserve">стить</w:t>
      </w:r>
      <w:r>
        <w:rPr>
          <w:rFonts w:eastAsia="Times New Roman"/>
          <w:sz w:val="24"/>
          <w:szCs w:val="24"/>
        </w:rPr>
        <w:t xml:space="preserve"> на сайте Печенгского муниципального округа</w:t>
      </w:r>
      <w:r>
        <w:rPr>
          <w:rFonts w:eastAsia="Times New Roman"/>
          <w:sz w:val="24"/>
          <w:szCs w:val="24"/>
        </w:rPr>
        <w:t xml:space="preserve"> в сети Интернет.</w:t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 </w:t>
      </w:r>
      <w:r>
        <w:rPr>
          <w:sz w:val="24"/>
          <w:szCs w:val="24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/>
      <w:bookmarkStart w:id="0" w:name="_GoBack"/>
      <w:r/>
      <w:bookmarkEnd w:id="0"/>
      <w:r/>
      <w:r>
        <w:rPr>
          <w:sz w:val="16"/>
          <w:szCs w:val="16"/>
        </w:rPr>
      </w:r>
    </w:p>
    <w:p>
      <w:pPr>
        <w:jc w:val="both"/>
        <w:widowControl w:val="off"/>
      </w:pPr>
      <w:r>
        <w:t xml:space="preserve">Лаврущик</w:t>
      </w:r>
      <w:r>
        <w:t xml:space="preserve"> С.С.</w:t>
      </w:r>
      <w:r>
        <w:t xml:space="preserve">, 5-05-79</w:t>
      </w:r>
      <w:r/>
      <w:r>
        <w:rPr>
          <w:sz w:val="16"/>
          <w:szCs w:val="16"/>
        </w:rPr>
      </w:r>
      <w:r>
        <w:rPr>
          <w:sz w:val="16"/>
          <w:szCs w:val="16"/>
        </w:rPr>
      </w:r>
      <w:r/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/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/>
    </w:p>
    <w:sectPr>
      <w:footnotePr/>
      <w:endnotePr/>
      <w:type w:val="nextPage"/>
      <w:pgSz w:w="11906" w:h="16838" w:orient="portrait"/>
      <w:pgMar w:top="993" w:right="850" w:bottom="851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68"/>
    <w:next w:val="668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69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68"/>
    <w:next w:val="668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69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68"/>
    <w:next w:val="668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69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68"/>
    <w:next w:val="668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69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68"/>
    <w:next w:val="668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69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68"/>
    <w:next w:val="668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69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68"/>
    <w:next w:val="668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69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68"/>
    <w:next w:val="668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69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68"/>
    <w:next w:val="668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69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68"/>
    <w:next w:val="668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69"/>
    <w:link w:val="34"/>
    <w:uiPriority w:val="10"/>
    <w:rPr>
      <w:sz w:val="48"/>
      <w:szCs w:val="48"/>
    </w:rPr>
  </w:style>
  <w:style w:type="paragraph" w:styleId="36">
    <w:name w:val="Subtitle"/>
    <w:basedOn w:val="668"/>
    <w:next w:val="668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69"/>
    <w:link w:val="36"/>
    <w:uiPriority w:val="11"/>
    <w:rPr>
      <w:sz w:val="24"/>
      <w:szCs w:val="24"/>
    </w:rPr>
  </w:style>
  <w:style w:type="paragraph" w:styleId="38">
    <w:name w:val="Quote"/>
    <w:basedOn w:val="668"/>
    <w:next w:val="668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68"/>
    <w:next w:val="668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69"/>
    <w:link w:val="676"/>
    <w:uiPriority w:val="99"/>
  </w:style>
  <w:style w:type="character" w:styleId="45">
    <w:name w:val="Footer Char"/>
    <w:basedOn w:val="669"/>
    <w:link w:val="678"/>
    <w:uiPriority w:val="99"/>
  </w:style>
  <w:style w:type="paragraph" w:styleId="46">
    <w:name w:val="Caption"/>
    <w:basedOn w:val="668"/>
    <w:next w:val="6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78"/>
    <w:uiPriority w:val="99"/>
  </w:style>
  <w:style w:type="table" w:styleId="49">
    <w:name w:val="Table Grid Light"/>
    <w:basedOn w:val="6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68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69"/>
    <w:uiPriority w:val="99"/>
    <w:unhideWhenUsed/>
    <w:rPr>
      <w:vertAlign w:val="superscript"/>
    </w:rPr>
  </w:style>
  <w:style w:type="paragraph" w:styleId="178">
    <w:name w:val="endnote text"/>
    <w:basedOn w:val="668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69"/>
    <w:uiPriority w:val="99"/>
    <w:semiHidden/>
    <w:unhideWhenUsed/>
    <w:rPr>
      <w:vertAlign w:val="superscript"/>
    </w:rPr>
  </w:style>
  <w:style w:type="paragraph" w:styleId="181">
    <w:name w:val="toc 1"/>
    <w:basedOn w:val="668"/>
    <w:next w:val="668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68"/>
    <w:next w:val="668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68"/>
    <w:next w:val="668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68"/>
    <w:next w:val="668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68"/>
    <w:next w:val="668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68"/>
    <w:next w:val="668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68"/>
    <w:next w:val="668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68"/>
    <w:next w:val="668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68"/>
    <w:next w:val="668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68"/>
    <w:next w:val="668"/>
    <w:uiPriority w:val="99"/>
    <w:unhideWhenUsed/>
    <w:pPr>
      <w:spacing w:after="0" w:afterAutospacing="0"/>
    </w:pPr>
  </w:style>
  <w:style w:type="paragraph" w:styleId="668" w:default="1">
    <w:name w:val="Normal"/>
    <w:qFormat/>
    <w:rPr>
      <w:rFonts w:eastAsia="Calibri"/>
    </w:rPr>
  </w:style>
  <w:style w:type="character" w:styleId="669" w:default="1">
    <w:name w:val="Default Paragraph Font"/>
    <w:uiPriority w:val="1"/>
    <w:semiHidden/>
    <w:unhideWhenUsed/>
  </w:style>
  <w:style w:type="table" w:styleId="67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1" w:default="1">
    <w:name w:val="No List"/>
    <w:uiPriority w:val="99"/>
    <w:semiHidden/>
    <w:unhideWhenUsed/>
  </w:style>
  <w:style w:type="paragraph" w:styleId="672">
    <w:name w:val="Normal (Web)"/>
    <w:basedOn w:val="668"/>
    <w:semiHidden/>
    <w:pPr>
      <w:spacing w:before="100" w:beforeAutospacing="1" w:after="100" w:afterAutospacing="1"/>
    </w:pPr>
    <w:rPr>
      <w:sz w:val="24"/>
      <w:szCs w:val="24"/>
    </w:rPr>
  </w:style>
  <w:style w:type="paragraph" w:styleId="673" w:customStyle="1">
    <w:name w:val="Абзац списка1"/>
    <w:basedOn w:val="668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674">
    <w:name w:val="Balloon Text"/>
    <w:basedOn w:val="668"/>
    <w:link w:val="675"/>
    <w:rPr>
      <w:rFonts w:ascii="Calibri" w:hAnsi="Calibri"/>
      <w:sz w:val="16"/>
      <w:szCs w:val="16"/>
    </w:rPr>
  </w:style>
  <w:style w:type="character" w:styleId="675" w:customStyle="1">
    <w:name w:val="Текст выноски Знак"/>
    <w:link w:val="674"/>
    <w:rPr>
      <w:rFonts w:ascii="Calibri" w:hAnsi="Calibri" w:eastAsia="Calibri"/>
      <w:sz w:val="16"/>
      <w:szCs w:val="16"/>
    </w:rPr>
  </w:style>
  <w:style w:type="paragraph" w:styleId="676">
    <w:name w:val="Header"/>
    <w:basedOn w:val="668"/>
    <w:link w:val="677"/>
    <w:pPr>
      <w:tabs>
        <w:tab w:val="center" w:pos="4677" w:leader="none"/>
        <w:tab w:val="right" w:pos="9355" w:leader="none"/>
      </w:tabs>
    </w:pPr>
  </w:style>
  <w:style w:type="character" w:styleId="677" w:customStyle="1">
    <w:name w:val="Верхний колонтитул Знак"/>
    <w:link w:val="676"/>
    <w:rPr>
      <w:rFonts w:eastAsia="Calibri"/>
    </w:rPr>
  </w:style>
  <w:style w:type="paragraph" w:styleId="678">
    <w:name w:val="Footer"/>
    <w:basedOn w:val="668"/>
    <w:link w:val="679"/>
    <w:pPr>
      <w:tabs>
        <w:tab w:val="center" w:pos="4677" w:leader="none"/>
        <w:tab w:val="right" w:pos="9355" w:leader="none"/>
      </w:tabs>
    </w:pPr>
  </w:style>
  <w:style w:type="character" w:styleId="679" w:customStyle="1">
    <w:name w:val="Нижний колонтитул Знак"/>
    <w:link w:val="678"/>
    <w:rPr>
      <w:rFonts w:eastAsia="Calibri"/>
    </w:rPr>
  </w:style>
  <w:style w:type="table" w:styleId="680">
    <w:name w:val="Table Grid"/>
    <w:basedOn w:val="67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81">
    <w:name w:val="List Paragraph"/>
    <w:basedOn w:val="668"/>
    <w:link w:val="685"/>
    <w:uiPriority w:val="99"/>
    <w:qFormat/>
    <w:pPr>
      <w:contextualSpacing/>
      <w:ind w:left="720"/>
    </w:pPr>
  </w:style>
  <w:style w:type="paragraph" w:styleId="682" w:customStyle="1">
    <w:name w:val="Знак Знак2"/>
    <w:basedOn w:val="668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683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paragraph" w:styleId="684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character" w:styleId="685" w:customStyle="1">
    <w:name w:val="Абзац списка Знак"/>
    <w:link w:val="681"/>
    <w:uiPriority w:val="99"/>
    <w:rPr>
      <w:rFonts w:eastAsia="Calibri"/>
    </w:rPr>
  </w:style>
  <w:style w:type="character" w:styleId="686" w:customStyle="1">
    <w:name w:val="Основной текст_"/>
    <w:link w:val="687"/>
    <w:rPr>
      <w:spacing w:val="-1"/>
      <w:sz w:val="26"/>
      <w:szCs w:val="26"/>
      <w:shd w:val="clear" w:color="auto" w:fill="ffffff"/>
    </w:rPr>
  </w:style>
  <w:style w:type="paragraph" w:styleId="687" w:customStyle="1">
    <w:name w:val="Основной текст2"/>
    <w:basedOn w:val="668"/>
    <w:link w:val="686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paragraph" w:styleId="688">
    <w:name w:val="Body Text 2"/>
    <w:basedOn w:val="668"/>
    <w:link w:val="689"/>
    <w:pPr>
      <w:jc w:val="both"/>
    </w:pPr>
    <w:rPr>
      <w:rFonts w:eastAsia="Times New Roman"/>
      <w:b/>
      <w:bCs/>
      <w:sz w:val="24"/>
      <w:lang w:eastAsia="fi-FI"/>
    </w:rPr>
  </w:style>
  <w:style w:type="character" w:styleId="689" w:customStyle="1">
    <w:name w:val="Основной текст 2 Знак"/>
    <w:basedOn w:val="669"/>
    <w:link w:val="688"/>
    <w:rPr>
      <w:b/>
      <w:bCs/>
      <w:sz w:val="24"/>
      <w:lang w:eastAsia="fi-F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080DD0-8BEA-418A-8688-261131597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3</cp:revision>
  <dcterms:created xsi:type="dcterms:W3CDTF">2023-12-15T11:08:00Z</dcterms:created>
  <dcterms:modified xsi:type="dcterms:W3CDTF">2024-02-15T13:44:15Z</dcterms:modified>
</cp:coreProperties>
</file>