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28.11.2023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1762</w:t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  <w:t xml:space="preserve">«Транспортная система» на 202</w:t>
      </w:r>
      <w:r>
        <w:rPr>
          <w:b/>
        </w:rPr>
        <w:t xml:space="preserve">3</w:t>
      </w:r>
      <w:r>
        <w:rPr>
          <w:b/>
        </w:rPr>
        <w:t xml:space="preserve">-202</w:t>
      </w:r>
      <w:r>
        <w:rPr>
          <w:b/>
        </w:rPr>
        <w:t xml:space="preserve">5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Печенгского муниципального округа от </w:t>
      </w:r>
      <w:r>
        <w:rPr>
          <w:b/>
        </w:rPr>
        <w:t xml:space="preserve">03.11.2022</w:t>
      </w:r>
      <w:r>
        <w:rPr>
          <w:b/>
        </w:rPr>
        <w:t xml:space="preserve"> № </w:t>
      </w:r>
      <w:r>
        <w:rPr>
          <w:b/>
        </w:rPr>
        <w:t xml:space="preserve">150</w:t>
      </w:r>
      <w:r>
        <w:rPr>
          <w:b/>
        </w:rPr>
        <w:t xml:space="preserve">4</w:t>
      </w:r>
      <w:r>
        <w:rPr>
          <w:b/>
        </w:rPr>
      </w:r>
    </w:p>
    <w:p>
      <w:pPr>
        <w:jc w:val="center"/>
        <w:rPr>
          <w:szCs w:val="18"/>
        </w:rPr>
      </w:pPr>
      <w:r>
        <w:rPr>
          <w:szCs w:val="18"/>
        </w:rPr>
      </w:r>
      <w:r>
        <w:rPr>
          <w:szCs w:val="18"/>
        </w:rPr>
      </w:r>
    </w:p>
    <w:p>
      <w:pPr>
        <w:jc w:val="center"/>
        <w:rPr>
          <w:szCs w:val="18"/>
        </w:rPr>
      </w:pPr>
      <w:r>
        <w:rPr>
          <w:szCs w:val="18"/>
        </w:rPr>
      </w:r>
      <w:r>
        <w:rPr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Транспортная система</w:t>
      </w:r>
      <w:r>
        <w:rPr>
          <w:sz w:val="24"/>
          <w:szCs w:val="24"/>
        </w:rPr>
        <w:t xml:space="preserve">» на 2023-2025 годы</w:t>
      </w:r>
      <w:r>
        <w:rPr>
          <w:sz w:val="24"/>
          <w:szCs w:val="24"/>
        </w:rPr>
        <w:t xml:space="preserve">, утвержденную постановлением администрации  Печенгского муниципального округа от </w:t>
      </w:r>
      <w:r>
        <w:rPr>
          <w:sz w:val="24"/>
          <w:szCs w:val="24"/>
        </w:rPr>
        <w:t xml:space="preserve">03.11.2022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150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13.10.2023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1523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 следующей редакции:</w:t>
      </w:r>
      <w:r>
        <w:rPr>
          <w:sz w:val="24"/>
          <w:szCs w:val="24"/>
        </w:rPr>
      </w:r>
    </w:p>
    <w:tbl>
      <w:tblPr>
        <w:tblW w:w="9413" w:type="dxa"/>
        <w:jc w:val="center"/>
        <w:tblInd w:w="-192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56"/>
        <w:gridCol w:w="7357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5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7" w:type="dxa"/>
            <w:textDirection w:val="lrTb"/>
            <w:noWrap w:val="false"/>
          </w:tcPr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316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354,1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134297,4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59962,8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40180,9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34153,7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182056,7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58927,6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60958,6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62170,5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 год: 0,0 тыс. рублей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</w:rPr>
            </w:r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строки 2.3 и 2.5 таблицы «Основные показатели эффективности </w:t>
      </w:r>
      <w:r>
        <w:rPr>
          <w:sz w:val="24"/>
          <w:szCs w:val="24"/>
        </w:rPr>
        <w:t xml:space="preserve">реализации программы» раздела 2</w:t>
      </w:r>
      <w:r>
        <w:rPr>
          <w:sz w:val="24"/>
          <w:szCs w:val="24"/>
        </w:rPr>
        <w:t xml:space="preserve"> «Основные цели и задачи программы с указанием сроков </w:t>
      </w:r>
      <w:r>
        <w:rPr>
          <w:sz w:val="24"/>
          <w:szCs w:val="24"/>
        </w:rPr>
        <w:t xml:space="preserve">и этапов </w:t>
      </w:r>
      <w:r>
        <w:rPr>
          <w:sz w:val="24"/>
          <w:szCs w:val="24"/>
        </w:rPr>
        <w:t xml:space="preserve">ее реализации, а также перечень основных мероприятий и показателей»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</w:p>
    <w:tbl>
      <w:tblPr>
        <w:tblpPr w:horzAnchor="margin" w:tblpX="159" w:vertAnchor="text" w:tblpY="1" w:leftFromText="181" w:topFromText="0" w:rightFromText="181" w:bottomFromText="0"/>
        <w:tblW w:w="4871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2360"/>
        <w:gridCol w:w="669"/>
        <w:gridCol w:w="800"/>
        <w:gridCol w:w="802"/>
        <w:gridCol w:w="802"/>
        <w:gridCol w:w="802"/>
        <w:gridCol w:w="802"/>
        <w:gridCol w:w="1501"/>
      </w:tblGrid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1" w:type="pct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iCs/>
              </w:rPr>
            </w:pPr>
            <w:r>
              <w:t xml:space="preserve">«2.3</w:t>
            </w:r>
            <w:r>
              <w:t xml:space="preserve">.</w:t>
            </w:r>
            <w:r>
              <w:rPr>
                <w:i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Площадь проведенного ямочного ремонта на участках автодорог, на которых отсутствует необходимость замены дорожного покрытия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кв. м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662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980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880</w:t>
            </w:r>
            <w:r>
              <w:rPr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не менее 1000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не менее 1000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Отчеты </w:t>
            </w:r>
            <w:r>
              <w:rPr>
                <w:color w:val="000000"/>
                <w:sz w:val="18"/>
                <w:szCs w:val="18"/>
              </w:rPr>
              <w:t xml:space="preserve">                    </w:t>
            </w:r>
            <w:r>
              <w:rPr>
                <w:color w:val="000000"/>
                <w:sz w:val="18"/>
                <w:szCs w:val="18"/>
              </w:rPr>
              <w:t xml:space="preserve">МБУ «НДС», МБУ «ДЭСП»</w:t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1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1" w:type="pct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iCs/>
              </w:rPr>
            </w:pPr>
            <w:r>
              <w:t xml:space="preserve">2.</w:t>
            </w:r>
            <w:r>
              <w:t xml:space="preserve">5</w:t>
            </w:r>
            <w:r>
              <w:t xml:space="preserve">.</w:t>
            </w:r>
            <w:r>
              <w:rPr>
                <w:i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Протяженность дорожной разметки на дорогах общего пользования местного значения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км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17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17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29,2</w:t>
            </w:r>
            <w:r>
              <w:rPr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не менее 17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не менее 17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Отчеты </w:t>
            </w:r>
            <w:r>
              <w:rPr>
                <w:color w:val="000000"/>
                <w:sz w:val="18"/>
                <w:szCs w:val="18"/>
              </w:rPr>
              <w:t xml:space="preserve">                            </w:t>
            </w:r>
            <w:r>
              <w:rPr>
                <w:color w:val="000000"/>
                <w:sz w:val="18"/>
                <w:szCs w:val="18"/>
              </w:rPr>
              <w:t xml:space="preserve">МБУ «НДС», МБУ «ДЭСП»</w:t>
            </w:r>
            <w:r>
              <w:rPr>
                <w:color w:val="000000"/>
                <w:sz w:val="18"/>
                <w:szCs w:val="18"/>
              </w:rPr>
              <w:t xml:space="preserve">»</w:t>
            </w:r>
            <w:r>
              <w:rPr>
                <w:color w:val="000000"/>
                <w:sz w:val="18"/>
                <w:szCs w:val="18"/>
              </w:rPr>
              <w:t xml:space="preserve">;</w:t>
            </w:r>
            <w:r>
              <w:rPr>
                <w:color w:val="000000"/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и 1.1, 1.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, 1</w:t>
      </w:r>
      <w:r>
        <w:rPr>
          <w:sz w:val="24"/>
          <w:szCs w:val="24"/>
        </w:rPr>
        <w:t xml:space="preserve">.5</w:t>
      </w:r>
      <w:r>
        <w:rPr>
          <w:sz w:val="24"/>
          <w:szCs w:val="24"/>
        </w:rPr>
        <w:t xml:space="preserve"> и 1.6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Приложения 1 «Перечень мероприятий программы с объемом финансирования» к Программе изложить в следующей редакции:</w:t>
      </w:r>
      <w:r>
        <w:rPr>
          <w:sz w:val="24"/>
          <w:szCs w:val="24"/>
        </w:rPr>
      </w:r>
    </w:p>
    <w:tbl>
      <w:tblPr>
        <w:tblW w:w="4887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981"/>
        <w:gridCol w:w="707"/>
        <w:gridCol w:w="851"/>
        <w:gridCol w:w="992"/>
        <w:gridCol w:w="994"/>
        <w:gridCol w:w="994"/>
        <w:gridCol w:w="992"/>
        <w:gridCol w:w="1134"/>
      </w:tblGrid>
      <w:tr>
        <w:tblPrEx/>
        <w:trPr>
          <w:trHeight w:val="6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«1.1.</w:t>
            </w:r>
            <w:r/>
          </w:p>
        </w:tc>
        <w:tc>
          <w:tcPr>
            <w:shd w:val="clear" w:color="auto" w:fill="auto"/>
            <w:tcW w:w="105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Содержание автомобильных дорог общего пользования местного значения, городских площадей и проездов </w:t>
            </w:r>
            <w:r/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«НДС»;           МБУ «ДЭСП»;  МБУ «РЭС»</w:t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164871,9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</w:rPr>
              <w:t xml:space="preserve">53842,8</w:t>
            </w:r>
            <w:r>
              <w:rPr>
                <w:bCs/>
                <w:color w:val="000000"/>
                <w:szCs w:val="24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54908,6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56120,5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164871,9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53842,8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54908,6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56120,5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>
              <w:t xml:space="preserve">3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5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Выполнение работ по карточному (ямочному) ремонту автомобильных дорог</w:t>
            </w:r>
            <w:r/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«НДС»; 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«ДЭСП»</w:t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3821,2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</w:rPr>
              <w:t xml:space="preserve">1021,2</w:t>
            </w:r>
            <w:r>
              <w:rPr>
                <w:bCs/>
                <w:color w:val="000000"/>
                <w:szCs w:val="24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1400,0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1400,0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 xml:space="preserve">3821,2</w:t>
            </w:r>
            <w:r>
              <w:rPr>
                <w:b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1021,2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1400,0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1400,0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>
              <w:t xml:space="preserve">5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5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Выполнение работ по нанесению дорожной разметки на дорогах общего пользования местного значения</w:t>
            </w:r>
            <w:r/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>202</w:t>
            </w:r>
            <w:r>
              <w:t xml:space="preserve">3</w:t>
            </w:r>
            <w:r>
              <w:rPr>
                <w:lang w:val="en-US"/>
              </w:rPr>
              <w:t xml:space="preserve">-202</w:t>
            </w:r>
            <w:r>
              <w:t xml:space="preserve">5</w:t>
            </w:r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«НДС»; 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«ДЭСП»</w:t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3107,6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</w:rPr>
              <w:t xml:space="preserve">707,6</w:t>
            </w:r>
            <w:r>
              <w:rPr>
                <w:bCs/>
                <w:color w:val="000000"/>
                <w:szCs w:val="24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1200,0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1200,0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3107,6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707,6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1.6.</w:t>
            </w:r>
            <w:r/>
          </w:p>
        </w:tc>
        <w:tc>
          <w:tcPr>
            <w:shd w:val="clear" w:color="auto" w:fill="auto"/>
            <w:tcW w:w="105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Выполнение работ по обустройству автомобильных дорог дорожными знаками</w:t>
            </w:r>
            <w:r/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«НДС»; </w:t>
            </w:r>
            <w:r>
              <w:rPr>
                <w:sz w:val="18"/>
                <w:szCs w:val="18"/>
              </w:rPr>
              <w:t xml:space="preserve"> МБУ «РЭС»;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«ДЭСП»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700,0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 xml:space="preserve">200,0</w:t>
            </w:r>
            <w:r>
              <w:rPr>
                <w:bCs/>
                <w:color w:val="000000"/>
                <w:szCs w:val="24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250</w:t>
            </w:r>
            <w:r>
              <w:rPr>
                <w:color w:val="000000"/>
                <w:szCs w:val="22"/>
              </w:rPr>
              <w:t xml:space="preserve">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2</w:t>
            </w:r>
            <w:r>
              <w:rPr>
                <w:color w:val="000000"/>
                <w:szCs w:val="22"/>
              </w:rPr>
              <w:t xml:space="preserve">5</w:t>
            </w: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строки «Итого по мероприятию 1» и «Всего по программе»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Приложения</w:t>
      </w:r>
      <w:r>
        <w:rPr>
          <w:sz w:val="24"/>
          <w:szCs w:val="24"/>
        </w:rPr>
        <w:t xml:space="preserve"> 1 </w:t>
      </w:r>
      <w:r>
        <w:rPr>
          <w:sz w:val="24"/>
          <w:szCs w:val="24"/>
        </w:rPr>
        <w:t xml:space="preserve">«Перечень мероприятий</w:t>
      </w:r>
      <w:r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 xml:space="preserve"> с объемом финансирования» </w:t>
      </w:r>
      <w:r>
        <w:rPr>
          <w:sz w:val="24"/>
          <w:szCs w:val="24"/>
        </w:rPr>
        <w:t xml:space="preserve">к Программе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2975"/>
        <w:gridCol w:w="850"/>
        <w:gridCol w:w="1099"/>
        <w:gridCol w:w="1099"/>
        <w:gridCol w:w="1099"/>
        <w:gridCol w:w="1241"/>
        <w:gridCol w:w="994"/>
      </w:tblGrid>
      <w:tr>
        <w:tblPrEx/>
        <w:trPr>
          <w:trHeight w:val="45"/>
        </w:trPr>
        <w:tc>
          <w:tcPr>
            <w:shd w:val="clear" w:color="auto" w:fill="auto"/>
            <w:tcW w:w="159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«Итого по мероприятию 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134297,4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59962,8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40180,9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34153,7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182056,7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58927,6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60958,6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62170,5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1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316354,1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118890,4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101139,5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96324,2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по программе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134297,4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59962,8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40180,9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34153,7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182056,7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58927,6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60958,6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62170,5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316354,1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118890,4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101139,5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96324,2</w:t>
            </w:r>
            <w:r>
              <w:rPr>
                <w:b/>
                <w:bCs/>
                <w:color w:val="000000"/>
                <w:szCs w:val="22"/>
              </w:rPr>
              <w:t xml:space="preserve">»</w:t>
            </w:r>
            <w:r>
              <w:rPr>
                <w:b/>
                <w:bCs/>
                <w:color w:val="000000"/>
                <w:szCs w:val="22"/>
              </w:rPr>
              <w:t xml:space="preserve">;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1.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, 1.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</w:t>
      </w:r>
      <w:r>
        <w:rPr>
          <w:sz w:val="24"/>
          <w:szCs w:val="24"/>
        </w:rPr>
        <w:t xml:space="preserve">иложения 2 </w:t>
      </w:r>
      <w:r>
        <w:rPr>
          <w:sz w:val="24"/>
          <w:szCs w:val="24"/>
        </w:rPr>
        <w:t xml:space="preserve">«Перечень мероприятий </w:t>
      </w:r>
      <w:r>
        <w:rPr>
          <w:sz w:val="24"/>
          <w:szCs w:val="24"/>
        </w:rPr>
        <w:t xml:space="preserve">программы с показателями результативности выполнения мероприятий» </w:t>
      </w:r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рограмме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1701"/>
        <w:gridCol w:w="709"/>
        <w:gridCol w:w="851"/>
        <w:gridCol w:w="850"/>
        <w:gridCol w:w="851"/>
        <w:gridCol w:w="992"/>
      </w:tblGrid>
      <w:tr>
        <w:tblPrEx/>
        <w:trPr>
          <w:trHeight w:val="209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«</w:t>
            </w:r>
            <w:r>
              <w:rPr>
                <w:szCs w:val="23"/>
              </w:rPr>
              <w:t xml:space="preserve">1.</w:t>
            </w:r>
            <w:r>
              <w:rPr>
                <w:szCs w:val="23"/>
              </w:rPr>
              <w:t xml:space="preserve">3</w:t>
            </w:r>
            <w:r>
              <w:rPr>
                <w:szCs w:val="23"/>
              </w:rPr>
              <w:t xml:space="preserve">.</w:t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Выполнение работ по карточному (ямочному) ремонту автомобильных дорог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2023-2025</w:t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Площадь проведенного ямочного ремонта, на участках автодорог, на которых отсутствует необходимость замены дорожного покрытия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</w:r>
            <w:r>
              <w:rPr>
                <w:szCs w:val="23"/>
              </w:rPr>
            </w:r>
          </w:p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кв. м</w:t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</w:r>
            <w:r>
              <w:rPr>
                <w:szCs w:val="23"/>
              </w:rPr>
            </w:r>
          </w:p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880</w:t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Не менее 1000</w:t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Не менее 1000</w:t>
            </w:r>
            <w:r>
              <w:rPr>
                <w:szCs w:val="23"/>
              </w:rPr>
            </w:r>
          </w:p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«НДС»;</w:t>
            </w:r>
            <w:r/>
          </w:p>
          <w:p>
            <w:pPr>
              <w:jc w:val="center"/>
              <w:rPr>
                <w:lang w:val="en-US"/>
              </w:rPr>
            </w:pPr>
            <w:r>
              <w:t xml:space="preserve">МБУ «ДЭСП»</w:t>
            </w:r>
            <w:r>
              <w:t xml:space="preserve"> </w:t>
            </w:r>
            <w:r>
              <w:rPr>
                <w:lang w:val="en-US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1.</w:t>
            </w:r>
            <w:r>
              <w:rPr>
                <w:szCs w:val="23"/>
              </w:rPr>
              <w:t xml:space="preserve">5</w:t>
            </w:r>
            <w:r>
              <w:rPr>
                <w:szCs w:val="23"/>
              </w:rPr>
              <w:t xml:space="preserve">.</w:t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Выполнение работ по нанесению дорожной разметки на дорогах общего пользования местного значения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2023</w:t>
            </w:r>
            <w:r>
              <w:rPr>
                <w:szCs w:val="23"/>
              </w:rPr>
              <w:t xml:space="preserve">-2025</w:t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Протяженность дорожной разметки на дорогах общего пользования местного значения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</w:r>
            <w:r>
              <w:rPr>
                <w:szCs w:val="23"/>
              </w:rPr>
            </w:r>
          </w:p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км</w:t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</w:r>
            <w:r>
              <w:rPr>
                <w:szCs w:val="23"/>
              </w:rPr>
            </w:r>
          </w:p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29,2</w:t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Не менее 17</w:t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Не менее 17</w:t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«НДС»;</w:t>
            </w:r>
            <w:r/>
          </w:p>
          <w:p>
            <w:pPr>
              <w:jc w:val="center"/>
            </w:pPr>
            <w:r>
              <w:t xml:space="preserve">МБУ «ДЭСП»».</w:t>
            </w:r>
            <w:r/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</w:pPr>
      <w:r>
        <w:t xml:space="preserve">Ганоченко</w:t>
      </w:r>
      <w:r>
        <w:t xml:space="preserve"> Д.Ю.,</w:t>
      </w:r>
      <w:r>
        <w:t xml:space="preserve"> </w:t>
      </w:r>
      <w:r>
        <w:t xml:space="preserve">51291</w:t>
      </w:r>
      <w:r/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rPr>
        <w:rStyle w:val="763"/>
      </w:rPr>
      <w:framePr w:wrap="around" w:vAnchor="text" w:hAnchor="margin" w:xAlign="center" w:y="1"/>
    </w:pPr>
    <w:r/>
    <w:r>
      <w:rPr>
        <w:rStyle w:val="763"/>
      </w:rPr>
    </w:r>
  </w:p>
  <w:p>
    <w:pPr>
      <w:pStyle w:val="76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rPr>
        <w:rStyle w:val="763"/>
      </w:rPr>
      <w:framePr w:wrap="around" w:vAnchor="text" w:hAnchor="margin" w:xAlign="center" w:y="1"/>
    </w:pPr>
    <w:r>
      <w:rPr>
        <w:rStyle w:val="763"/>
      </w:rPr>
      <w:fldChar w:fldCharType="begin"/>
    </w:r>
    <w:r>
      <w:rPr>
        <w:rStyle w:val="763"/>
      </w:rPr>
      <w:instrText xml:space="preserve">PAGE  </w:instrText>
    </w:r>
    <w:r>
      <w:rPr>
        <w:rStyle w:val="763"/>
      </w:rPr>
      <w:fldChar w:fldCharType="end"/>
    </w:r>
    <w:r>
      <w:rPr>
        <w:rStyle w:val="763"/>
      </w:rPr>
    </w:r>
  </w:p>
  <w:p>
    <w:pPr>
      <w:pStyle w:val="76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5">
    <w:multiLevelType w:val="hybridMultilevel"/>
    <w:lvl w:ilvl="0">
      <w:start w:val="2025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1"/>
  </w:num>
  <w:num w:numId="4">
    <w:abstractNumId w:val="25"/>
  </w:num>
  <w:num w:numId="5">
    <w:abstractNumId w:val="19"/>
  </w:num>
  <w:num w:numId="6">
    <w:abstractNumId w:val="8"/>
  </w:num>
  <w:num w:numId="7">
    <w:abstractNumId w:val="29"/>
  </w:num>
  <w:num w:numId="8">
    <w:abstractNumId w:val="20"/>
  </w:num>
  <w:num w:numId="9">
    <w:abstractNumId w:val="30"/>
  </w:num>
  <w:num w:numId="10">
    <w:abstractNumId w:val="3"/>
  </w:num>
  <w:num w:numId="11">
    <w:abstractNumId w:val="21"/>
  </w:num>
  <w:num w:numId="12">
    <w:abstractNumId w:val="22"/>
  </w:num>
  <w:num w:numId="13">
    <w:abstractNumId w:val="7"/>
  </w:num>
  <w:num w:numId="14">
    <w:abstractNumId w:val="4"/>
  </w:num>
  <w:num w:numId="15">
    <w:abstractNumId w:val="24"/>
  </w:num>
  <w:num w:numId="16">
    <w:abstractNumId w:val="27"/>
  </w:num>
  <w:num w:numId="17">
    <w:abstractNumId w:val="26"/>
  </w:num>
  <w:num w:numId="18">
    <w:abstractNumId w:val="23"/>
  </w:num>
  <w:num w:numId="19">
    <w:abstractNumId w:val="5"/>
  </w:num>
  <w:num w:numId="20">
    <w:abstractNumId w:val="16"/>
  </w:num>
  <w:num w:numId="21">
    <w:abstractNumId w:val="6"/>
  </w:num>
  <w:num w:numId="22">
    <w:abstractNumId w:val="28"/>
  </w:num>
  <w:num w:numId="23">
    <w:abstractNumId w:val="2"/>
  </w:num>
  <w:num w:numId="24">
    <w:abstractNumId w:val="9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4"/>
  </w:num>
  <w:num w:numId="30">
    <w:abstractNumId w:val="12"/>
  </w:num>
  <w:num w:numId="31">
    <w:abstractNumId w:val="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50"/>
    <w:link w:val="74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50"/>
    <w:link w:val="749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47"/>
    <w:next w:val="74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50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47"/>
    <w:next w:val="74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50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47"/>
    <w:next w:val="74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50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47"/>
    <w:next w:val="74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50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47"/>
    <w:next w:val="74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50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47"/>
    <w:next w:val="74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50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47"/>
    <w:next w:val="74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50"/>
    <w:link w:val="29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50"/>
    <w:link w:val="779"/>
    <w:uiPriority w:val="10"/>
    <w:rPr>
      <w:sz w:val="48"/>
      <w:szCs w:val="48"/>
    </w:rPr>
  </w:style>
  <w:style w:type="paragraph" w:styleId="36">
    <w:name w:val="Subtitle"/>
    <w:basedOn w:val="747"/>
    <w:next w:val="74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50"/>
    <w:link w:val="36"/>
    <w:uiPriority w:val="11"/>
    <w:rPr>
      <w:sz w:val="24"/>
      <w:szCs w:val="24"/>
    </w:rPr>
  </w:style>
  <w:style w:type="paragraph" w:styleId="38">
    <w:name w:val="Quote"/>
    <w:basedOn w:val="747"/>
    <w:next w:val="74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47"/>
    <w:next w:val="74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50"/>
    <w:link w:val="764"/>
    <w:uiPriority w:val="99"/>
  </w:style>
  <w:style w:type="character" w:styleId="45">
    <w:name w:val="Footer Char"/>
    <w:basedOn w:val="750"/>
    <w:link w:val="761"/>
    <w:uiPriority w:val="99"/>
  </w:style>
  <w:style w:type="paragraph" w:styleId="46">
    <w:name w:val="Caption"/>
    <w:basedOn w:val="747"/>
    <w:next w:val="7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61"/>
    <w:uiPriority w:val="99"/>
  </w:style>
  <w:style w:type="table" w:styleId="49">
    <w:name w:val="Table Grid Light"/>
    <w:basedOn w:val="7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4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50"/>
    <w:uiPriority w:val="99"/>
    <w:unhideWhenUsed/>
    <w:rPr>
      <w:vertAlign w:val="superscript"/>
    </w:rPr>
  </w:style>
  <w:style w:type="paragraph" w:styleId="178">
    <w:name w:val="endnote text"/>
    <w:basedOn w:val="74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50"/>
    <w:uiPriority w:val="99"/>
    <w:semiHidden/>
    <w:unhideWhenUsed/>
    <w:rPr>
      <w:vertAlign w:val="superscript"/>
    </w:rPr>
  </w:style>
  <w:style w:type="paragraph" w:styleId="181">
    <w:name w:val="toc 1"/>
    <w:basedOn w:val="747"/>
    <w:next w:val="74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47"/>
    <w:next w:val="74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47"/>
    <w:next w:val="74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47"/>
    <w:next w:val="74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47"/>
    <w:next w:val="74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47"/>
    <w:next w:val="74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47"/>
    <w:next w:val="74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47"/>
    <w:next w:val="74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47"/>
    <w:next w:val="74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47"/>
    <w:next w:val="747"/>
    <w:uiPriority w:val="99"/>
    <w:unhideWhenUsed/>
    <w:pPr>
      <w:spacing w:after="0" w:afterAutospacing="0"/>
    </w:pPr>
  </w:style>
  <w:style w:type="paragraph" w:styleId="747" w:default="1">
    <w:name w:val="Normal"/>
    <w:qFormat/>
  </w:style>
  <w:style w:type="paragraph" w:styleId="748">
    <w:name w:val="Heading 1"/>
    <w:basedOn w:val="747"/>
    <w:next w:val="747"/>
    <w:qFormat/>
    <w:pPr>
      <w:jc w:val="center"/>
      <w:keepNext/>
      <w:outlineLvl w:val="0"/>
    </w:pPr>
    <w:rPr>
      <w:sz w:val="24"/>
    </w:rPr>
  </w:style>
  <w:style w:type="paragraph" w:styleId="749">
    <w:name w:val="Heading 2"/>
    <w:basedOn w:val="747"/>
    <w:next w:val="747"/>
    <w:link w:val="759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750" w:default="1">
    <w:name w:val="Default Paragraph Font"/>
    <w:uiPriority w:val="1"/>
    <w:semiHidden/>
    <w:unhideWhenUsed/>
  </w:style>
  <w:style w:type="table" w:styleId="7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2" w:default="1">
    <w:name w:val="No List"/>
    <w:uiPriority w:val="99"/>
    <w:semiHidden/>
    <w:unhideWhenUsed/>
  </w:style>
  <w:style w:type="paragraph" w:styleId="753">
    <w:name w:val="Body Text"/>
    <w:basedOn w:val="747"/>
    <w:pPr>
      <w:jc w:val="both"/>
    </w:pPr>
    <w:rPr>
      <w:sz w:val="24"/>
      <w:szCs w:val="24"/>
    </w:rPr>
  </w:style>
  <w:style w:type="paragraph" w:styleId="754">
    <w:name w:val="Body Text Indent"/>
    <w:basedOn w:val="747"/>
    <w:link w:val="778"/>
    <w:uiPriority w:val="99"/>
    <w:pPr>
      <w:ind w:left="283"/>
      <w:spacing w:after="120"/>
    </w:pPr>
  </w:style>
  <w:style w:type="paragraph" w:styleId="755">
    <w:name w:val="Body Text 2"/>
    <w:basedOn w:val="747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756">
    <w:name w:val="Body Text Indent 2"/>
    <w:basedOn w:val="747"/>
    <w:link w:val="786"/>
    <w:pPr>
      <w:ind w:firstLine="709"/>
      <w:jc w:val="both"/>
    </w:pPr>
    <w:rPr>
      <w:bCs/>
      <w:sz w:val="26"/>
      <w:szCs w:val="26"/>
    </w:rPr>
  </w:style>
  <w:style w:type="paragraph" w:styleId="757">
    <w:name w:val="Body Text Indent 3"/>
    <w:basedOn w:val="747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758" w:customStyle="1">
    <w:name w:val="Знак Знак2"/>
    <w:basedOn w:val="74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759" w:customStyle="1">
    <w:name w:val="Заголовок 2 Знак"/>
    <w:link w:val="749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760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761">
    <w:name w:val="Footer"/>
    <w:basedOn w:val="747"/>
    <w:link w:val="76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2" w:customStyle="1">
    <w:name w:val="Нижний колонтитул Знак"/>
    <w:link w:val="761"/>
    <w:uiPriority w:val="99"/>
    <w:rPr>
      <w:rFonts w:ascii="Arial" w:hAnsi="Arial" w:cs="Arial"/>
    </w:rPr>
  </w:style>
  <w:style w:type="character" w:styleId="763">
    <w:name w:val="page number"/>
    <w:uiPriority w:val="99"/>
  </w:style>
  <w:style w:type="paragraph" w:styleId="764">
    <w:name w:val="Header"/>
    <w:basedOn w:val="747"/>
    <w:link w:val="765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5" w:customStyle="1">
    <w:name w:val="Верхний колонтитул Знак"/>
    <w:link w:val="764"/>
    <w:uiPriority w:val="99"/>
    <w:rPr>
      <w:rFonts w:ascii="Arial" w:hAnsi="Arial" w:cs="Arial"/>
    </w:rPr>
  </w:style>
  <w:style w:type="paragraph" w:styleId="766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767">
    <w:name w:val="Table Grid"/>
    <w:basedOn w:val="75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68">
    <w:name w:val="Balloon Text"/>
    <w:basedOn w:val="747"/>
    <w:link w:val="769"/>
    <w:uiPriority w:val="99"/>
    <w:rPr>
      <w:rFonts w:ascii="Arial" w:hAnsi="Arial" w:cs="Arial"/>
      <w:sz w:val="16"/>
      <w:szCs w:val="16"/>
    </w:rPr>
  </w:style>
  <w:style w:type="character" w:styleId="769" w:customStyle="1">
    <w:name w:val="Текст выноски Знак"/>
    <w:link w:val="768"/>
    <w:uiPriority w:val="99"/>
    <w:rPr>
      <w:rFonts w:ascii="Arial" w:hAnsi="Arial" w:cs="Arial"/>
      <w:sz w:val="16"/>
      <w:szCs w:val="16"/>
    </w:rPr>
  </w:style>
  <w:style w:type="paragraph" w:styleId="770">
    <w:name w:val="List Paragraph"/>
    <w:basedOn w:val="747"/>
    <w:link w:val="771"/>
    <w:uiPriority w:val="3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771" w:customStyle="1">
    <w:name w:val="Абзац списка Знак"/>
    <w:link w:val="770"/>
    <w:uiPriority w:val="34"/>
    <w:rPr>
      <w:rFonts w:ascii="Calibri" w:hAnsi="Calibri" w:eastAsia="Calibri" w:cs="Calibri"/>
      <w:sz w:val="22"/>
      <w:szCs w:val="22"/>
      <w:lang w:eastAsia="en-US"/>
    </w:rPr>
  </w:style>
  <w:style w:type="paragraph" w:styleId="772" w:customStyle="1">
    <w:name w:val="Абзац списка1"/>
    <w:basedOn w:val="747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773">
    <w:name w:val="Hyperlink"/>
    <w:rPr>
      <w:color w:val="0000ff"/>
      <w:u w:val="single"/>
    </w:rPr>
  </w:style>
  <w:style w:type="paragraph" w:styleId="774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775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776">
    <w:name w:val="Body Text 3"/>
    <w:basedOn w:val="747"/>
    <w:link w:val="777"/>
    <w:uiPriority w:val="99"/>
    <w:pPr>
      <w:spacing w:after="120"/>
    </w:pPr>
    <w:rPr>
      <w:sz w:val="16"/>
      <w:szCs w:val="16"/>
    </w:rPr>
  </w:style>
  <w:style w:type="character" w:styleId="777" w:customStyle="1">
    <w:name w:val="Основной текст 3 Знак"/>
    <w:basedOn w:val="750"/>
    <w:link w:val="776"/>
    <w:uiPriority w:val="99"/>
    <w:rPr>
      <w:sz w:val="16"/>
      <w:szCs w:val="16"/>
    </w:rPr>
  </w:style>
  <w:style w:type="character" w:styleId="778" w:customStyle="1">
    <w:name w:val="Основной текст с отступом Знак"/>
    <w:link w:val="754"/>
    <w:uiPriority w:val="99"/>
  </w:style>
  <w:style w:type="paragraph" w:styleId="779">
    <w:name w:val="Title"/>
    <w:basedOn w:val="747"/>
    <w:link w:val="780"/>
    <w:uiPriority w:val="99"/>
    <w:qFormat/>
    <w:pPr>
      <w:jc w:val="center"/>
    </w:pPr>
    <w:rPr>
      <w:caps/>
      <w:sz w:val="24"/>
      <w:szCs w:val="24"/>
    </w:rPr>
  </w:style>
  <w:style w:type="character" w:styleId="780" w:customStyle="1">
    <w:name w:val="Название Знак"/>
    <w:basedOn w:val="750"/>
    <w:link w:val="779"/>
    <w:uiPriority w:val="99"/>
    <w:rPr>
      <w:caps/>
      <w:sz w:val="24"/>
      <w:szCs w:val="24"/>
    </w:rPr>
  </w:style>
  <w:style w:type="paragraph" w:styleId="781" w:customStyle="1">
    <w:name w:val="Знак1"/>
    <w:basedOn w:val="747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782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783" w:customStyle="1">
    <w:name w:val="Знак Знак Знак Знак Знак Знак Знак Знак Знак Знак"/>
    <w:basedOn w:val="74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784">
    <w:name w:val="Emphasis"/>
    <w:qFormat/>
    <w:rPr>
      <w:i/>
      <w:iCs/>
    </w:rPr>
  </w:style>
  <w:style w:type="table" w:styleId="785" w:customStyle="1">
    <w:name w:val="Сетка таблицы1"/>
    <w:basedOn w:val="751"/>
    <w:next w:val="76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786" w:customStyle="1">
    <w:name w:val="Основной текст с отступом 2 Знак"/>
    <w:link w:val="756"/>
    <w:rPr>
      <w:bCs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11052-D60B-4656-B8F5-0E8557846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3</cp:revision>
  <dcterms:created xsi:type="dcterms:W3CDTF">2023-12-20T06:16:00Z</dcterms:created>
  <dcterms:modified xsi:type="dcterms:W3CDTF">2024-02-15T13:45:13Z</dcterms:modified>
</cp:coreProperties>
</file>