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2" o:title=""/>
              </v:shape>
            </w:pict>
          </mc:Fallback>
        </mc:AlternateContent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color w:val="000000"/>
          <w:sz w:val="24"/>
        </w:rPr>
      </w:pPr>
      <w:r>
        <w:rPr>
          <w:b/>
          <w:color w:val="000000"/>
          <w:sz w:val="24"/>
        </w:rPr>
        <w:t xml:space="preserve">от </w:t>
      </w:r>
      <w:r>
        <w:rPr>
          <w:b/>
          <w:color w:val="000000"/>
          <w:sz w:val="24"/>
        </w:rPr>
        <w:t xml:space="preserve">28</w:t>
      </w:r>
      <w:r>
        <w:rPr>
          <w:b/>
          <w:color w:val="000000"/>
          <w:sz w:val="24"/>
        </w:rPr>
        <w:t xml:space="preserve">.11.2023</w:t>
      </w:r>
      <w:r>
        <w:rPr>
          <w:b/>
          <w:color w:val="000000"/>
          <w:sz w:val="24"/>
        </w:rPr>
        <w:t xml:space="preserve"> </w:t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 xml:space="preserve"> </w:t>
      </w:r>
      <w:r>
        <w:rPr>
          <w:b/>
          <w:color w:val="000000"/>
          <w:sz w:val="24"/>
        </w:rPr>
        <w:t xml:space="preserve">№ </w:t>
      </w:r>
      <w:r>
        <w:rPr>
          <w:b/>
          <w:color w:val="000000"/>
          <w:sz w:val="24"/>
        </w:rPr>
        <w:t xml:space="preserve">1764</w:t>
      </w:r>
      <w:r>
        <w:rPr>
          <w:b/>
          <w:color w:val="000000"/>
          <w:sz w:val="2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4"/>
        </w:rPr>
        <w:t xml:space="preserve">п.г.т. Никель</w:t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right="-5"/>
        <w:jc w:val="center"/>
        <w:tabs>
          <w:tab w:val="left" w:pos="9900" w:leader="none"/>
        </w:tabs>
        <w:rPr>
          <w:b/>
        </w:rPr>
      </w:pPr>
      <w:r>
        <w:rPr>
          <w:b/>
        </w:rPr>
        <w:t xml:space="preserve">О внесении изменений в </w:t>
      </w:r>
      <w:r>
        <w:rPr>
          <w:b/>
        </w:rPr>
        <w:t xml:space="preserve">муниципальн</w:t>
      </w:r>
      <w:r>
        <w:rPr>
          <w:b/>
        </w:rPr>
        <w:t xml:space="preserve">ую</w:t>
      </w:r>
      <w:r>
        <w:rPr>
          <w:b/>
        </w:rPr>
        <w:t xml:space="preserve"> программ</w:t>
      </w:r>
      <w:r>
        <w:rPr>
          <w:b/>
        </w:rPr>
        <w:t xml:space="preserve">у</w:t>
      </w:r>
      <w:r>
        <w:rPr>
          <w:b/>
        </w:rPr>
        <w:t xml:space="preserve"> Печенгского муниципального округа</w:t>
      </w:r>
      <w:r>
        <w:rPr>
          <w:b/>
        </w:rPr>
        <w:t xml:space="preserve"> </w:t>
      </w:r>
      <w:r>
        <w:rPr>
          <w:b/>
          <w:bCs/>
        </w:rPr>
        <w:t xml:space="preserve">«Энергосбережение и повышение </w:t>
      </w:r>
      <w:r>
        <w:rPr>
          <w:b/>
          <w:bCs/>
        </w:rPr>
        <w:t xml:space="preserve">энергоэф</w:t>
      </w:r>
      <w:r>
        <w:rPr>
          <w:b/>
          <w:bCs/>
        </w:rPr>
        <w:t xml:space="preserve">ф</w:t>
      </w:r>
      <w:r>
        <w:rPr>
          <w:b/>
          <w:bCs/>
        </w:rPr>
        <w:t xml:space="preserve">ективности</w:t>
      </w:r>
      <w:r>
        <w:rPr>
          <w:b/>
          <w:bCs/>
        </w:rPr>
        <w:t xml:space="preserve">» на 2023-2025 годы</w:t>
      </w:r>
      <w:r>
        <w:rPr>
          <w:b/>
        </w:rPr>
        <w:t xml:space="preserve">, утвержденную постановлением администрации Печенгского муниципального округа от </w:t>
      </w:r>
      <w:r>
        <w:rPr>
          <w:b/>
        </w:rPr>
        <w:t xml:space="preserve">03.11.2022</w:t>
      </w:r>
      <w:r>
        <w:rPr>
          <w:b/>
        </w:rPr>
        <w:t xml:space="preserve"> № </w:t>
      </w:r>
      <w:r>
        <w:rPr>
          <w:b/>
        </w:rPr>
        <w:t xml:space="preserve">150</w:t>
      </w:r>
      <w:r>
        <w:rPr>
          <w:b/>
        </w:rPr>
        <w:t xml:space="preserve">6</w:t>
      </w:r>
      <w:r>
        <w:rPr>
          <w:b/>
        </w:rPr>
      </w:r>
    </w:p>
    <w:p>
      <w:pPr>
        <w:ind w:left="34" w:firstLine="675"/>
        <w:jc w:val="center"/>
        <w:rPr>
          <w:szCs w:val="18"/>
        </w:rPr>
      </w:pPr>
      <w:r>
        <w:rPr>
          <w:szCs w:val="18"/>
        </w:rPr>
      </w:r>
      <w:r>
        <w:rPr>
          <w:szCs w:val="18"/>
        </w:rPr>
      </w:r>
    </w:p>
    <w:p>
      <w:pPr>
        <w:ind w:left="34" w:firstLine="675"/>
        <w:jc w:val="center"/>
        <w:rPr>
          <w:szCs w:val="18"/>
        </w:rPr>
      </w:pPr>
      <w:r>
        <w:rPr>
          <w:szCs w:val="18"/>
        </w:rPr>
      </w:r>
      <w:r>
        <w:rPr>
          <w:szCs w:val="18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Руководствуясь статьей 179 Бюдж</w:t>
      </w:r>
      <w:r>
        <w:rPr>
          <w:sz w:val="24"/>
          <w:szCs w:val="24"/>
        </w:rPr>
        <w:t xml:space="preserve">етного кодекса Российской Федерации, Порядком разработки, реализации и оценки эффективности муниципальных программ Печенгского муниципального округа, утвержденным постановлением администрации Печенгского муниципального округа от 16.08.2021 № 838, в целях п</w:t>
      </w:r>
      <w:r>
        <w:rPr>
          <w:color w:val="000000"/>
          <w:sz w:val="24"/>
          <w:szCs w:val="24"/>
        </w:rPr>
        <w:t xml:space="preserve">овышения эффективности использования бюджетных средств</w:t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18"/>
        </w:rPr>
      </w:pPr>
      <w:r>
        <w:rPr>
          <w:sz w:val="24"/>
          <w:szCs w:val="18"/>
        </w:rPr>
      </w:r>
      <w:r>
        <w:rPr>
          <w:sz w:val="24"/>
          <w:szCs w:val="18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</w:p>
    <w:p>
      <w:pPr>
        <w:ind w:right="-5"/>
        <w:jc w:val="both"/>
        <w:widowControl w:val="off"/>
        <w:rPr>
          <w:sz w:val="24"/>
          <w:szCs w:val="18"/>
        </w:rPr>
      </w:pPr>
      <w:r>
        <w:rPr>
          <w:sz w:val="24"/>
          <w:szCs w:val="18"/>
        </w:rPr>
      </w:r>
      <w:r>
        <w:rPr>
          <w:sz w:val="24"/>
          <w:szCs w:val="18"/>
        </w:rPr>
      </w:r>
    </w:p>
    <w:p>
      <w:pPr>
        <w:ind w:right="-5" w:firstLine="709"/>
        <w:jc w:val="both"/>
        <w:tabs>
          <w:tab w:val="left" w:pos="990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Внести в муниципальную программу</w:t>
      </w:r>
      <w:r>
        <w:t xml:space="preserve"> </w:t>
      </w:r>
      <w:r>
        <w:rPr>
          <w:sz w:val="24"/>
          <w:szCs w:val="24"/>
        </w:rPr>
        <w:t xml:space="preserve">Печенгского муниципального округа</w:t>
      </w:r>
      <w:r>
        <w:t xml:space="preserve"> </w:t>
      </w:r>
      <w:r>
        <w:rPr>
          <w:sz w:val="24"/>
          <w:szCs w:val="24"/>
        </w:rPr>
        <w:t xml:space="preserve">«</w:t>
      </w:r>
      <w:r>
        <w:rPr>
          <w:sz w:val="24"/>
          <w:szCs w:val="24"/>
        </w:rPr>
        <w:t xml:space="preserve">Энергосбережение и повышение </w:t>
      </w:r>
      <w:r>
        <w:rPr>
          <w:sz w:val="24"/>
          <w:szCs w:val="24"/>
        </w:rPr>
        <w:t xml:space="preserve">энергоэффективности</w:t>
      </w:r>
      <w:r>
        <w:rPr>
          <w:sz w:val="24"/>
          <w:szCs w:val="24"/>
        </w:rPr>
        <w:t xml:space="preserve">» на 2023-2025 годы</w:t>
      </w:r>
      <w:r>
        <w:rPr>
          <w:sz w:val="24"/>
          <w:szCs w:val="24"/>
        </w:rPr>
        <w:t xml:space="preserve">, </w:t>
      </w:r>
      <w:bookmarkStart w:id="0" w:name="_GoBack"/>
      <w:r>
        <w:rPr>
          <w:sz w:val="24"/>
          <w:szCs w:val="24"/>
        </w:rPr>
        <w:t xml:space="preserve">утвержденную постановлением администрации  Печенгского муниципального округа от </w:t>
      </w:r>
      <w:bookmarkEnd w:id="0"/>
      <w:r>
        <w:rPr>
          <w:sz w:val="24"/>
          <w:szCs w:val="24"/>
        </w:rPr>
        <w:t xml:space="preserve">03.11.2022</w:t>
      </w:r>
      <w:r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150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 (в редакции постановления администрации Печенгского муниципального округа от </w:t>
      </w:r>
      <w:r>
        <w:rPr>
          <w:sz w:val="24"/>
          <w:szCs w:val="24"/>
        </w:rPr>
        <w:t xml:space="preserve">01.03.2023</w:t>
      </w:r>
      <w:r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355</w:t>
      </w:r>
      <w:r>
        <w:rPr>
          <w:sz w:val="24"/>
          <w:szCs w:val="24"/>
        </w:rPr>
        <w:t xml:space="preserve">)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(далее </w:t>
      </w:r>
      <w:r>
        <w:rPr>
          <w:sz w:val="24"/>
          <w:szCs w:val="24"/>
        </w:rPr>
        <w:t xml:space="preserve">–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рограмма)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следующие изменения:</w:t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с</w:t>
      </w:r>
      <w:r>
        <w:rPr>
          <w:sz w:val="24"/>
          <w:szCs w:val="24"/>
        </w:rPr>
        <w:t xml:space="preserve">троку «Финансовое обеспечение программы» в паспорте Программы изложить в  следующей редакции:</w:t>
      </w:r>
      <w:r>
        <w:rPr>
          <w:sz w:val="24"/>
          <w:szCs w:val="24"/>
        </w:rPr>
      </w:r>
    </w:p>
    <w:tbl>
      <w:tblPr>
        <w:tblW w:w="9413" w:type="dxa"/>
        <w:jc w:val="center"/>
        <w:tblInd w:w="-192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056"/>
        <w:gridCol w:w="7357"/>
      </w:tblGrid>
      <w:tr>
        <w:tblPrEx/>
        <w:trPr>
          <w:jc w:val="center"/>
          <w:trHeight w:val="27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56" w:type="dxa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«Финансовое обеспечение программы</w:t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57" w:type="dxa"/>
            <w:textDirection w:val="lrTb"/>
            <w:noWrap w:val="false"/>
          </w:tcPr>
          <w:p>
            <w:pPr>
              <w:pStyle w:val="77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 по программе: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371,0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77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77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ФБ: 0,0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77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77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77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77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ОБ: 0,0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77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77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77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77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371,0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77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71,0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77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 год: 150,0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77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150,0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77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ВБС: 0,0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77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77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2025 год: 0,0 тыс. рублей</w:t>
            </w:r>
            <w:r>
              <w:rPr>
                <w:sz w:val="24"/>
                <w:szCs w:val="24"/>
              </w:rPr>
              <w:t xml:space="preserve">»;</w:t>
            </w:r>
            <w:r>
              <w:rPr>
                <w:sz w:val="24"/>
                <w:szCs w:val="24"/>
              </w:rPr>
            </w:r>
          </w:p>
        </w:tc>
      </w:tr>
    </w:tbl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ab/>
        <w:t xml:space="preserve">- строку 2.7 таблицы </w:t>
      </w:r>
      <w:r>
        <w:rPr>
          <w:sz w:val="24"/>
          <w:szCs w:val="24"/>
        </w:rPr>
        <w:t xml:space="preserve">«Основные показатели эффективности реализации программы»</w:t>
      </w:r>
      <w:r>
        <w:rPr>
          <w:sz w:val="24"/>
          <w:szCs w:val="24"/>
        </w:rPr>
        <w:t xml:space="preserve"> раздела 2. «Основные цели и задачи программы с указанием сроков </w:t>
      </w:r>
      <w:r>
        <w:rPr>
          <w:sz w:val="24"/>
          <w:szCs w:val="24"/>
        </w:rPr>
        <w:t xml:space="preserve">и этапов </w:t>
      </w:r>
      <w:r>
        <w:rPr>
          <w:sz w:val="24"/>
          <w:szCs w:val="24"/>
        </w:rPr>
        <w:t xml:space="preserve">ее реализации, а также перечень основных мероприятий и показателей» изложить в следующей редакции:</w:t>
      </w:r>
      <w:r>
        <w:rPr>
          <w:sz w:val="24"/>
          <w:szCs w:val="24"/>
        </w:rPr>
      </w:r>
    </w:p>
    <w:tbl>
      <w:tblPr>
        <w:tblpPr w:horzAnchor="margin" w:tblpX="119" w:vertAnchor="text" w:tblpY="1" w:leftFromText="181" w:topFromText="0" w:rightFromText="181" w:bottomFromText="0"/>
        <w:tblW w:w="4888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678"/>
        <w:gridCol w:w="2408"/>
        <w:gridCol w:w="709"/>
        <w:gridCol w:w="709"/>
        <w:gridCol w:w="851"/>
        <w:gridCol w:w="853"/>
        <w:gridCol w:w="851"/>
        <w:gridCol w:w="851"/>
        <w:gridCol w:w="1447"/>
      </w:tblGrid>
      <w:tr>
        <w:tblPrEx/>
        <w:trPr>
          <w:trHeight w:val="447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62" w:type="pct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«2.7.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86" w:type="pct"/>
            <w:textDirection w:val="lrTb"/>
            <w:noWrap w:val="false"/>
          </w:tcPr>
          <w:p>
            <w:pPr>
              <w:pStyle w:val="756"/>
              <w:ind w:left="34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Количество жилых помещений, в которых установлены приборы учета энергетических ресурсов</w:t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9" w:type="pct"/>
            <w:textDirection w:val="lrTb"/>
            <w:noWrap w:val="false"/>
          </w:tcPr>
          <w:p>
            <w:pPr>
              <w:jc w:val="center"/>
            </w:pPr>
            <w:r>
              <w:t xml:space="preserve">шт.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9" w:type="pct"/>
            <w:textDirection w:val="lrTb"/>
            <w:noWrap w:val="false"/>
          </w:tcPr>
          <w:p>
            <w:pPr>
              <w:ind w:right="22"/>
              <w:jc w:val="center"/>
              <w:widowControl w:val="off"/>
            </w:pPr>
            <w:r>
              <w:t xml:space="preserve">13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5" w:type="pct"/>
            <w:textDirection w:val="lrTb"/>
            <w:noWrap w:val="false"/>
          </w:tcPr>
          <w:p>
            <w:pPr>
              <w:ind w:right="22"/>
              <w:jc w:val="center"/>
              <w:widowControl w:val="off"/>
            </w:pPr>
            <w:r>
              <w:t xml:space="preserve">не менее</w:t>
            </w:r>
            <w:r/>
          </w:p>
          <w:p>
            <w:pPr>
              <w:ind w:right="22"/>
              <w:jc w:val="center"/>
              <w:widowControl w:val="off"/>
            </w:pPr>
            <w:r>
              <w:t xml:space="preserve">25 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6" w:type="pct"/>
            <w:textDirection w:val="lrTb"/>
            <w:noWrap w:val="false"/>
          </w:tcPr>
          <w:p>
            <w:pPr>
              <w:jc w:val="center"/>
            </w:pPr>
            <w:r>
              <w:t xml:space="preserve">не менее </w:t>
            </w:r>
            <w:r>
              <w:t xml:space="preserve">17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5" w:type="pct"/>
            <w:textDirection w:val="lrTb"/>
            <w:noWrap w:val="false"/>
          </w:tcPr>
          <w:p>
            <w:pPr>
              <w:jc w:val="center"/>
            </w:pPr>
            <w:r>
              <w:t xml:space="preserve">не менее </w:t>
            </w:r>
            <w:r/>
          </w:p>
          <w:p>
            <w:pPr>
              <w:jc w:val="center"/>
            </w:pPr>
            <w:r>
              <w:t xml:space="preserve">22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5" w:type="pct"/>
            <w:textDirection w:val="lrTb"/>
            <w:noWrap w:val="false"/>
          </w:tcPr>
          <w:p>
            <w:pPr>
              <w:jc w:val="center"/>
            </w:pPr>
            <w:r>
              <w:t xml:space="preserve">не менее</w:t>
            </w:r>
            <w:r/>
          </w:p>
          <w:p>
            <w:pPr>
              <w:jc w:val="center"/>
            </w:pPr>
            <w:r>
              <w:t xml:space="preserve">22 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73" w:type="pct"/>
            <w:textDirection w:val="lrTb"/>
            <w:noWrap w:val="false"/>
          </w:tcPr>
          <w:p>
            <w:pPr>
              <w:ind w:right="22"/>
              <w:jc w:val="center"/>
              <w:widowControl w:val="off"/>
              <w:rPr>
                <w:color w:val="ff0000"/>
              </w:rPr>
            </w:pPr>
            <w:r>
              <w:t xml:space="preserve">Отчет исполнителей программы</w:t>
            </w:r>
            <w:r>
              <w:t xml:space="preserve">»;</w:t>
            </w:r>
            <w:r>
              <w:rPr>
                <w:color w:val="ff0000"/>
              </w:rPr>
            </w:r>
          </w:p>
        </w:tc>
      </w:tr>
    </w:tbl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строки</w:t>
      </w:r>
      <w:r>
        <w:rPr>
          <w:sz w:val="24"/>
          <w:szCs w:val="24"/>
        </w:rPr>
        <w:t xml:space="preserve"> 1.7</w:t>
      </w:r>
      <w:r>
        <w:t xml:space="preserve">, </w:t>
      </w:r>
      <w:r>
        <w:rPr>
          <w:sz w:val="24"/>
          <w:szCs w:val="24"/>
        </w:rPr>
        <w:t xml:space="preserve">«Итого по мероприятию 1» и «Всего по программе» </w:t>
      </w:r>
      <w:r>
        <w:rPr>
          <w:sz w:val="24"/>
          <w:szCs w:val="24"/>
        </w:rPr>
        <w:t xml:space="preserve">Приложения </w:t>
      </w:r>
      <w:r>
        <w:rPr>
          <w:sz w:val="24"/>
          <w:szCs w:val="24"/>
        </w:rPr>
        <w:t xml:space="preserve">1 «Перечень мероприятий программы с объемом финансирования»</w:t>
      </w:r>
      <w:r>
        <w:rPr>
          <w:sz w:val="24"/>
          <w:szCs w:val="24"/>
        </w:rPr>
        <w:t xml:space="preserve"> к Программе изложить в следующей редакции:</w:t>
      </w:r>
      <w:r>
        <w:rPr>
          <w:sz w:val="24"/>
          <w:szCs w:val="24"/>
        </w:rPr>
      </w:r>
    </w:p>
    <w:tbl>
      <w:tblPr>
        <w:tblW w:w="4888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710"/>
        <w:gridCol w:w="2408"/>
        <w:gridCol w:w="711"/>
        <w:gridCol w:w="994"/>
        <w:gridCol w:w="851"/>
        <w:gridCol w:w="851"/>
        <w:gridCol w:w="850"/>
        <w:gridCol w:w="994"/>
        <w:gridCol w:w="988"/>
      </w:tblGrid>
      <w:tr>
        <w:tblPrEx/>
        <w:trPr>
          <w:trHeight w:val="65"/>
        </w:trPr>
        <w:tc>
          <w:tcPr>
            <w:shd w:val="clear" w:color="auto" w:fill="auto"/>
            <w:tcW w:w="379" w:type="pct"/>
            <w:vMerge w:val="restart"/>
            <w:textDirection w:val="lrTb"/>
            <w:noWrap w:val="false"/>
          </w:tcPr>
          <w:p>
            <w:pPr>
              <w:jc w:val="center"/>
              <w:spacing w:line="480" w:lineRule="auto"/>
            </w:pPr>
            <w:r>
              <w:t xml:space="preserve">«</w:t>
            </w:r>
            <w:r>
              <w:t xml:space="preserve">1.7.</w:t>
            </w:r>
            <w:r/>
          </w:p>
        </w:tc>
        <w:tc>
          <w:tcPr>
            <w:shd w:val="clear" w:color="auto" w:fill="auto"/>
            <w:tcW w:w="1287" w:type="pct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Возмещение затрат гражданам, проживающим в муниципальных жилых помещениях, на установку индивидуальных приборов учёта энергетических ресурсов</w:t>
            </w:r>
            <w:r/>
          </w:p>
        </w:tc>
        <w:tc>
          <w:tcPr>
            <w:shd w:val="clear" w:color="auto" w:fill="auto"/>
            <w:tcW w:w="379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2023-2025</w:t>
            </w:r>
            <w:r/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28" w:type="pct"/>
            <w:vMerge w:val="restart"/>
            <w:textDirection w:val="lrTb"/>
            <w:noWrap w:val="false"/>
          </w:tcPr>
          <w:p>
            <w:pPr>
              <w:ind w:right="22"/>
              <w:jc w:val="center"/>
              <w:widowControl w:val="off"/>
              <w:rPr>
                <w:color w:val="ff0000"/>
              </w:rPr>
            </w:pPr>
            <w:r>
              <w:t xml:space="preserve">ОС и ЖКХ</w:t>
            </w:r>
            <w:r>
              <w:t xml:space="preserve">, МБУ «ДЭСП»</w:t>
            </w:r>
            <w:r>
              <w:rPr>
                <w:color w:val="ff0000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28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2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28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371,0</w:t>
            </w:r>
            <w:r/>
          </w:p>
        </w:tc>
        <w:tc>
          <w:tcPr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71,0</w:t>
            </w:r>
            <w:r/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150,0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150,0</w:t>
            </w:r>
            <w:r/>
          </w:p>
        </w:tc>
        <w:tc>
          <w:tcPr>
            <w:shd w:val="clear" w:color="auto" w:fill="auto"/>
            <w:tcW w:w="52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28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2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33"/>
        </w:trPr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28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ind w:right="22"/>
              <w:jc w:val="center"/>
              <w:widowControl w:val="off"/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ind w:right="22"/>
              <w:jc w:val="center"/>
              <w:widowControl w:val="off"/>
              <w:rPr>
                <w:b/>
              </w:rPr>
            </w:pPr>
            <w:r>
              <w:rPr>
                <w:b/>
              </w:rPr>
              <w:t xml:space="preserve">37</w:t>
            </w:r>
            <w:r>
              <w:rPr>
                <w:b/>
              </w:rPr>
              <w:t xml:space="preserve">1,0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ind w:right="22"/>
              <w:jc w:val="center"/>
              <w:widowControl w:val="off"/>
              <w:rPr>
                <w:b/>
              </w:rPr>
            </w:pPr>
            <w:r>
              <w:rPr>
                <w:b/>
              </w:rPr>
              <w:t xml:space="preserve">71,0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ind w:right="22"/>
              <w:jc w:val="center"/>
              <w:widowControl w:val="off"/>
              <w:rPr>
                <w:b/>
              </w:rPr>
            </w:pPr>
            <w:r>
              <w:rPr>
                <w:b/>
              </w:rPr>
              <w:t xml:space="preserve">150,0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ind w:right="22"/>
              <w:jc w:val="center"/>
              <w:widowControl w:val="off"/>
              <w:rPr>
                <w:b/>
              </w:rPr>
            </w:pPr>
            <w:r>
              <w:rPr>
                <w:b/>
              </w:rPr>
              <w:t xml:space="preserve">150,0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2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046" w:type="pct"/>
            <w:vMerge w:val="restar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Итого по мероприятию 1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ФБ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28" w:type="pct"/>
            <w:vMerge w:val="restart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046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ОБ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28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29"/>
        </w:trPr>
        <w:tc>
          <w:tcPr>
            <w:gridSpan w:val="3"/>
            <w:shd w:val="clear" w:color="auto" w:fill="auto"/>
            <w:tcW w:w="2046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МБ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371,0</w:t>
            </w:r>
            <w:r/>
          </w:p>
        </w:tc>
        <w:tc>
          <w:tcPr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71,0</w:t>
            </w:r>
            <w:r/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150,0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150,0</w:t>
            </w:r>
            <w:r/>
          </w:p>
        </w:tc>
        <w:tc>
          <w:tcPr>
            <w:shd w:val="clear" w:color="auto" w:fill="auto"/>
            <w:tcW w:w="528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046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ВБС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28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046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ind w:right="22"/>
              <w:jc w:val="center"/>
              <w:widowControl w:val="off"/>
              <w:rPr>
                <w:b/>
              </w:rPr>
            </w:pPr>
            <w:r>
              <w:rPr>
                <w:b/>
              </w:rPr>
              <w:t xml:space="preserve">371,0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ind w:right="22"/>
              <w:jc w:val="center"/>
              <w:widowControl w:val="off"/>
              <w:rPr>
                <w:b/>
              </w:rPr>
            </w:pPr>
            <w:r>
              <w:rPr>
                <w:b/>
              </w:rPr>
              <w:t xml:space="preserve">71,0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ind w:right="22"/>
              <w:jc w:val="center"/>
              <w:widowControl w:val="off"/>
              <w:rPr>
                <w:b/>
              </w:rPr>
            </w:pPr>
            <w:r>
              <w:rPr>
                <w:b/>
              </w:rPr>
              <w:t xml:space="preserve">150,0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ind w:right="22"/>
              <w:jc w:val="center"/>
              <w:widowControl w:val="off"/>
              <w:rPr>
                <w:b/>
              </w:rPr>
            </w:pPr>
            <w:r>
              <w:rPr>
                <w:b/>
              </w:rPr>
              <w:t xml:space="preserve">150,0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28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046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Всего по программе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ФБ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28" w:type="pct"/>
            <w:vMerge w:val="restart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046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ОБ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28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91"/>
        </w:trPr>
        <w:tc>
          <w:tcPr>
            <w:gridSpan w:val="3"/>
            <w:shd w:val="clear" w:color="auto" w:fill="auto"/>
            <w:tcW w:w="2046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МБ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371,0</w:t>
            </w:r>
            <w:r/>
          </w:p>
        </w:tc>
        <w:tc>
          <w:tcPr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71,0</w:t>
            </w:r>
            <w:r/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150,0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150,0</w:t>
            </w:r>
            <w:r/>
          </w:p>
        </w:tc>
        <w:tc>
          <w:tcPr>
            <w:shd w:val="clear" w:color="auto" w:fill="auto"/>
            <w:tcW w:w="528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046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ВБС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28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046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ind w:right="22"/>
              <w:jc w:val="center"/>
              <w:widowControl w:val="off"/>
              <w:rPr>
                <w:b/>
              </w:rPr>
            </w:pPr>
            <w:r>
              <w:rPr>
                <w:b/>
              </w:rPr>
              <w:t xml:space="preserve">371,0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ind w:right="22"/>
              <w:jc w:val="center"/>
              <w:widowControl w:val="off"/>
              <w:rPr>
                <w:b/>
              </w:rPr>
            </w:pPr>
            <w:r>
              <w:rPr>
                <w:b/>
              </w:rPr>
              <w:t xml:space="preserve">71,0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ind w:right="22"/>
              <w:jc w:val="center"/>
              <w:widowControl w:val="off"/>
              <w:rPr>
                <w:b/>
              </w:rPr>
            </w:pPr>
            <w:r>
              <w:rPr>
                <w:b/>
              </w:rPr>
              <w:t xml:space="preserve">150,0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ind w:right="22"/>
              <w:jc w:val="center"/>
              <w:widowControl w:val="off"/>
              <w:rPr>
                <w:b/>
              </w:rPr>
            </w:pPr>
            <w:r>
              <w:rPr>
                <w:b/>
              </w:rPr>
              <w:t xml:space="preserve">150,0»;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28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</w:tbl>
    <w:p>
      <w:pPr>
        <w:ind w:left="142" w:firstLine="566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142" w:firstLine="56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строку </w:t>
      </w:r>
      <w:r>
        <w:rPr>
          <w:sz w:val="24"/>
          <w:szCs w:val="24"/>
        </w:rPr>
        <w:t xml:space="preserve">1.7</w:t>
      </w:r>
      <w:r>
        <w:rPr>
          <w:sz w:val="24"/>
          <w:szCs w:val="24"/>
        </w:rPr>
        <w:t xml:space="preserve"> Прил</w:t>
      </w:r>
      <w:r>
        <w:rPr>
          <w:sz w:val="24"/>
          <w:szCs w:val="24"/>
        </w:rPr>
        <w:t xml:space="preserve">ожения 2 «Перечень мероприятий </w:t>
      </w:r>
      <w:r>
        <w:rPr>
          <w:sz w:val="24"/>
          <w:szCs w:val="24"/>
        </w:rPr>
        <w:t xml:space="preserve">программы с показателями результативности выполнения мероприятий</w:t>
      </w:r>
      <w:r>
        <w:rPr>
          <w:sz w:val="24"/>
          <w:szCs w:val="24"/>
        </w:rPr>
        <w:t xml:space="preserve">»</w:t>
      </w:r>
      <w:r>
        <w:rPr>
          <w:sz w:val="24"/>
          <w:szCs w:val="24"/>
        </w:rPr>
        <w:t xml:space="preserve"> к 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рограмме изложить в следующей редакции:</w:t>
      </w:r>
      <w:r>
        <w:rPr>
          <w:sz w:val="24"/>
          <w:szCs w:val="24"/>
        </w:rPr>
      </w:r>
    </w:p>
    <w:tbl>
      <w:tblPr>
        <w:tblW w:w="9356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268"/>
        <w:gridCol w:w="709"/>
        <w:gridCol w:w="1417"/>
        <w:gridCol w:w="709"/>
        <w:gridCol w:w="851"/>
        <w:gridCol w:w="850"/>
        <w:gridCol w:w="851"/>
        <w:gridCol w:w="992"/>
      </w:tblGrid>
      <w:tr>
        <w:tblPrEx/>
        <w:trPr>
          <w:trHeight w:val="222"/>
        </w:trPr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  <w:spacing w:line="480" w:lineRule="auto"/>
            </w:pPr>
            <w:r>
              <w:t xml:space="preserve">«</w:t>
            </w:r>
            <w:r>
              <w:t xml:space="preserve">1.7.</w:t>
            </w:r>
            <w:r/>
          </w:p>
        </w:tc>
        <w:tc>
          <w:tcPr>
            <w:shd w:val="clear" w:color="auto" w:fill="auto"/>
            <w:tcW w:w="2268" w:type="dxa"/>
            <w:textDirection w:val="lrTb"/>
            <w:noWrap w:val="false"/>
          </w:tcPr>
          <w:p>
            <w:pPr>
              <w:jc w:val="both"/>
            </w:pPr>
            <w:r>
              <w:t xml:space="preserve">Возмещение затрат гражданам, проживающим в муниципальных жилых помещениях, на установку индивидуальных приборов учёта энергетических ресурсов</w:t>
            </w:r>
            <w:r/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</w:pPr>
            <w:r>
              <w:t xml:space="preserve">2023-2025</w:t>
            </w:r>
            <w:r/>
          </w:p>
        </w:tc>
        <w:tc>
          <w:tcPr>
            <w:shd w:val="clear" w:color="auto" w:fill="auto"/>
            <w:tcW w:w="1417" w:type="dxa"/>
            <w:textDirection w:val="lrTb"/>
            <w:noWrap w:val="false"/>
          </w:tcPr>
          <w:p>
            <w:pPr>
              <w:jc w:val="both"/>
            </w:pPr>
            <w:r>
              <w:t xml:space="preserve">Количество жилых помещений, в которых установлены приборы учёта энергетических ресурсов</w:t>
            </w:r>
            <w:r/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</w:pPr>
            <w:r>
              <w:t xml:space="preserve">шт.</w:t>
            </w:r>
            <w:r/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</w:t>
            </w:r>
            <w:r>
              <w:t xml:space="preserve">17</w:t>
            </w:r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22</w:t>
            </w:r>
            <w:r/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22</w:t>
            </w:r>
            <w:r/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ind w:right="22"/>
              <w:jc w:val="center"/>
              <w:widowControl w:val="off"/>
              <w:rPr>
                <w:color w:val="ff0000"/>
              </w:rPr>
            </w:pPr>
            <w:r>
              <w:t xml:space="preserve">ОС и ЖКХ</w:t>
            </w:r>
            <w:r>
              <w:t xml:space="preserve">», </w:t>
            </w:r>
            <w:r>
              <w:t xml:space="preserve">МБУ «ДЭСП»</w:t>
            </w:r>
            <w:r>
              <w:t xml:space="preserve">».</w:t>
            </w:r>
            <w:r>
              <w:rPr>
                <w:color w:val="ff0000"/>
              </w:rPr>
            </w:r>
          </w:p>
        </w:tc>
      </w:tr>
    </w:tbl>
    <w:p>
      <w:pPr>
        <w:ind w:left="142" w:right="-371" w:firstLine="566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tabs>
          <w:tab w:val="left" w:pos="0" w:leader="none"/>
          <w:tab w:val="left" w:pos="993" w:leader="none"/>
          <w:tab w:val="left" w:pos="1276" w:leader="none"/>
        </w:tabs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2. Настоящее постановление вступает в силу после его подписания.</w:t>
      </w:r>
      <w:r>
        <w:rPr>
          <w:rFonts w:eastAsia="Calibri"/>
          <w:sz w:val="24"/>
          <w:szCs w:val="24"/>
          <w:lang w:eastAsia="en-US"/>
        </w:rPr>
      </w:r>
    </w:p>
    <w:p>
      <w:pPr>
        <w:ind w:firstLine="709"/>
        <w:jc w:val="both"/>
        <w:widowControl w:val="off"/>
        <w:tabs>
          <w:tab w:val="left" w:pos="0" w:leader="none"/>
          <w:tab w:val="left" w:pos="993" w:leader="none"/>
          <w:tab w:val="left" w:pos="1276" w:leader="none"/>
        </w:tabs>
        <w:rPr>
          <w:rFonts w:eastAsia="Lucida Sans Unicode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3. Настоящее постановление опубликовать в официальном издании газета «Печенга» и разместить на сайте Печенгского муниципального округа в сети Интернет.</w:t>
      </w:r>
      <w:r>
        <w:rPr>
          <w:sz w:val="24"/>
          <w:szCs w:val="24"/>
          <w:lang w:eastAsia="en-US"/>
        </w:rPr>
        <w:t xml:space="preserve"> </w:t>
      </w:r>
      <w:r>
        <w:rPr>
          <w:rFonts w:eastAsia="Lucida Sans Unicode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Глава Печенгского муниципального округа                       </w:t>
      </w:r>
      <w:r>
        <w:rPr>
          <w:rFonts w:eastAsia="Calibri"/>
          <w:sz w:val="24"/>
          <w:szCs w:val="24"/>
          <w:lang w:eastAsia="en-US"/>
        </w:rPr>
        <w:t xml:space="preserve">      </w:t>
      </w:r>
      <w:r>
        <w:rPr>
          <w:rFonts w:eastAsia="Calibri"/>
          <w:sz w:val="24"/>
          <w:szCs w:val="24"/>
          <w:lang w:eastAsia="en-US"/>
        </w:rPr>
        <w:t xml:space="preserve">                           А.В. Кузнецов </w:t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rPr>
          <w:sz w:val="22"/>
          <w:szCs w:val="24"/>
        </w:rPr>
      </w:pPr>
      <w:r>
        <w:rPr>
          <w:sz w:val="22"/>
          <w:szCs w:val="24"/>
        </w:rPr>
      </w:r>
      <w:r>
        <w:rPr>
          <w:sz w:val="22"/>
          <w:szCs w:val="24"/>
        </w:rPr>
      </w:r>
    </w:p>
    <w:p>
      <w:pPr>
        <w:ind w:right="-5"/>
        <w:jc w:val="both"/>
      </w:pPr>
      <w:r/>
      <w:r/>
    </w:p>
    <w:p>
      <w:pPr>
        <w:ind w:right="-5"/>
        <w:jc w:val="both"/>
      </w:pPr>
      <w:r>
        <w:t xml:space="preserve">Ганоченко</w:t>
      </w:r>
      <w:r>
        <w:t xml:space="preserve"> Д.Ю., 51291</w:t>
      </w:r>
      <w:r/>
    </w:p>
    <w:p>
      <w:pPr>
        <w:jc w:val="center"/>
        <w:widowControl w:val="off"/>
        <w:rPr>
          <w:rFonts w:eastAsia="Calibri"/>
          <w:b/>
          <w:color w:val="000000"/>
          <w:sz w:val="24"/>
          <w:szCs w:val="24"/>
        </w:rPr>
      </w:pPr>
      <w:r>
        <w:rPr>
          <w:rFonts w:eastAsia="Calibri"/>
          <w:b/>
          <w:color w:val="000000"/>
          <w:sz w:val="24"/>
          <w:szCs w:val="24"/>
        </w:rPr>
      </w:r>
      <w:r>
        <w:rPr>
          <w:rFonts w:eastAsia="Calibri"/>
          <w:b/>
          <w:color w:val="000000"/>
          <w:sz w:val="24"/>
          <w:szCs w:val="24"/>
        </w:rPr>
      </w:r>
    </w:p>
    <w:p>
      <w:pPr>
        <w:ind w:left="9639"/>
        <w:jc w:val="right"/>
        <w:tabs>
          <w:tab w:val="left" w:pos="993" w:leader="none"/>
        </w:tabs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</w:p>
    <w:sectPr>
      <w:headerReference w:type="default" r:id="rId9"/>
      <w:headerReference w:type="even" r:id="rId10"/>
      <w:footnotePr/>
      <w:endnotePr/>
      <w:type w:val="nextPage"/>
      <w:pgSz w:w="11906" w:h="16838" w:orient="portrait"/>
      <w:pgMar w:top="567" w:right="851" w:bottom="567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Symbol">
    <w:panose1 w:val="05050102010706020507"/>
  </w:font>
  <w:font w:name="Courier New">
    <w:panose1 w:val="02070309020205020404"/>
  </w:font>
  <w:font w:name="Tahoma">
    <w:panose1 w:val="020B0604030504040204"/>
  </w:font>
  <w:font w:name="Calibri">
    <w:panose1 w:val="020F0502020204030204"/>
  </w:font>
  <w:font w:name="Times New Roman">
    <w:panose1 w:val="02020603050405020304"/>
  </w:font>
  <w:font w:name="Lucida Sans Unicode">
    <w:panose1 w:val="020B0602030504020204"/>
  </w:font>
  <w:font w:name="Verdana">
    <w:panose1 w:val="020B0604030504040204"/>
  </w:font>
  <w:font w:name="Cambria">
    <w:panose1 w:val="02040503050406030204"/>
  </w:font>
  <w:font w:name="Arial">
    <w:panose1 w:val="020B060402020202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64"/>
      <w:rPr>
        <w:rStyle w:val="763"/>
      </w:rPr>
      <w:framePr w:wrap="around" w:vAnchor="text" w:hAnchor="margin" w:xAlign="center" w:y="1"/>
    </w:pPr>
    <w:r/>
    <w:r>
      <w:rPr>
        <w:rStyle w:val="763"/>
      </w:rPr>
    </w:r>
  </w:p>
  <w:p>
    <w:pPr>
      <w:pStyle w:val="764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64"/>
      <w:rPr>
        <w:rStyle w:val="763"/>
      </w:rPr>
      <w:framePr w:wrap="around" w:vAnchor="text" w:hAnchor="margin" w:xAlign="center" w:y="1"/>
    </w:pPr>
    <w:r>
      <w:rPr>
        <w:rStyle w:val="763"/>
      </w:rPr>
      <w:fldChar w:fldCharType="begin"/>
    </w:r>
    <w:r>
      <w:rPr>
        <w:rStyle w:val="763"/>
      </w:rPr>
      <w:instrText xml:space="preserve">PAGE  </w:instrText>
    </w:r>
    <w:r>
      <w:rPr>
        <w:rStyle w:val="763"/>
      </w:rPr>
      <w:fldChar w:fldCharType="end"/>
    </w:r>
    <w:r>
      <w:rPr>
        <w:rStyle w:val="763"/>
      </w:rPr>
    </w:r>
  </w:p>
  <w:p>
    <w:pPr>
      <w:pStyle w:val="764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i w:val="0"/>
        <w:color w:val="auto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440" w:hanging="720"/>
      </w:pPr>
      <w:rPr>
        <w:rFonts w:hint="default"/>
        <w:b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4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hint="default" w:ascii="Wingdings" w:hAnsi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92" w:hanging="825"/>
      </w:pPr>
      <w:rPr>
        <w:rFonts w:hint="default" w:cs="Times New Roman"/>
        <w:b w:val="0"/>
        <w:i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8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55" w:hanging="495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36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08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0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2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24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96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68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04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70" w:hanging="360"/>
      </w:pPr>
      <w:rPr>
        <w:rFonts w:hint="default"/>
        <w:b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79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1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3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5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7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9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1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30" w:hanging="180"/>
      </w:pPr>
    </w:lvl>
  </w:abstractNum>
  <w:abstractNum w:abstractNumId="15">
    <w:multiLevelType w:val="hybridMultilevel"/>
    <w:lvl w:ilvl="0">
      <w:start w:val="2025"/>
      <w:numFmt w:val="decimal"/>
      <w:isLgl w:val="false"/>
      <w:suff w:val="tab"/>
      <w:lvlText w:val="%1"/>
      <w:lvlJc w:val="left"/>
      <w:pPr>
        <w:ind w:left="840" w:hanging="480"/>
      </w:pPr>
      <w:rPr>
        <w:rFonts w:hint="default"/>
        <w:i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hint="default" w:ascii="Wingdings" w:hAnsi="Wingdings"/>
      </w:rPr>
    </w:lvl>
  </w:abstractNum>
  <w:abstractNum w:abstractNumId="17">
    <w:multiLevelType w:val="hybridMultilevel"/>
    <w:lvl w:ilvl="0">
      <w:start w:val="3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55" w:hanging="495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  <w:b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2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3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25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440" w:hanging="720"/>
      </w:pPr>
      <w:rPr>
        <w:rFonts w:hint="default"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26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98" w:hanging="990"/>
      </w:pPr>
      <w:rPr>
        <w:rFonts w:hint="default"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0"/>
  </w:num>
  <w:num w:numId="3">
    <w:abstractNumId w:val="31"/>
  </w:num>
  <w:num w:numId="4">
    <w:abstractNumId w:val="25"/>
  </w:num>
  <w:num w:numId="5">
    <w:abstractNumId w:val="19"/>
  </w:num>
  <w:num w:numId="6">
    <w:abstractNumId w:val="8"/>
  </w:num>
  <w:num w:numId="7">
    <w:abstractNumId w:val="29"/>
  </w:num>
  <w:num w:numId="8">
    <w:abstractNumId w:val="20"/>
  </w:num>
  <w:num w:numId="9">
    <w:abstractNumId w:val="30"/>
  </w:num>
  <w:num w:numId="10">
    <w:abstractNumId w:val="3"/>
  </w:num>
  <w:num w:numId="11">
    <w:abstractNumId w:val="21"/>
  </w:num>
  <w:num w:numId="12">
    <w:abstractNumId w:val="22"/>
  </w:num>
  <w:num w:numId="13">
    <w:abstractNumId w:val="7"/>
  </w:num>
  <w:num w:numId="14">
    <w:abstractNumId w:val="4"/>
  </w:num>
  <w:num w:numId="15">
    <w:abstractNumId w:val="24"/>
  </w:num>
  <w:num w:numId="16">
    <w:abstractNumId w:val="27"/>
  </w:num>
  <w:num w:numId="17">
    <w:abstractNumId w:val="26"/>
  </w:num>
  <w:num w:numId="18">
    <w:abstractNumId w:val="23"/>
  </w:num>
  <w:num w:numId="19">
    <w:abstractNumId w:val="5"/>
  </w:num>
  <w:num w:numId="20">
    <w:abstractNumId w:val="16"/>
  </w:num>
  <w:num w:numId="21">
    <w:abstractNumId w:val="6"/>
  </w:num>
  <w:num w:numId="22">
    <w:abstractNumId w:val="28"/>
  </w:num>
  <w:num w:numId="23">
    <w:abstractNumId w:val="2"/>
  </w:num>
  <w:num w:numId="24">
    <w:abstractNumId w:val="9"/>
  </w:num>
  <w:num w:numId="25">
    <w:abstractNumId w:val="18"/>
  </w:num>
  <w:num w:numId="26">
    <w:abstractNumId w:val="13"/>
  </w:num>
  <w:num w:numId="27">
    <w:abstractNumId w:val="11"/>
  </w:num>
  <w:num w:numId="28">
    <w:abstractNumId w:val="17"/>
  </w:num>
  <w:num w:numId="29">
    <w:abstractNumId w:val="14"/>
  </w:num>
  <w:num w:numId="30">
    <w:abstractNumId w:val="12"/>
  </w:num>
  <w:num w:numId="31">
    <w:abstractNumId w:val="1"/>
  </w:num>
  <w:num w:numId="3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4">
    <w:name w:val="Heading 1 Char"/>
    <w:basedOn w:val="750"/>
    <w:link w:val="748"/>
    <w:uiPriority w:val="9"/>
    <w:rPr>
      <w:rFonts w:ascii="Arial" w:hAnsi="Arial" w:eastAsia="Arial" w:cs="Arial"/>
      <w:sz w:val="40"/>
      <w:szCs w:val="40"/>
    </w:rPr>
  </w:style>
  <w:style w:type="character" w:styleId="16">
    <w:name w:val="Heading 2 Char"/>
    <w:basedOn w:val="750"/>
    <w:link w:val="749"/>
    <w:uiPriority w:val="9"/>
    <w:rPr>
      <w:rFonts w:ascii="Arial" w:hAnsi="Arial" w:eastAsia="Arial" w:cs="Arial"/>
      <w:sz w:val="34"/>
    </w:rPr>
  </w:style>
  <w:style w:type="paragraph" w:styleId="17">
    <w:name w:val="Heading 3"/>
    <w:basedOn w:val="747"/>
    <w:next w:val="747"/>
    <w:link w:val="1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750"/>
    <w:link w:val="17"/>
    <w:uiPriority w:val="9"/>
    <w:rPr>
      <w:rFonts w:ascii="Arial" w:hAnsi="Arial" w:eastAsia="Arial" w:cs="Arial"/>
      <w:sz w:val="30"/>
      <w:szCs w:val="30"/>
    </w:rPr>
  </w:style>
  <w:style w:type="paragraph" w:styleId="19">
    <w:name w:val="Heading 4"/>
    <w:basedOn w:val="747"/>
    <w:next w:val="747"/>
    <w:link w:val="2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750"/>
    <w:link w:val="19"/>
    <w:uiPriority w:val="9"/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747"/>
    <w:next w:val="747"/>
    <w:link w:val="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750"/>
    <w:link w:val="21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747"/>
    <w:next w:val="747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750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747"/>
    <w:next w:val="747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750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747"/>
    <w:next w:val="747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750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747"/>
    <w:next w:val="747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750"/>
    <w:link w:val="29"/>
    <w:uiPriority w:val="9"/>
    <w:rPr>
      <w:rFonts w:ascii="Arial" w:hAnsi="Arial" w:eastAsia="Arial" w:cs="Arial"/>
      <w:i/>
      <w:iCs/>
      <w:sz w:val="21"/>
      <w:szCs w:val="21"/>
    </w:rPr>
  </w:style>
  <w:style w:type="character" w:styleId="35">
    <w:name w:val="Title Char"/>
    <w:basedOn w:val="750"/>
    <w:link w:val="779"/>
    <w:uiPriority w:val="10"/>
    <w:rPr>
      <w:sz w:val="48"/>
      <w:szCs w:val="48"/>
    </w:rPr>
  </w:style>
  <w:style w:type="paragraph" w:styleId="36">
    <w:name w:val="Subtitle"/>
    <w:basedOn w:val="747"/>
    <w:next w:val="747"/>
    <w:link w:val="37"/>
    <w:uiPriority w:val="11"/>
    <w:qFormat/>
    <w:pPr>
      <w:spacing w:before="200" w:after="200"/>
    </w:pPr>
    <w:rPr>
      <w:sz w:val="24"/>
      <w:szCs w:val="24"/>
    </w:rPr>
  </w:style>
  <w:style w:type="character" w:styleId="37">
    <w:name w:val="Subtitle Char"/>
    <w:basedOn w:val="750"/>
    <w:link w:val="36"/>
    <w:uiPriority w:val="11"/>
    <w:rPr>
      <w:sz w:val="24"/>
      <w:szCs w:val="24"/>
    </w:rPr>
  </w:style>
  <w:style w:type="paragraph" w:styleId="38">
    <w:name w:val="Quote"/>
    <w:basedOn w:val="747"/>
    <w:next w:val="747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747"/>
    <w:next w:val="747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character" w:styleId="43">
    <w:name w:val="Header Char"/>
    <w:basedOn w:val="750"/>
    <w:link w:val="764"/>
    <w:uiPriority w:val="99"/>
  </w:style>
  <w:style w:type="character" w:styleId="45">
    <w:name w:val="Footer Char"/>
    <w:basedOn w:val="750"/>
    <w:link w:val="761"/>
    <w:uiPriority w:val="99"/>
  </w:style>
  <w:style w:type="paragraph" w:styleId="46">
    <w:name w:val="Caption"/>
    <w:basedOn w:val="747"/>
    <w:next w:val="74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46"/>
    <w:link w:val="761"/>
    <w:uiPriority w:val="99"/>
  </w:style>
  <w:style w:type="table" w:styleId="49">
    <w:name w:val="Table Grid Light"/>
    <w:basedOn w:val="75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75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75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7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7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7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7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7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7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7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8">
    <w:name w:val="List Table 7 Colorful - Accent 2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9">
    <w:name w:val="List Table 7 Colorful - Accent 3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50">
    <w:name w:val="List Table 7 Colorful - Accent 4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1">
    <w:name w:val="List Table 7 Colorful - Accent 5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2">
    <w:name w:val="List Table 7 Colorful - Accent 6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3">
    <w:name w:val="Lined - Accent"/>
    <w:basedOn w:val="7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7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5">
    <w:name w:val="Lined - Accent 2"/>
    <w:basedOn w:val="7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6">
    <w:name w:val="Lined - Accent 3"/>
    <w:basedOn w:val="7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7">
    <w:name w:val="Lined - Accent 4"/>
    <w:basedOn w:val="7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8">
    <w:name w:val="Lined - Accent 5"/>
    <w:basedOn w:val="7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9">
    <w:name w:val="Lined - Accent 6"/>
    <w:basedOn w:val="7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0">
    <w:name w:val="Bordered &amp; Lined - Accent"/>
    <w:basedOn w:val="7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7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2">
    <w:name w:val="Bordered &amp; Lined - Accent 2"/>
    <w:basedOn w:val="7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3">
    <w:name w:val="Bordered &amp; Lined - Accent 3"/>
    <w:basedOn w:val="7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4">
    <w:name w:val="Bordered &amp; Lined - Accent 4"/>
    <w:basedOn w:val="7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5">
    <w:name w:val="Bordered &amp; Lined - Accent 5"/>
    <w:basedOn w:val="7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6">
    <w:name w:val="Bordered &amp; Lined - Accent 6"/>
    <w:basedOn w:val="7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7">
    <w:name w:val="Bordered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175">
    <w:name w:val="footnote text"/>
    <w:basedOn w:val="747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750"/>
    <w:uiPriority w:val="99"/>
    <w:unhideWhenUsed/>
    <w:rPr>
      <w:vertAlign w:val="superscript"/>
    </w:rPr>
  </w:style>
  <w:style w:type="paragraph" w:styleId="178">
    <w:name w:val="endnote text"/>
    <w:basedOn w:val="747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750"/>
    <w:uiPriority w:val="99"/>
    <w:semiHidden/>
    <w:unhideWhenUsed/>
    <w:rPr>
      <w:vertAlign w:val="superscript"/>
    </w:rPr>
  </w:style>
  <w:style w:type="paragraph" w:styleId="181">
    <w:name w:val="toc 1"/>
    <w:basedOn w:val="747"/>
    <w:next w:val="747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747"/>
    <w:next w:val="747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747"/>
    <w:next w:val="747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747"/>
    <w:next w:val="747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747"/>
    <w:next w:val="747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747"/>
    <w:next w:val="747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747"/>
    <w:next w:val="747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747"/>
    <w:next w:val="747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747"/>
    <w:next w:val="747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747"/>
    <w:next w:val="747"/>
    <w:uiPriority w:val="99"/>
    <w:unhideWhenUsed/>
    <w:pPr>
      <w:spacing w:after="0" w:afterAutospacing="0"/>
    </w:pPr>
  </w:style>
  <w:style w:type="paragraph" w:styleId="747" w:default="1">
    <w:name w:val="Normal"/>
    <w:qFormat/>
  </w:style>
  <w:style w:type="paragraph" w:styleId="748">
    <w:name w:val="Heading 1"/>
    <w:basedOn w:val="747"/>
    <w:next w:val="747"/>
    <w:qFormat/>
    <w:pPr>
      <w:jc w:val="center"/>
      <w:keepNext/>
      <w:outlineLvl w:val="0"/>
    </w:pPr>
    <w:rPr>
      <w:sz w:val="24"/>
    </w:rPr>
  </w:style>
  <w:style w:type="paragraph" w:styleId="749">
    <w:name w:val="Heading 2"/>
    <w:basedOn w:val="747"/>
    <w:next w:val="747"/>
    <w:link w:val="759"/>
    <w:uiPriority w:val="99"/>
    <w:qFormat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styleId="750" w:default="1">
    <w:name w:val="Default Paragraph Font"/>
    <w:uiPriority w:val="1"/>
    <w:semiHidden/>
    <w:unhideWhenUsed/>
  </w:style>
  <w:style w:type="table" w:styleId="75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52" w:default="1">
    <w:name w:val="No List"/>
    <w:uiPriority w:val="99"/>
    <w:semiHidden/>
    <w:unhideWhenUsed/>
  </w:style>
  <w:style w:type="paragraph" w:styleId="753">
    <w:name w:val="Body Text"/>
    <w:basedOn w:val="747"/>
    <w:pPr>
      <w:jc w:val="both"/>
    </w:pPr>
    <w:rPr>
      <w:sz w:val="24"/>
      <w:szCs w:val="24"/>
    </w:rPr>
  </w:style>
  <w:style w:type="paragraph" w:styleId="754">
    <w:name w:val="Body Text Indent"/>
    <w:basedOn w:val="747"/>
    <w:link w:val="778"/>
    <w:uiPriority w:val="99"/>
    <w:pPr>
      <w:ind w:left="283"/>
      <w:spacing w:after="120"/>
    </w:pPr>
  </w:style>
  <w:style w:type="paragraph" w:styleId="755">
    <w:name w:val="Body Text 2"/>
    <w:basedOn w:val="747"/>
    <w:pPr>
      <w:ind w:right="4495"/>
      <w:jc w:val="both"/>
      <w:tabs>
        <w:tab w:val="left" w:pos="4860" w:leader="none"/>
      </w:tabs>
    </w:pPr>
    <w:rPr>
      <w:sz w:val="26"/>
      <w:szCs w:val="26"/>
    </w:rPr>
  </w:style>
  <w:style w:type="paragraph" w:styleId="756">
    <w:name w:val="Body Text Indent 2"/>
    <w:basedOn w:val="747"/>
    <w:link w:val="786"/>
    <w:pPr>
      <w:ind w:firstLine="709"/>
      <w:jc w:val="both"/>
    </w:pPr>
    <w:rPr>
      <w:bCs/>
      <w:sz w:val="26"/>
      <w:szCs w:val="26"/>
    </w:rPr>
  </w:style>
  <w:style w:type="paragraph" w:styleId="757">
    <w:name w:val="Body Text Indent 3"/>
    <w:basedOn w:val="747"/>
    <w:pPr>
      <w:ind w:firstLine="708"/>
      <w:jc w:val="both"/>
      <w:tabs>
        <w:tab w:val="left" w:pos="1080" w:leader="none"/>
      </w:tabs>
    </w:pPr>
    <w:rPr>
      <w:sz w:val="26"/>
      <w:szCs w:val="26"/>
    </w:rPr>
  </w:style>
  <w:style w:type="paragraph" w:styleId="758" w:customStyle="1">
    <w:name w:val="Знак Знак2"/>
    <w:basedOn w:val="747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759" w:customStyle="1">
    <w:name w:val="Заголовок 2 Знак"/>
    <w:link w:val="749"/>
    <w:uiPriority w:val="99"/>
    <w:semiHidden/>
    <w:rPr>
      <w:rFonts w:ascii="Cambria" w:hAnsi="Cambria" w:eastAsia="Times New Roman" w:cs="Times New Roman"/>
      <w:b/>
      <w:bCs/>
      <w:i/>
      <w:iCs/>
      <w:sz w:val="28"/>
      <w:szCs w:val="28"/>
    </w:rPr>
  </w:style>
  <w:style w:type="paragraph" w:styleId="760" w:customStyle="1">
    <w:name w:val="ConsPlusNormal"/>
    <w:pPr>
      <w:ind w:firstLine="720"/>
      <w:widowControl w:val="off"/>
    </w:pPr>
    <w:rPr>
      <w:rFonts w:ascii="Arial" w:hAnsi="Arial" w:cs="Arial"/>
    </w:rPr>
  </w:style>
  <w:style w:type="paragraph" w:styleId="761">
    <w:name w:val="Footer"/>
    <w:basedOn w:val="747"/>
    <w:link w:val="762"/>
    <w:uiPriority w:val="99"/>
    <w:pPr>
      <w:widowControl w:val="off"/>
      <w:tabs>
        <w:tab w:val="center" w:pos="4677" w:leader="none"/>
        <w:tab w:val="right" w:pos="9355" w:leader="none"/>
      </w:tabs>
    </w:pPr>
    <w:rPr>
      <w:rFonts w:ascii="Arial" w:hAnsi="Arial" w:cs="Arial"/>
    </w:rPr>
  </w:style>
  <w:style w:type="character" w:styleId="762" w:customStyle="1">
    <w:name w:val="Нижний колонтитул Знак"/>
    <w:link w:val="761"/>
    <w:uiPriority w:val="99"/>
    <w:rPr>
      <w:rFonts w:ascii="Arial" w:hAnsi="Arial" w:cs="Arial"/>
    </w:rPr>
  </w:style>
  <w:style w:type="character" w:styleId="763">
    <w:name w:val="page number"/>
    <w:uiPriority w:val="99"/>
  </w:style>
  <w:style w:type="paragraph" w:styleId="764">
    <w:name w:val="Header"/>
    <w:basedOn w:val="747"/>
    <w:link w:val="765"/>
    <w:uiPriority w:val="99"/>
    <w:pPr>
      <w:widowControl w:val="off"/>
      <w:tabs>
        <w:tab w:val="center" w:pos="4677" w:leader="none"/>
        <w:tab w:val="right" w:pos="9355" w:leader="none"/>
      </w:tabs>
    </w:pPr>
    <w:rPr>
      <w:rFonts w:ascii="Arial" w:hAnsi="Arial" w:cs="Arial"/>
    </w:rPr>
  </w:style>
  <w:style w:type="character" w:styleId="765" w:customStyle="1">
    <w:name w:val="Верхний колонтитул Знак"/>
    <w:link w:val="764"/>
    <w:uiPriority w:val="99"/>
    <w:rPr>
      <w:rFonts w:ascii="Arial" w:hAnsi="Arial" w:cs="Arial"/>
    </w:rPr>
  </w:style>
  <w:style w:type="paragraph" w:styleId="766" w:customStyle="1">
    <w:name w:val="ConsPlusCell"/>
    <w:uiPriority w:val="99"/>
    <w:pPr>
      <w:widowControl w:val="off"/>
    </w:pPr>
    <w:rPr>
      <w:rFonts w:ascii="Arial" w:hAnsi="Arial" w:cs="Arial"/>
    </w:rPr>
  </w:style>
  <w:style w:type="table" w:styleId="767">
    <w:name w:val="Table Grid"/>
    <w:basedOn w:val="751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768">
    <w:name w:val="Balloon Text"/>
    <w:basedOn w:val="747"/>
    <w:link w:val="769"/>
    <w:uiPriority w:val="99"/>
    <w:rPr>
      <w:rFonts w:ascii="Arial" w:hAnsi="Arial" w:cs="Arial"/>
      <w:sz w:val="16"/>
      <w:szCs w:val="16"/>
    </w:rPr>
  </w:style>
  <w:style w:type="character" w:styleId="769" w:customStyle="1">
    <w:name w:val="Текст выноски Знак"/>
    <w:link w:val="768"/>
    <w:uiPriority w:val="99"/>
    <w:rPr>
      <w:rFonts w:ascii="Arial" w:hAnsi="Arial" w:cs="Arial"/>
      <w:sz w:val="16"/>
      <w:szCs w:val="16"/>
    </w:rPr>
  </w:style>
  <w:style w:type="paragraph" w:styleId="770">
    <w:name w:val="List Paragraph"/>
    <w:basedOn w:val="747"/>
    <w:link w:val="771"/>
    <w:uiPriority w:val="34"/>
    <w:qFormat/>
    <w:pPr>
      <w:ind w:left="720"/>
      <w:spacing w:after="200" w:line="276" w:lineRule="auto"/>
    </w:pPr>
    <w:rPr>
      <w:rFonts w:ascii="Calibri" w:hAnsi="Calibri" w:eastAsia="Calibri" w:cs="Calibri"/>
      <w:sz w:val="22"/>
      <w:szCs w:val="22"/>
      <w:lang w:eastAsia="en-US"/>
    </w:rPr>
  </w:style>
  <w:style w:type="character" w:styleId="771" w:customStyle="1">
    <w:name w:val="Абзац списка Знак"/>
    <w:link w:val="770"/>
    <w:uiPriority w:val="34"/>
    <w:rPr>
      <w:rFonts w:ascii="Calibri" w:hAnsi="Calibri" w:eastAsia="Calibri" w:cs="Calibri"/>
      <w:sz w:val="22"/>
      <w:szCs w:val="22"/>
      <w:lang w:eastAsia="en-US"/>
    </w:rPr>
  </w:style>
  <w:style w:type="paragraph" w:styleId="772" w:customStyle="1">
    <w:name w:val="Абзац списка1"/>
    <w:basedOn w:val="747"/>
    <w:pPr>
      <w:ind w:left="720"/>
      <w:spacing w:after="200" w:line="276" w:lineRule="auto"/>
    </w:pPr>
    <w:rPr>
      <w:rFonts w:ascii="Calibri" w:hAnsi="Calibri" w:eastAsia="Calibri" w:cs="Calibri"/>
      <w:sz w:val="22"/>
      <w:szCs w:val="22"/>
      <w:lang w:eastAsia="en-US"/>
    </w:rPr>
  </w:style>
  <w:style w:type="character" w:styleId="773">
    <w:name w:val="Hyperlink"/>
    <w:rPr>
      <w:color w:val="0000ff"/>
      <w:u w:val="single"/>
    </w:rPr>
  </w:style>
  <w:style w:type="paragraph" w:styleId="774">
    <w:name w:val="No Spacing"/>
    <w:uiPriority w:val="1"/>
    <w:qFormat/>
    <w:rPr>
      <w:rFonts w:ascii="Calibri" w:hAnsi="Calibri" w:eastAsia="Calibri" w:cs="Calibri"/>
      <w:sz w:val="22"/>
      <w:szCs w:val="22"/>
      <w:lang w:eastAsia="en-US"/>
    </w:rPr>
  </w:style>
  <w:style w:type="paragraph" w:styleId="775" w:customStyle="1">
    <w:name w:val="ConsPlusTitle"/>
    <w:uiPriority w:val="99"/>
    <w:pPr>
      <w:widowControl w:val="off"/>
    </w:pPr>
    <w:rPr>
      <w:b/>
      <w:bCs/>
      <w:sz w:val="24"/>
      <w:szCs w:val="24"/>
    </w:rPr>
  </w:style>
  <w:style w:type="paragraph" w:styleId="776">
    <w:name w:val="Body Text 3"/>
    <w:basedOn w:val="747"/>
    <w:link w:val="777"/>
    <w:uiPriority w:val="99"/>
    <w:pPr>
      <w:spacing w:after="120"/>
    </w:pPr>
    <w:rPr>
      <w:sz w:val="16"/>
      <w:szCs w:val="16"/>
    </w:rPr>
  </w:style>
  <w:style w:type="character" w:styleId="777" w:customStyle="1">
    <w:name w:val="Основной текст 3 Знак"/>
    <w:basedOn w:val="750"/>
    <w:link w:val="776"/>
    <w:uiPriority w:val="99"/>
    <w:rPr>
      <w:sz w:val="16"/>
      <w:szCs w:val="16"/>
    </w:rPr>
  </w:style>
  <w:style w:type="character" w:styleId="778" w:customStyle="1">
    <w:name w:val="Основной текст с отступом Знак"/>
    <w:link w:val="754"/>
    <w:uiPriority w:val="99"/>
  </w:style>
  <w:style w:type="paragraph" w:styleId="779">
    <w:name w:val="Title"/>
    <w:basedOn w:val="747"/>
    <w:link w:val="780"/>
    <w:uiPriority w:val="99"/>
    <w:qFormat/>
    <w:pPr>
      <w:jc w:val="center"/>
    </w:pPr>
    <w:rPr>
      <w:caps/>
      <w:sz w:val="24"/>
      <w:szCs w:val="24"/>
    </w:rPr>
  </w:style>
  <w:style w:type="character" w:styleId="780" w:customStyle="1">
    <w:name w:val="Название Знак"/>
    <w:basedOn w:val="750"/>
    <w:link w:val="779"/>
    <w:uiPriority w:val="99"/>
    <w:rPr>
      <w:caps/>
      <w:sz w:val="24"/>
      <w:szCs w:val="24"/>
    </w:rPr>
  </w:style>
  <w:style w:type="paragraph" w:styleId="781" w:customStyle="1">
    <w:name w:val="Знак1"/>
    <w:basedOn w:val="747"/>
    <w:uiPriority w:val="99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styleId="782" w:customStyle="1">
    <w:name w:val="ConsPlusNonformat"/>
    <w:pPr>
      <w:widowControl w:val="off"/>
    </w:pPr>
    <w:rPr>
      <w:rFonts w:ascii="Courier New" w:hAnsi="Courier New" w:cs="Courier New"/>
    </w:rPr>
  </w:style>
  <w:style w:type="paragraph" w:styleId="783" w:customStyle="1">
    <w:name w:val="Знак Знак Знак Знак Знак Знак Знак Знак Знак Знак"/>
    <w:basedOn w:val="747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784">
    <w:name w:val="Emphasis"/>
    <w:qFormat/>
    <w:rPr>
      <w:i/>
      <w:iCs/>
    </w:rPr>
  </w:style>
  <w:style w:type="table" w:styleId="785" w:customStyle="1">
    <w:name w:val="Сетка таблицы1"/>
    <w:basedOn w:val="751"/>
    <w:next w:val="767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786" w:customStyle="1">
    <w:name w:val="Основной текст с отступом 2 Знак"/>
    <w:link w:val="756"/>
    <w:rPr>
      <w:bCs/>
      <w:sz w:val="26"/>
      <w:szCs w:val="26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customXml" Target="../customXml/item1.xml" /><Relationship Id="rId12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ADC7D0-90DC-40A1-AA41-B81F2EEE21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администрация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Lobanova</dc:creator>
  <cp:revision>3</cp:revision>
  <dcterms:created xsi:type="dcterms:W3CDTF">2023-12-15T10:48:00Z</dcterms:created>
  <dcterms:modified xsi:type="dcterms:W3CDTF">2024-02-15T13:46:01Z</dcterms:modified>
</cp:coreProperties>
</file>