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848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26.02.2024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№ </w:t>
      </w:r>
      <w:r>
        <w:rPr>
          <w:b/>
          <w:sz w:val="24"/>
        </w:rPr>
        <w:t xml:space="preserve">281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О внесении изменений в </w:t>
      </w:r>
      <w:r>
        <w:rPr>
          <w:b/>
          <w:szCs w:val="24"/>
        </w:rPr>
        <w:t xml:space="preserve">с</w:t>
      </w:r>
      <w:r>
        <w:rPr>
          <w:b/>
          <w:szCs w:val="24"/>
        </w:rPr>
        <w:t xml:space="preserve">хем</w:t>
      </w:r>
      <w:r>
        <w:rPr>
          <w:b/>
          <w:szCs w:val="24"/>
        </w:rPr>
        <w:t xml:space="preserve">у</w:t>
      </w:r>
      <w:r>
        <w:rPr>
          <w:b/>
          <w:szCs w:val="24"/>
        </w:rPr>
        <w:t xml:space="preserve"> размещения нестационарных торговых объектов </w:t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  <w:t xml:space="preserve">на территории Печенгского муниципального </w:t>
      </w:r>
      <w:r>
        <w:rPr>
          <w:b/>
        </w:rPr>
        <w:t xml:space="preserve">округа</w:t>
      </w:r>
      <w:r>
        <w:rPr>
          <w:b/>
        </w:rPr>
        <w:t xml:space="preserve">, утвержденную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постановление</w:t>
      </w:r>
      <w:r>
        <w:rPr>
          <w:b/>
          <w:szCs w:val="24"/>
        </w:rPr>
        <w:t xml:space="preserve">м</w:t>
      </w:r>
      <w:r>
        <w:rPr>
          <w:b/>
          <w:szCs w:val="24"/>
        </w:rPr>
        <w:t xml:space="preserve"> администр</w:t>
      </w:r>
      <w:r>
        <w:rPr>
          <w:b/>
          <w:szCs w:val="24"/>
        </w:rPr>
        <w:t xml:space="preserve">ации Печенгского муниципального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округа от </w:t>
      </w:r>
      <w:r>
        <w:rPr>
          <w:b/>
          <w:szCs w:val="24"/>
        </w:rPr>
        <w:t xml:space="preserve">31.03.2021</w:t>
      </w:r>
      <w:r>
        <w:rPr>
          <w:b/>
          <w:szCs w:val="24"/>
        </w:rPr>
        <w:t xml:space="preserve"> № </w:t>
      </w:r>
      <w:r>
        <w:rPr>
          <w:b/>
          <w:szCs w:val="24"/>
        </w:rPr>
        <w:t xml:space="preserve">251</w:t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widowControl w:val="off"/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актуализацией </w:t>
      </w:r>
      <w:r>
        <w:rPr>
          <w:sz w:val="24"/>
          <w:szCs w:val="24"/>
        </w:rPr>
        <w:t xml:space="preserve">муниципального правового</w:t>
      </w:r>
      <w:r>
        <w:rPr>
          <w:sz w:val="24"/>
          <w:szCs w:val="24"/>
        </w:rPr>
        <w:t xml:space="preserve"> акта</w:t>
      </w:r>
      <w:r>
        <w:rPr>
          <w:sz w:val="24"/>
          <w:szCs w:val="24"/>
        </w:rPr>
        <w:t xml:space="preserve">, на основании протокола</w:t>
      </w:r>
      <w:r>
        <w:rPr>
          <w:sz w:val="24"/>
          <w:szCs w:val="24"/>
        </w:rPr>
        <w:t xml:space="preserve"> заседания комиссии по организации размещения нестационарных торговых объектов на территории Печенгског</w:t>
      </w:r>
      <w:r>
        <w:rPr>
          <w:sz w:val="24"/>
          <w:szCs w:val="24"/>
        </w:rPr>
        <w:t xml:space="preserve">о муниципального округа от </w:t>
      </w:r>
      <w:r>
        <w:rPr>
          <w:sz w:val="24"/>
          <w:szCs w:val="24"/>
        </w:rPr>
        <w:t xml:space="preserve">05.02.2024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</w:t>
      </w:r>
      <w:r>
        <w:rPr>
          <w:sz w:val="24"/>
          <w:szCs w:val="24"/>
        </w:rPr>
        <w:t xml:space="preserve">в схему размещения нестационарных торговых объектов на территории Печенгского муниципального округа, утвержденную</w:t>
      </w:r>
      <w:r>
        <w:rPr>
          <w:sz w:val="24"/>
          <w:szCs w:val="24"/>
        </w:rPr>
        <w:t xml:space="preserve"> постановлени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31.03.2021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251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</w:t>
      </w:r>
      <w:r>
        <w:rPr>
          <w:sz w:val="24"/>
          <w:szCs w:val="24"/>
        </w:rPr>
        <w:t xml:space="preserve">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27.11.2023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1749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Схема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</w:p>
    <w:p>
      <w:pPr>
        <w:pStyle w:val="632"/>
        <w:ind w:firstLine="709"/>
        <w:jc w:val="both"/>
        <w:spacing w:after="0" w:line="240" w:lineRule="auto"/>
        <w:tabs>
          <w:tab w:val="left" w:pos="9355" w:leader="none"/>
        </w:tabs>
        <w:rPr>
          <w:bCs/>
          <w:color w:val="auto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раздел «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 Заполярный</w:t>
      </w:r>
      <w:r>
        <w:rPr>
          <w:sz w:val="24"/>
          <w:szCs w:val="24"/>
        </w:rPr>
        <w:t xml:space="preserve">» Схемы </w:t>
      </w:r>
      <w:r>
        <w:rPr>
          <w:bCs/>
          <w:color w:val="auto"/>
          <w:sz w:val="24"/>
          <w:szCs w:val="24"/>
        </w:rPr>
        <w:t xml:space="preserve">дополнить </w:t>
      </w:r>
      <w:r>
        <w:rPr>
          <w:bCs/>
          <w:color w:val="auto"/>
          <w:sz w:val="24"/>
          <w:szCs w:val="24"/>
        </w:rPr>
        <w:t xml:space="preserve">строкой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24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следующего содержания:</w:t>
      </w:r>
      <w:r>
        <w:rPr>
          <w:bCs/>
          <w:color w:val="auto"/>
          <w:sz w:val="24"/>
          <w:szCs w:val="24"/>
        </w:rPr>
      </w:r>
    </w:p>
    <w:tbl>
      <w:tblPr>
        <w:tblStyle w:val="631"/>
        <w:tblW w:w="96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708"/>
        <w:gridCol w:w="1418"/>
        <w:gridCol w:w="426"/>
        <w:gridCol w:w="1559"/>
        <w:gridCol w:w="1701"/>
        <w:gridCol w:w="1418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«</w:t>
            </w:r>
            <w:r>
              <w:rPr>
                <w:bCs/>
              </w:rPr>
              <w:t xml:space="preserve">24</w:t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</w:pPr>
            <w:r>
              <w:t xml:space="preserve">г. Заполярный, </w:t>
            </w:r>
            <w:r>
              <w:t xml:space="preserve">на берегу </w:t>
            </w:r>
            <w:r>
              <w:t xml:space="preserve">о</w:t>
            </w:r>
            <w:r>
              <w:t xml:space="preserve">.Х</w:t>
            </w:r>
            <w:r>
              <w:t xml:space="preserve">аукилампи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</w:t>
            </w:r>
            <w:r>
              <w:t xml:space="preserve">5</w:t>
            </w:r>
            <w:r>
              <w:t xml:space="preserve">,0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Торговый павильон</w:t>
            </w:r>
            <w:r/>
          </w:p>
        </w:tc>
        <w:tc>
          <w:tcPr>
            <w:tcW w:w="426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круглогодично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Прокат лодок, снегоходов, беговых лыж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Приложение </w:t>
            </w:r>
            <w:r>
              <w:rPr>
                <w:bCs/>
                <w:color w:val="auto"/>
              </w:rPr>
              <w:t xml:space="preserve">2.2</w:t>
            </w:r>
            <w:r>
              <w:rPr>
                <w:bCs/>
                <w:color w:val="auto"/>
              </w:rPr>
              <w:t xml:space="preserve">4</w:t>
            </w:r>
            <w:r>
              <w:rPr>
                <w:bCs/>
                <w:color w:val="auto"/>
              </w:rPr>
              <w:t xml:space="preserve">»;</w:t>
            </w:r>
            <w:r>
              <w:rPr>
                <w:bCs/>
                <w:color w:val="auto"/>
              </w:rPr>
            </w:r>
          </w:p>
        </w:tc>
      </w:tr>
    </w:tbl>
    <w:p>
      <w:pPr>
        <w:pStyle w:val="632"/>
        <w:ind w:firstLine="709"/>
        <w:jc w:val="both"/>
        <w:spacing w:after="0" w:line="240" w:lineRule="auto"/>
        <w:tabs>
          <w:tab w:val="left" w:pos="9355" w:leader="none"/>
        </w:tabs>
        <w:rPr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- </w:t>
      </w:r>
      <w:r>
        <w:rPr>
          <w:bCs/>
          <w:color w:val="auto"/>
          <w:sz w:val="24"/>
          <w:szCs w:val="24"/>
        </w:rPr>
        <w:t xml:space="preserve">дополнить </w:t>
      </w:r>
      <w:r>
        <w:rPr>
          <w:sz w:val="24"/>
          <w:szCs w:val="24"/>
        </w:rPr>
        <w:t xml:space="preserve">Схему </w:t>
      </w:r>
      <w:r>
        <w:rPr>
          <w:bCs/>
          <w:color w:val="auto"/>
          <w:sz w:val="24"/>
          <w:szCs w:val="24"/>
        </w:rPr>
        <w:t xml:space="preserve">приложени</w:t>
      </w:r>
      <w:r>
        <w:rPr>
          <w:bCs/>
          <w:color w:val="auto"/>
          <w:sz w:val="24"/>
          <w:szCs w:val="24"/>
        </w:rPr>
        <w:t xml:space="preserve">ем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2.2</w:t>
      </w:r>
      <w:r>
        <w:rPr>
          <w:bCs/>
          <w:color w:val="auto"/>
          <w:sz w:val="24"/>
          <w:szCs w:val="24"/>
        </w:rPr>
        <w:t xml:space="preserve">4</w:t>
      </w:r>
      <w:r>
        <w:rPr>
          <w:bCs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согласно </w:t>
      </w:r>
      <w:r>
        <w:rPr>
          <w:sz w:val="24"/>
          <w:szCs w:val="24"/>
        </w:rPr>
        <w:t xml:space="preserve">приложени</w:t>
      </w:r>
      <w:r>
        <w:rPr>
          <w:sz w:val="24"/>
          <w:szCs w:val="24"/>
        </w:rPr>
        <w:t xml:space="preserve">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настоящему постановлению.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</w:t>
      </w:r>
      <w:r>
        <w:rPr>
          <w:sz w:val="24"/>
          <w:szCs w:val="24"/>
        </w:rPr>
        <w:t xml:space="preserve">ает в силу после его подписания.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  <w:sz w:val="24"/>
          <w:szCs w:val="24"/>
        </w:rPr>
      </w:pPr>
      <w:r>
        <w:t xml:space="preserve">Лаврущик</w:t>
      </w:r>
      <w:r>
        <w:t xml:space="preserve"> С.С.</w:t>
      </w:r>
      <w:r>
        <w:t xml:space="preserve">, </w:t>
      </w:r>
      <w:r>
        <w:t xml:space="preserve">5-05-79</w:t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26.02.2024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281</w:t>
      </w:r>
      <w:bookmarkStart w:id="0" w:name="_GoBack"/>
      <w:r/>
      <w:bookmarkEnd w:id="0"/>
      <w:r/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>
        <w:rPr>
          <w:sz w:val="24"/>
          <w:szCs w:val="24"/>
        </w:rPr>
        <w:t xml:space="preserve">«Приложение </w:t>
      </w:r>
      <w:r>
        <w:rPr>
          <w:sz w:val="24"/>
          <w:szCs w:val="24"/>
        </w:rPr>
        <w:t xml:space="preserve">2.2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к схеме размещения </w:t>
      </w:r>
      <w:r>
        <w:rPr>
          <w:sz w:val="24"/>
          <w:szCs w:val="24"/>
        </w:rPr>
        <w:t xml:space="preserve">нестационарных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торговых объектов на территории</w:t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</w:p>
    <w:p>
      <w:pPr>
        <w:jc w:val="center"/>
        <w:spacing w:line="276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Адрес: г. Заполярный, </w:t>
      </w:r>
      <w:r>
        <w:rPr>
          <w:sz w:val="24"/>
          <w:szCs w:val="24"/>
        </w:rPr>
        <w:t xml:space="preserve">на берегу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.Х</w:t>
      </w:r>
      <w:r>
        <w:rPr>
          <w:sz w:val="24"/>
          <w:szCs w:val="24"/>
        </w:rPr>
        <w:t xml:space="preserve">аукилампи</w:t>
      </w:r>
      <w:r>
        <w:rPr>
          <w:sz w:val="24"/>
          <w:szCs w:val="24"/>
        </w:rPr>
      </w:r>
    </w:p>
    <w:p>
      <w:pPr>
        <w:jc w:val="center"/>
        <w:spacing w:line="276" w:lineRule="auto"/>
        <w:rPr>
          <w:szCs w:val="26"/>
        </w:rPr>
      </w:pPr>
      <w:r>
        <w:rPr>
          <w:color w:val="auto"/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2125967</wp:posOffset>
                </wp:positionH>
                <wp:positionV relativeFrom="paragraph">
                  <wp:posOffset>3695295</wp:posOffset>
                </wp:positionV>
                <wp:extent cx="212864" cy="245912"/>
                <wp:effectExtent l="57150" t="57150" r="53975" b="59055"/>
                <wp:wrapNone/>
                <wp:docPr id="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12342479" flipV="1">
                          <a:off x="0" y="0"/>
                          <a:ext cx="212864" cy="24591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1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97152;o:allowoverlap:true;o:allowincell:true;mso-position-horizontal-relative:text;margin-left:167.40pt;mso-position-horizontal:absolute;mso-position-vertical-relative:text;margin-top:290.97pt;mso-position-vertical:absolute;width:16.76pt;height:19.36pt;mso-wrap-distance-left:9.00pt;mso-wrap-distance-top:0.00pt;mso-wrap-distance-right:9.00pt;mso-wrap-distance-bottom:0.00pt;rotation:205;flip:y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 xml:space="preserve">1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5099799"/>
                <wp:effectExtent l="0" t="0" r="0" b="5715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940" t="0" r="-3430" b="10939"/>
                        <a:stretch/>
                      </pic:blipFill>
                      <pic:spPr bwMode="auto">
                        <a:xfrm>
                          <a:off x="0" y="0"/>
                          <a:ext cx="5940425" cy="50997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67.75pt;height:401.56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t xml:space="preserve"> </w:t>
      </w:r>
      <w:r>
        <w:rPr>
          <w:szCs w:val="26"/>
        </w:rPr>
      </w:r>
    </w:p>
    <w:p>
      <w:pPr>
        <w:tabs>
          <w:tab w:val="left" w:pos="1950" w:leader="none"/>
        </w:tabs>
        <w:rPr>
          <w:szCs w:val="26"/>
        </w:rPr>
      </w:pPr>
      <w:r>
        <w:rPr>
          <w:szCs w:val="26"/>
        </w:rPr>
      </w:r>
      <w:r>
        <w:rPr>
          <w:szCs w:val="26"/>
        </w:rPr>
      </w:r>
    </w:p>
    <w:p>
      <w:pPr>
        <w:tabs>
          <w:tab w:val="left" w:pos="1950" w:leader="none"/>
        </w:tabs>
        <w:rPr>
          <w:szCs w:val="26"/>
        </w:rPr>
      </w:pPr>
      <w:r>
        <w:rPr>
          <w:szCs w:val="26"/>
        </w:rPr>
      </w:r>
      <w:r>
        <w:rPr>
          <w:szCs w:val="26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Условные обозначения: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101600</wp:posOffset>
                </wp:positionV>
                <wp:extent cx="333375" cy="244975"/>
                <wp:effectExtent l="0" t="0" r="28575" b="22225"/>
                <wp:wrapNone/>
                <wp:docPr id="4" name="Прямоугольник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33375" cy="24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3" o:spid="_x0000_s3" o:spt="1" type="#_x0000_t1" style="position:absolute;z-index:251695104;o:allowoverlap:true;o:allowincell:true;mso-position-horizontal-relative:text;margin-left:-0.10pt;mso-position-horizontal:absolute;mso-position-vertical-relative:text;margin-top:8.00pt;mso-position-vertical:absolute;width:26.25pt;height:19.29pt;mso-wrap-distance-left:9.00pt;mso-wrap-distance-top:0.00pt;mso-wrap-distance-right:9.00pt;mso-wrap-distance-bottom:0.00pt;v-text-anchor:middle;visibility:visible;" fillcolor="#FFFFF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</w:rPr>
                        <w:t xml:space="preserve">1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Место размещения нестационарного торгового объекта на круглогодичный период (торговый павильон)</w:t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1"/>
    <w:next w:val="62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3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1"/>
    <w:next w:val="62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3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1"/>
    <w:next w:val="62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3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3"/>
    <w:link w:val="622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1"/>
    <w:next w:val="62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1"/>
    <w:next w:val="62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1"/>
    <w:next w:val="62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1"/>
    <w:next w:val="62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1"/>
    <w:next w:val="62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21"/>
    <w:next w:val="62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3"/>
    <w:link w:val="34"/>
    <w:uiPriority w:val="10"/>
    <w:rPr>
      <w:sz w:val="48"/>
      <w:szCs w:val="48"/>
    </w:rPr>
  </w:style>
  <w:style w:type="paragraph" w:styleId="36">
    <w:name w:val="Subtitle"/>
    <w:basedOn w:val="621"/>
    <w:next w:val="62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3"/>
    <w:link w:val="36"/>
    <w:uiPriority w:val="11"/>
    <w:rPr>
      <w:sz w:val="24"/>
      <w:szCs w:val="24"/>
    </w:rPr>
  </w:style>
  <w:style w:type="paragraph" w:styleId="38">
    <w:name w:val="Quote"/>
    <w:basedOn w:val="621"/>
    <w:next w:val="62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1"/>
    <w:next w:val="62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3"/>
    <w:link w:val="42"/>
    <w:uiPriority w:val="99"/>
  </w:style>
  <w:style w:type="paragraph" w:styleId="44">
    <w:name w:val="Footer"/>
    <w:basedOn w:val="62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3"/>
    <w:link w:val="44"/>
    <w:uiPriority w:val="99"/>
  </w:style>
  <w:style w:type="paragraph" w:styleId="46">
    <w:name w:val="Caption"/>
    <w:basedOn w:val="621"/>
    <w:next w:val="6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3"/>
    <w:uiPriority w:val="99"/>
    <w:unhideWhenUsed/>
    <w:rPr>
      <w:vertAlign w:val="superscript"/>
    </w:rPr>
  </w:style>
  <w:style w:type="paragraph" w:styleId="178">
    <w:name w:val="endnote text"/>
    <w:basedOn w:val="62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3"/>
    <w:uiPriority w:val="99"/>
    <w:semiHidden/>
    <w:unhideWhenUsed/>
    <w:rPr>
      <w:vertAlign w:val="superscript"/>
    </w:rPr>
  </w:style>
  <w:style w:type="paragraph" w:styleId="181">
    <w:name w:val="toc 1"/>
    <w:basedOn w:val="621"/>
    <w:next w:val="62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1"/>
    <w:next w:val="62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1"/>
    <w:next w:val="62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1"/>
    <w:next w:val="62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1"/>
    <w:next w:val="62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1"/>
    <w:next w:val="62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1"/>
    <w:next w:val="62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1"/>
    <w:next w:val="62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1"/>
    <w:next w:val="62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1"/>
    <w:next w:val="621"/>
    <w:uiPriority w:val="99"/>
    <w:unhideWhenUsed/>
    <w:pPr>
      <w:spacing w:after="0" w:afterAutospacing="0"/>
    </w:pPr>
  </w:style>
  <w:style w:type="paragraph" w:styleId="62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22">
    <w:name w:val="Heading 4"/>
    <w:basedOn w:val="621"/>
    <w:next w:val="621"/>
    <w:link w:val="626"/>
    <w:qFormat/>
    <w:pPr>
      <w:ind w:firstLine="709"/>
      <w:keepNext/>
      <w:outlineLvl w:val="3"/>
    </w:pPr>
    <w:rPr>
      <w:sz w:val="28"/>
    </w:rPr>
  </w:style>
  <w:style w:type="character" w:styleId="623" w:default="1">
    <w:name w:val="Default Paragraph Font"/>
    <w:uiPriority w:val="1"/>
    <w:semiHidden/>
    <w:unhideWhenUsed/>
  </w:style>
  <w:style w:type="table" w:styleId="6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5" w:default="1">
    <w:name w:val="No List"/>
    <w:uiPriority w:val="99"/>
    <w:semiHidden/>
    <w:unhideWhenUsed/>
  </w:style>
  <w:style w:type="character" w:styleId="626" w:customStyle="1">
    <w:name w:val="Заголовок 4 Знак"/>
    <w:basedOn w:val="623"/>
    <w:link w:val="622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627">
    <w:name w:val="Table Grid"/>
    <w:basedOn w:val="62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28">
    <w:name w:val="List Paragraph"/>
    <w:basedOn w:val="621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629">
    <w:name w:val="Balloon Text"/>
    <w:basedOn w:val="621"/>
    <w:link w:val="630"/>
    <w:uiPriority w:val="99"/>
    <w:semiHidden/>
    <w:unhideWhenUsed/>
    <w:rPr>
      <w:rFonts w:ascii="Tahoma" w:hAnsi="Tahoma" w:cs="Tahoma"/>
      <w:sz w:val="16"/>
      <w:szCs w:val="16"/>
    </w:rPr>
  </w:style>
  <w:style w:type="character" w:styleId="630" w:customStyle="1">
    <w:name w:val="Текст выноски Знак"/>
    <w:basedOn w:val="623"/>
    <w:link w:val="629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table" w:styleId="631" w:customStyle="1">
    <w:name w:val="Сетка таблицы1"/>
    <w:basedOn w:val="624"/>
    <w:next w:val="627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32">
    <w:name w:val="Body Text 2"/>
    <w:basedOn w:val="621"/>
    <w:link w:val="633"/>
    <w:uiPriority w:val="99"/>
    <w:unhideWhenUsed/>
    <w:pPr>
      <w:spacing w:after="120" w:line="480" w:lineRule="auto"/>
    </w:pPr>
  </w:style>
  <w:style w:type="character" w:styleId="633" w:customStyle="1">
    <w:name w:val="Основной текст 2 Знак"/>
    <w:basedOn w:val="623"/>
    <w:link w:val="632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34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635">
    <w:name w:val="Hyperlink"/>
    <w:basedOn w:val="623"/>
    <w:uiPriority w:val="99"/>
    <w:unhideWhenUsed/>
    <w:rPr>
      <w:color w:val="0000ff" w:themeColor="hyperlink"/>
      <w:u w:val="single"/>
    </w:rPr>
  </w:style>
  <w:style w:type="table" w:styleId="636" w:customStyle="1">
    <w:name w:val="Сетка таблицы2"/>
    <w:basedOn w:val="624"/>
    <w:next w:val="627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DAB5F-05A7-4D29-818A-67B65B7D2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3</cp:revision>
  <dcterms:created xsi:type="dcterms:W3CDTF">2024-02-27T07:36:00Z</dcterms:created>
  <dcterms:modified xsi:type="dcterms:W3CDTF">2024-03-13T06:34:12Z</dcterms:modified>
</cp:coreProperties>
</file>