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color w:val="00000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color w:val="000000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8"/>
          <w:szCs w:val="20"/>
        </w:rPr>
        <w:t xml:space="preserve">МУРМАНСКОЙ ОБЛАСТИ</w:t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center"/>
        <w:widowControl w:val="off"/>
        <w:rPr>
          <w:color w:val="000000"/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both"/>
        <w:widowControl w:val="off"/>
        <w:rPr>
          <w:b/>
          <w:color w:val="00000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Cs w:val="20"/>
        </w:rPr>
        <w:t xml:space="preserve">от</w:t>
      </w:r>
      <w:r>
        <w:rPr>
          <w:b/>
          <w:color w:val="000000"/>
          <w:szCs w:val="20"/>
        </w:rPr>
        <w:t xml:space="preserve"> </w:t>
      </w:r>
      <w:r>
        <w:rPr>
          <w:b/>
          <w:color w:val="000000"/>
          <w:szCs w:val="20"/>
        </w:rPr>
        <w:t xml:space="preserve">07.03.2024</w:t>
      </w:r>
      <w:r>
        <w:rPr>
          <w:b/>
          <w:color w:val="000000"/>
          <w:szCs w:val="20"/>
        </w:rPr>
        <w:t xml:space="preserve">         </w:t>
      </w:r>
      <w:r>
        <w:rPr>
          <w:b/>
          <w:color w:val="000000"/>
          <w:szCs w:val="20"/>
        </w:rPr>
        <w:t xml:space="preserve"> </w:t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 xml:space="preserve">  </w:t>
      </w:r>
      <w:r>
        <w:rPr>
          <w:b/>
          <w:color w:val="000000"/>
          <w:szCs w:val="20"/>
        </w:rPr>
        <w:t xml:space="preserve"> № 337</w:t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Cs w:val="20"/>
        </w:rPr>
        <w:t xml:space="preserve">п.г.т</w:t>
      </w:r>
      <w:r>
        <w:rPr>
          <w:b/>
          <w:color w:val="000000"/>
          <w:szCs w:val="20"/>
        </w:rPr>
        <w:t xml:space="preserve">. Никель</w:t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 внесении изменений в </w:t>
      </w:r>
      <w:r>
        <w:rPr>
          <w:b/>
          <w:sz w:val="20"/>
          <w:szCs w:val="20"/>
        </w:rPr>
        <w:t xml:space="preserve">порядок разработки, реализации и оценки эффективности</w:t>
      </w:r>
      <w:r>
        <w:rPr>
          <w:b/>
          <w:sz w:val="20"/>
          <w:szCs w:val="2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муниципальных программ Печенгского муниципального округа</w:t>
      </w:r>
      <w:r>
        <w:rPr>
          <w:b/>
          <w:sz w:val="20"/>
          <w:szCs w:val="20"/>
        </w:rPr>
        <w:t xml:space="preserve">, </w:t>
      </w:r>
      <w:r>
        <w:rPr>
          <w:b/>
          <w:sz w:val="20"/>
          <w:szCs w:val="20"/>
        </w:rPr>
        <w:t xml:space="preserve">утвержденн</w:t>
      </w:r>
      <w:r>
        <w:rPr>
          <w:b/>
          <w:sz w:val="20"/>
          <w:szCs w:val="20"/>
        </w:rPr>
        <w:t xml:space="preserve">ый</w:t>
      </w:r>
      <w:r>
        <w:rPr>
          <w:b/>
          <w:sz w:val="20"/>
          <w:szCs w:val="20"/>
        </w:rPr>
        <w:t xml:space="preserve"> постановлением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 администрации Печенгского</w:t>
      </w:r>
      <w:r>
        <w:rPr>
          <w:b/>
          <w:sz w:val="20"/>
          <w:szCs w:val="20"/>
        </w:rPr>
        <w:t xml:space="preserve"> муниципального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округа</w:t>
      </w:r>
      <w:r>
        <w:rPr>
          <w:b/>
          <w:sz w:val="20"/>
          <w:szCs w:val="20"/>
        </w:rPr>
        <w:t xml:space="preserve"> от </w:t>
      </w:r>
      <w:r>
        <w:rPr>
          <w:b/>
          <w:sz w:val="20"/>
          <w:szCs w:val="20"/>
        </w:rPr>
        <w:t xml:space="preserve">16.08.2021</w:t>
      </w:r>
      <w:r>
        <w:rPr>
          <w:b/>
          <w:sz w:val="20"/>
          <w:szCs w:val="20"/>
        </w:rPr>
        <w:t xml:space="preserve"> № </w:t>
      </w:r>
      <w:r>
        <w:rPr>
          <w:b/>
          <w:sz w:val="20"/>
          <w:szCs w:val="20"/>
        </w:rPr>
        <w:t xml:space="preserve">838</w:t>
      </w:r>
      <w:r>
        <w:rPr>
          <w:b/>
          <w:sz w:val="20"/>
          <w:szCs w:val="20"/>
        </w:rPr>
      </w:r>
    </w:p>
    <w:p>
      <w:pPr>
        <w:jc w:val="both"/>
      </w:pPr>
      <w:r/>
      <w:r/>
    </w:p>
    <w:p>
      <w:pPr>
        <w:pStyle w:val="768"/>
        <w:jc w:val="both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tabs>
          <w:tab w:val="left" w:pos="0" w:leader="none"/>
          <w:tab w:val="left" w:pos="284" w:leader="none"/>
          <w:tab w:val="left" w:pos="426" w:leader="none"/>
        </w:tabs>
        <w:rPr>
          <w:rFonts w:eastAsia="Calibri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eastAsia="Calibri"/>
          <w:lang w:eastAsia="en-US"/>
        </w:rPr>
        <w:t xml:space="preserve">Руководствуясь </w:t>
      </w:r>
      <w:r>
        <w:rPr>
          <w:rFonts w:eastAsia="Calibri"/>
          <w:lang w:eastAsia="en-US"/>
        </w:rPr>
        <w:t xml:space="preserve">с</w:t>
      </w:r>
      <w:r>
        <w:t xml:space="preserve">татьей 179 Бюджетного кодекса Российской Федерации, </w:t>
      </w:r>
      <w:r>
        <w:rPr>
          <w:rFonts w:eastAsia="Calibri"/>
          <w:lang w:eastAsia="en-US"/>
        </w:rPr>
      </w:r>
    </w:p>
    <w:p>
      <w:pPr>
        <w:pStyle w:val="768"/>
        <w:jc w:val="both"/>
        <w:spacing w:before="0" w:after="0"/>
        <w:widowControl w:val="off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jc w:val="both"/>
        <w:rPr>
          <w:b/>
          <w:bCs/>
        </w:rPr>
      </w:pPr>
      <w:r>
        <w:rPr>
          <w:b/>
          <w:bCs/>
        </w:rPr>
        <w:t xml:space="preserve">ПОСТАНОВЛЯЮ:</w:t>
      </w:r>
      <w:r>
        <w:rPr>
          <w:b/>
          <w:bCs/>
        </w:rPr>
      </w:r>
    </w:p>
    <w:p>
      <w:pPr>
        <w:jc w:val="both"/>
        <w:widowControl w:val="off"/>
      </w:pPr>
      <w:r/>
      <w:r/>
    </w:p>
    <w:p>
      <w:pPr>
        <w:pStyle w:val="775"/>
        <w:numPr>
          <w:ilvl w:val="0"/>
          <w:numId w:val="33"/>
        </w:numPr>
        <w:ind w:left="0"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Внести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порядок разработки, реализации и оценки эффективности муниципальных программ Печенгского муниципального округа, утвержденный постановлением администрации Печенгского муниципального округа от 16.08.2021 № 838 </w:t>
      </w:r>
      <w:r>
        <w:rPr>
          <w:sz w:val="24"/>
          <w:szCs w:val="24"/>
        </w:rPr>
        <w:t xml:space="preserve">(в редакции постановления администрации Печенгского муниципального округа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25.04.2023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581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(далее </w:t>
      </w: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Порядок)</w:t>
      </w:r>
      <w:r>
        <w:rPr>
          <w:sz w:val="24"/>
          <w:szCs w:val="24"/>
        </w:rPr>
        <w:t xml:space="preserve"> следующие изменения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</w:p>
    <w:p>
      <w:pPr>
        <w:pStyle w:val="775"/>
        <w:numPr>
          <w:ilvl w:val="1"/>
          <w:numId w:val="33"/>
        </w:numPr>
        <w:ind w:left="0" w:right="0" w:firstLine="709"/>
        <w:tabs>
          <w:tab w:val="left" w:pos="0" w:leader="none"/>
          <w:tab w:val="left" w:pos="1134" w:leader="none"/>
          <w:tab w:val="clear" w:pos="4500" w:leader="none"/>
          <w:tab w:val="clear" w:pos="522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а</w:t>
      </w:r>
      <w:r>
        <w:rPr>
          <w:sz w:val="24"/>
          <w:szCs w:val="24"/>
        </w:rPr>
        <w:t xml:space="preserve">бзац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первом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ункт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6.10 </w:t>
      </w:r>
      <w:r>
        <w:rPr>
          <w:sz w:val="24"/>
          <w:szCs w:val="24"/>
        </w:rPr>
        <w:t xml:space="preserve">раздела 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Порядка </w:t>
      </w:r>
      <w:r>
        <w:rPr>
          <w:sz w:val="24"/>
          <w:szCs w:val="24"/>
        </w:rPr>
        <w:t xml:space="preserve">слово «марта» заменить словом «апреля».</w:t>
      </w:r>
      <w:r>
        <w:rPr>
          <w:sz w:val="24"/>
          <w:szCs w:val="24"/>
        </w:rPr>
      </w:r>
    </w:p>
    <w:p>
      <w:pPr>
        <w:pStyle w:val="775"/>
        <w:numPr>
          <w:ilvl w:val="1"/>
          <w:numId w:val="33"/>
        </w:numPr>
        <w:ind w:right="0" w:hanging="420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пункте 6.11 раздела 6 Порядка слово «апреля» заменить словом «мая».</w:t>
      </w:r>
      <w:r>
        <w:rPr>
          <w:sz w:val="24"/>
          <w:szCs w:val="24"/>
        </w:rPr>
      </w:r>
    </w:p>
    <w:p>
      <w:pPr>
        <w:pStyle w:val="732"/>
        <w:contextualSpacing/>
        <w:ind w:left="0" w:firstLine="709"/>
        <w:jc w:val="both"/>
        <w:tabs>
          <w:tab w:val="left" w:pos="709" w:leader="none"/>
        </w:tabs>
      </w:pPr>
      <w:r>
        <w:t xml:space="preserve">2</w:t>
      </w:r>
      <w:r>
        <w:t xml:space="preserve">. Настоящее постановление вступает в силу после его подписания.</w:t>
      </w:r>
      <w:r/>
    </w:p>
    <w:p>
      <w:pPr>
        <w:pStyle w:val="732"/>
        <w:contextualSpacing/>
        <w:ind w:left="0" w:firstLine="709"/>
        <w:jc w:val="both"/>
        <w:tabs>
          <w:tab w:val="left" w:pos="709" w:leader="none"/>
        </w:tabs>
      </w:pPr>
      <w:r>
        <w:t xml:space="preserve">3</w:t>
      </w:r>
      <w:r>
        <w:t xml:space="preserve">. </w:t>
      </w:r>
      <w:r>
        <w:t xml:space="preserve">Настоящее постановление опубликова</w:t>
      </w:r>
      <w:r>
        <w:t xml:space="preserve">ть</w:t>
      </w:r>
      <w:r>
        <w:t xml:space="preserve"> в газет</w:t>
      </w:r>
      <w:r>
        <w:t xml:space="preserve">е</w:t>
      </w:r>
      <w:r>
        <w:t xml:space="preserve"> «Печенга» и разме</w:t>
      </w:r>
      <w:r>
        <w:t xml:space="preserve">стить</w:t>
      </w:r>
      <w:r>
        <w:t xml:space="preserve"> на сайте Печенгского муниципального округа </w:t>
      </w:r>
      <w:r>
        <w:t xml:space="preserve">в сети Интернет.</w:t>
      </w:r>
      <w:r/>
    </w:p>
    <w:p>
      <w:pPr>
        <w:pStyle w:val="732"/>
        <w:contextualSpacing/>
        <w:ind w:left="0" w:firstLine="709"/>
        <w:jc w:val="both"/>
        <w:tabs>
          <w:tab w:val="left" w:pos="709" w:leader="none"/>
        </w:tabs>
      </w:pPr>
      <w:r/>
      <w:r/>
    </w:p>
    <w:p>
      <w:pPr>
        <w:pStyle w:val="732"/>
        <w:contextualSpacing/>
        <w:ind w:left="0" w:firstLine="709"/>
        <w:jc w:val="both"/>
        <w:tabs>
          <w:tab w:val="left" w:pos="709" w:leader="none"/>
        </w:tabs>
      </w:pPr>
      <w:r/>
      <w:r/>
    </w:p>
    <w:p>
      <w:pPr>
        <w:pStyle w:val="732"/>
        <w:contextualSpacing/>
        <w:ind w:left="0"/>
        <w:jc w:val="both"/>
        <w:tabs>
          <w:tab w:val="left" w:pos="709" w:leader="none"/>
        </w:tabs>
      </w:pPr>
      <w:r>
        <w:t xml:space="preserve">Глав</w:t>
      </w:r>
      <w:r>
        <w:t xml:space="preserve">а</w:t>
      </w:r>
      <w:r>
        <w:t xml:space="preserve"> Печенгского муниципального округа  </w:t>
      </w:r>
      <w:r>
        <w:t xml:space="preserve"> </w:t>
      </w:r>
      <w:r>
        <w:t xml:space="preserve">              </w:t>
      </w:r>
      <w:r>
        <w:t xml:space="preserve">        </w:t>
      </w:r>
      <w:r>
        <w:t xml:space="preserve">                        </w:t>
      </w:r>
      <w:r>
        <w:t xml:space="preserve"> </w:t>
      </w:r>
      <w:r>
        <w:t xml:space="preserve">     </w:t>
      </w:r>
      <w:r>
        <w:t xml:space="preserve"> </w:t>
      </w:r>
      <w:r>
        <w:t xml:space="preserve">А.В.</w:t>
      </w:r>
      <w:r>
        <w:t xml:space="preserve"> </w:t>
      </w:r>
      <w:r>
        <w:t xml:space="preserve">Кузнецов </w:t>
      </w:r>
      <w:r/>
    </w:p>
    <w:p>
      <w:pPr>
        <w:pStyle w:val="732"/>
        <w:contextualSpacing/>
        <w:ind w:left="0"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32"/>
        <w:contextualSpacing/>
        <w:ind w:left="0"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32"/>
        <w:contextualSpacing/>
        <w:ind w:left="0"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32"/>
        <w:contextualSpacing/>
        <w:ind w:left="0"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32"/>
        <w:contextualSpacing/>
        <w:ind w:left="0"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32"/>
        <w:contextualSpacing/>
        <w:ind w:left="0"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32"/>
        <w:contextualSpacing/>
        <w:ind w:left="0"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32"/>
        <w:contextualSpacing/>
        <w:ind w:left="0"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32"/>
        <w:contextualSpacing/>
        <w:ind w:left="0"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32"/>
        <w:contextualSpacing/>
        <w:ind w:left="0"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32"/>
        <w:contextualSpacing/>
        <w:ind w:left="0"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32"/>
        <w:contextualSpacing/>
        <w:ind w:left="0"/>
        <w:jc w:val="both"/>
        <w:tabs>
          <w:tab w:val="left" w:pos="709" w:leader="none"/>
        </w:tabs>
        <w:rPr>
          <w:sz w:val="20"/>
          <w:szCs w:val="20"/>
        </w:rPr>
      </w:pPr>
      <w:r/>
      <w:bookmarkStart w:id="0" w:name="_GoBack"/>
      <w:r/>
      <w:bookmarkEnd w:id="0"/>
      <w:r>
        <w:rPr>
          <w:sz w:val="20"/>
          <w:szCs w:val="20"/>
        </w:rPr>
        <w:t xml:space="preserve">Ч</w:t>
      </w:r>
      <w:r>
        <w:rPr>
          <w:bCs/>
          <w:sz w:val="20"/>
          <w:szCs w:val="20"/>
        </w:rPr>
        <w:t xml:space="preserve">упина</w:t>
      </w:r>
      <w:r>
        <w:rPr>
          <w:bCs/>
          <w:sz w:val="20"/>
          <w:szCs w:val="20"/>
        </w:rPr>
        <w:t xml:space="preserve"> Н.В., </w:t>
      </w:r>
      <w:r>
        <w:rPr>
          <w:bCs/>
          <w:sz w:val="20"/>
          <w:szCs w:val="20"/>
        </w:rPr>
        <w:t xml:space="preserve">62041</w:t>
      </w:r>
      <w:r>
        <w:rPr>
          <w:sz w:val="20"/>
          <w:szCs w:val="20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Constantia">
    <w:panose1 w:val="02030602050306030303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778"/>
      </w:pPr>
      <w:r>
        <w:separator/>
      </w:r>
      <w:r/>
    </w:p>
  </w:footnote>
  <w:footnote w:type="continuationSeparator" w:id="0">
    <w:p>
      <w:pPr>
        <w:pStyle w:val="778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78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78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2"/>
      <w:numFmt w:val="decimal"/>
      <w:isLgl w:val="false"/>
      <w:suff w:val="tab"/>
      <w:lvlText w:val="%1.%2."/>
      <w:lvlJc w:val="left"/>
      <w:pPr>
        <w:ind w:left="720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798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58"/>
      </w:pPr>
      <w:rPr>
        <w:rFonts w:ascii="Times New Roman" w:hAnsi="Times New Roman" w:eastAsia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798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58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78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718"/>
        <w:tabs>
          <w:tab w:val="left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718"/>
        <w:tabs>
          <w:tab w:val="left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71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718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718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71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718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718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718"/>
        <w:tabs>
          <w:tab w:val="left" w:pos="6480" w:leader="none"/>
        </w:tabs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58"/>
      </w:pPr>
    </w:lvl>
    <w:lvl w:ilvl="1">
      <w:start w:val="3"/>
      <w:numFmt w:val="decimal"/>
      <w:isLgl w:val="false"/>
      <w:suff w:val="tab"/>
      <w:lvlText w:val="%1.%2."/>
      <w:lvlJc w:val="left"/>
      <w:pPr>
        <w:ind w:left="720" w:hanging="358"/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798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6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58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30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02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74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46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18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90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622" w:hanging="178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decimal"/>
      <w:isLgl w:val="false"/>
      <w:suff w:val="tab"/>
      <w:lvlText w:val="%1.%2."/>
      <w:lvlJc w:val="left"/>
      <w:pPr>
        <w:ind w:left="5039" w:hanging="358"/>
      </w:pPr>
      <w:rPr>
        <w:b w:val="0"/>
        <w:bCs w:val="0"/>
        <w:sz w:val="24"/>
        <w:szCs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88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6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40" w:hanging="1798"/>
      </w:pPr>
    </w:lvl>
  </w:abstractNum>
  <w:abstractNum w:abstractNumId="1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78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rFonts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rFonts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40" w:hanging="478"/>
        <w:tabs>
          <w:tab w:val="left" w:pos="840" w:leader="none"/>
        </w:tabs>
      </w:pPr>
      <w:rPr>
        <w:i w:val="0"/>
        <w:iCs w:val="0"/>
        <w:color w:val="000000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34" w:hanging="1125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12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54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60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02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0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6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89" w:hanging="1800"/>
      </w:pPr>
      <w:rPr>
        <w:rFonts w:hint="default"/>
      </w:rPr>
    </w:lvl>
  </w:abstractNum>
  <w:abstractNum w:abstractNumId="2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2"/>
      <w:numFmt w:val="decimal"/>
      <w:isLgl w:val="false"/>
      <w:suff w:val="tab"/>
      <w:lvlText w:val="%1.%2."/>
      <w:lvlJc w:val="left"/>
      <w:pPr>
        <w:ind w:left="720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798"/>
      </w:pPr>
    </w:lvl>
  </w:abstractNum>
  <w:abstractNum w:abstractNumId="22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78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5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0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96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5" w:hanging="178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58"/>
      </w:pPr>
      <w:rPr>
        <w:rFonts w:ascii="Times New Roman" w:hAnsi="Times New Roman" w:eastAsia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278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1998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718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438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158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878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598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318" w:hanging="178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58"/>
        <w:tabs>
          <w:tab w:val="left" w:pos="10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58"/>
        <w:tabs>
          <w:tab w:val="left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78"/>
        <w:tabs>
          <w:tab w:val="left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58"/>
        <w:tabs>
          <w:tab w:val="left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58"/>
        <w:tabs>
          <w:tab w:val="left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78"/>
        <w:tabs>
          <w:tab w:val="left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58"/>
        <w:tabs>
          <w:tab w:val="left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58"/>
        <w:tabs>
          <w:tab w:val="left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78"/>
        <w:tabs>
          <w:tab w:val="left" w:pos="6840" w:leader="none"/>
        </w:tabs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58"/>
        <w:tabs>
          <w:tab w:val="left" w:pos="720" w:leader="none"/>
        </w:tabs>
      </w:pPr>
      <w:rPr>
        <w:rFonts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bullet"/>
      <w:isLgl w:val="false"/>
      <w:suff w:val="tab"/>
      <w:lvlText w:val=""/>
      <w:lvlJc w:val="left"/>
      <w:pPr>
        <w:ind w:left="2160" w:hanging="358"/>
        <w:tabs>
          <w:tab w:val="left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58"/>
        <w:tabs>
          <w:tab w:val="left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58"/>
        <w:tabs>
          <w:tab w:val="left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58"/>
        <w:tabs>
          <w:tab w:val="left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58"/>
        <w:tabs>
          <w:tab w:val="left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58"/>
        <w:tabs>
          <w:tab w:val="left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58"/>
        <w:tabs>
          <w:tab w:val="left" w:pos="6480" w:leader="none"/>
        </w:tabs>
      </w:pPr>
      <w:rPr>
        <w:rFonts w:ascii="Wingdings" w:hAnsi="Wingdings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9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78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 w:val="0"/>
        <w:bCs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3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06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277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49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21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493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565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37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09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7815" w:hanging="178"/>
      </w:pPr>
    </w:lvl>
  </w:abstractNum>
  <w:abstractNum w:abstractNumId="32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353" w:hanging="358"/>
        <w:tabs>
          <w:tab w:val="left" w:pos="1353" w:leader="none"/>
        </w:tabs>
      </w:pPr>
      <w:rPr>
        <w:rFonts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58"/>
        <w:tabs>
          <w:tab w:val="left" w:pos="198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58"/>
        <w:tabs>
          <w:tab w:val="left" w:pos="270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58"/>
        <w:tabs>
          <w:tab w:val="left" w:pos="342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58"/>
        <w:tabs>
          <w:tab w:val="left" w:pos="414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58"/>
        <w:tabs>
          <w:tab w:val="left" w:pos="486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58"/>
        <w:tabs>
          <w:tab w:val="left" w:pos="558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58"/>
        <w:tabs>
          <w:tab w:val="left" w:pos="630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58"/>
        <w:tabs>
          <w:tab w:val="left" w:pos="7020" w:leader="none"/>
        </w:tabs>
      </w:pPr>
      <w:rPr>
        <w:rFonts w:ascii="Wingdings" w:hAnsi="Wingdings"/>
      </w:rPr>
    </w:lvl>
  </w:abstractNum>
  <w:num w:numId="1">
    <w:abstractNumId w:val="24"/>
  </w:num>
  <w:num w:numId="2">
    <w:abstractNumId w:val="25"/>
  </w:num>
  <w:num w:numId="3">
    <w:abstractNumId w:val="22"/>
  </w:num>
  <w:num w:numId="4">
    <w:abstractNumId w:val="3"/>
  </w:num>
  <w:num w:numId="5">
    <w:abstractNumId w:val="21"/>
  </w:num>
  <w:num w:numId="6">
    <w:abstractNumId w:val="16"/>
  </w:num>
  <w:num w:numId="7">
    <w:abstractNumId w:val="5"/>
  </w:num>
  <w:num w:numId="8">
    <w:abstractNumId w:val="18"/>
  </w:num>
  <w:num w:numId="9">
    <w:abstractNumId w:val="6"/>
  </w:num>
  <w:num w:numId="10">
    <w:abstractNumId w:val="27"/>
  </w:num>
  <w:num w:numId="11">
    <w:abstractNumId w:val="20"/>
  </w:num>
  <w:num w:numId="12">
    <w:abstractNumId w:val="0"/>
  </w:num>
  <w:num w:numId="13">
    <w:abstractNumId w:val="9"/>
  </w:num>
  <w:num w:numId="14">
    <w:abstractNumId w:val="17"/>
  </w:num>
  <w:num w:numId="15">
    <w:abstractNumId w:val="32"/>
  </w:num>
  <w:num w:numId="16">
    <w:abstractNumId w:val="14"/>
  </w:num>
  <w:num w:numId="17">
    <w:abstractNumId w:val="4"/>
  </w:num>
  <w:num w:numId="18">
    <w:abstractNumId w:val="15"/>
  </w:num>
  <w:num w:numId="19">
    <w:abstractNumId w:val="11"/>
  </w:num>
  <w:num w:numId="20">
    <w:abstractNumId w:val="13"/>
  </w:num>
  <w:num w:numId="21">
    <w:abstractNumId w:val="23"/>
  </w:num>
  <w:num w:numId="22">
    <w:abstractNumId w:val="12"/>
  </w:num>
  <w:num w:numId="23">
    <w:abstractNumId w:val="10"/>
  </w:num>
  <w:num w:numId="24">
    <w:abstractNumId w:val="2"/>
  </w:num>
  <w:num w:numId="25">
    <w:abstractNumId w:val="28"/>
  </w:num>
  <w:num w:numId="26">
    <w:abstractNumId w:val="7"/>
  </w:num>
  <w:num w:numId="27">
    <w:abstractNumId w:val="30"/>
  </w:num>
  <w:num w:numId="28">
    <w:abstractNumId w:val="1"/>
  </w:num>
  <w:num w:numId="29">
    <w:abstractNumId w:val="8"/>
  </w:num>
  <w:num w:numId="30">
    <w:abstractNumId w:val="29"/>
  </w:num>
  <w:num w:numId="31">
    <w:abstractNumId w:val="31"/>
  </w:num>
  <w:num w:numId="32">
    <w:abstractNumId w:val="26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729"/>
    <w:link w:val="720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729"/>
    <w:link w:val="721"/>
    <w:uiPriority w:val="9"/>
    <w:rPr>
      <w:rFonts w:ascii="Arial" w:hAnsi="Arial" w:eastAsia="Arial" w:cs="Arial"/>
      <w:sz w:val="34"/>
    </w:rPr>
  </w:style>
  <w:style w:type="character" w:styleId="18">
    <w:name w:val="Heading 3 Char"/>
    <w:basedOn w:val="729"/>
    <w:link w:val="722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729"/>
    <w:link w:val="723"/>
    <w:uiPriority w:val="9"/>
    <w:rPr>
      <w:rFonts w:ascii="Arial" w:hAnsi="Arial" w:eastAsia="Arial" w:cs="Arial"/>
      <w:b/>
      <w:bCs/>
      <w:sz w:val="26"/>
      <w:szCs w:val="26"/>
    </w:rPr>
  </w:style>
  <w:style w:type="character" w:styleId="22">
    <w:name w:val="Heading 5 Char"/>
    <w:basedOn w:val="729"/>
    <w:link w:val="724"/>
    <w:uiPriority w:val="9"/>
    <w:rPr>
      <w:rFonts w:ascii="Arial" w:hAnsi="Arial" w:eastAsia="Arial" w:cs="Arial"/>
      <w:b/>
      <w:bCs/>
      <w:sz w:val="24"/>
      <w:szCs w:val="24"/>
    </w:rPr>
  </w:style>
  <w:style w:type="character" w:styleId="24">
    <w:name w:val="Heading 6 Char"/>
    <w:basedOn w:val="729"/>
    <w:link w:val="725"/>
    <w:uiPriority w:val="9"/>
    <w:rPr>
      <w:rFonts w:ascii="Arial" w:hAnsi="Arial" w:eastAsia="Arial" w:cs="Arial"/>
      <w:b/>
      <w:bCs/>
      <w:sz w:val="22"/>
      <w:szCs w:val="22"/>
    </w:rPr>
  </w:style>
  <w:style w:type="character" w:styleId="26">
    <w:name w:val="Heading 7 Char"/>
    <w:basedOn w:val="729"/>
    <w:link w:val="72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8">
    <w:name w:val="Heading 8 Char"/>
    <w:basedOn w:val="729"/>
    <w:link w:val="727"/>
    <w:uiPriority w:val="9"/>
    <w:rPr>
      <w:rFonts w:ascii="Arial" w:hAnsi="Arial" w:eastAsia="Arial" w:cs="Arial"/>
      <w:i/>
      <w:iCs/>
      <w:sz w:val="22"/>
      <w:szCs w:val="22"/>
    </w:rPr>
  </w:style>
  <w:style w:type="character" w:styleId="30">
    <w:name w:val="Heading 9 Char"/>
    <w:basedOn w:val="729"/>
    <w:link w:val="728"/>
    <w:uiPriority w:val="9"/>
    <w:rPr>
      <w:rFonts w:ascii="Arial" w:hAnsi="Arial" w:eastAsia="Arial" w:cs="Arial"/>
      <w:i/>
      <w:iCs/>
      <w:sz w:val="21"/>
      <w:szCs w:val="21"/>
    </w:rPr>
  </w:style>
  <w:style w:type="character" w:styleId="35">
    <w:name w:val="Title Char"/>
    <w:basedOn w:val="729"/>
    <w:link w:val="734"/>
    <w:uiPriority w:val="10"/>
    <w:rPr>
      <w:sz w:val="48"/>
      <w:szCs w:val="48"/>
    </w:rPr>
  </w:style>
  <w:style w:type="character" w:styleId="37">
    <w:name w:val="Subtitle Char"/>
    <w:basedOn w:val="729"/>
    <w:link w:val="735"/>
    <w:uiPriority w:val="11"/>
    <w:rPr>
      <w:sz w:val="24"/>
      <w:szCs w:val="24"/>
    </w:rPr>
  </w:style>
  <w:style w:type="character" w:styleId="39">
    <w:name w:val="Quote Char"/>
    <w:link w:val="736"/>
    <w:uiPriority w:val="29"/>
    <w:rPr>
      <w:i/>
    </w:rPr>
  </w:style>
  <w:style w:type="character" w:styleId="41">
    <w:name w:val="Intense Quote Char"/>
    <w:link w:val="737"/>
    <w:uiPriority w:val="30"/>
    <w:rPr>
      <w:i/>
    </w:rPr>
  </w:style>
  <w:style w:type="character" w:styleId="43">
    <w:name w:val="Header Char"/>
    <w:basedOn w:val="729"/>
    <w:link w:val="738"/>
    <w:uiPriority w:val="99"/>
  </w:style>
  <w:style w:type="character" w:styleId="45">
    <w:name w:val="Footer Char"/>
    <w:basedOn w:val="729"/>
    <w:link w:val="739"/>
    <w:uiPriority w:val="99"/>
  </w:style>
  <w:style w:type="paragraph" w:styleId="46">
    <w:name w:val="Caption"/>
    <w:basedOn w:val="719"/>
    <w:next w:val="7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739"/>
    <w:uiPriority w:val="99"/>
  </w:style>
  <w:style w:type="table" w:styleId="49">
    <w:name w:val="Table Grid Light"/>
    <w:basedOn w:val="73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73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73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7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7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7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7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7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7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7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7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"/>
    <w:basedOn w:val="7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paragraph" w:styleId="178">
    <w:name w:val="endnote text"/>
    <w:basedOn w:val="719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729"/>
    <w:uiPriority w:val="99"/>
    <w:semiHidden/>
    <w:unhideWhenUsed/>
    <w:rPr>
      <w:vertAlign w:val="superscript"/>
    </w:rPr>
  </w:style>
  <w:style w:type="paragraph" w:styleId="181">
    <w:name w:val="toc 1"/>
    <w:basedOn w:val="719"/>
    <w:next w:val="719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19"/>
    <w:next w:val="719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19"/>
    <w:next w:val="719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19"/>
    <w:next w:val="719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19"/>
    <w:next w:val="719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19"/>
    <w:next w:val="719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19"/>
    <w:next w:val="719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19"/>
    <w:next w:val="719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19"/>
    <w:next w:val="719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19"/>
    <w:next w:val="719"/>
    <w:uiPriority w:val="99"/>
    <w:unhideWhenUsed/>
    <w:pPr>
      <w:spacing w:after="0" w:afterAutospacing="0"/>
    </w:pPr>
  </w:style>
  <w:style w:type="paragraph" w:styleId="719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720">
    <w:name w:val="Heading 1"/>
    <w:basedOn w:val="719"/>
    <w:next w:val="71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721">
    <w:name w:val="Heading 2"/>
    <w:basedOn w:val="719"/>
    <w:next w:val="719"/>
    <w:uiPriority w:val="9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722">
    <w:name w:val="Heading 3"/>
    <w:basedOn w:val="719"/>
    <w:next w:val="719"/>
    <w:uiPriority w:val="9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723">
    <w:name w:val="Heading 4"/>
    <w:basedOn w:val="719"/>
    <w:next w:val="719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724">
    <w:name w:val="Heading 5"/>
    <w:basedOn w:val="719"/>
    <w:next w:val="719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725">
    <w:name w:val="Heading 6"/>
    <w:basedOn w:val="719"/>
    <w:next w:val="719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726">
    <w:name w:val="Heading 7"/>
    <w:basedOn w:val="719"/>
    <w:next w:val="719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727">
    <w:name w:val="Heading 8"/>
    <w:basedOn w:val="719"/>
    <w:next w:val="719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728">
    <w:name w:val="Heading 9"/>
    <w:basedOn w:val="719"/>
    <w:next w:val="719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729" w:default="1">
    <w:name w:val="Default Paragraph Font"/>
    <w:uiPriority w:val="1"/>
    <w:semiHidden/>
    <w:unhideWhenUsed/>
  </w:style>
  <w:style w:type="table" w:styleId="73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1" w:default="1">
    <w:name w:val="No List"/>
    <w:uiPriority w:val="99"/>
    <w:semiHidden/>
    <w:unhideWhenUsed/>
  </w:style>
  <w:style w:type="paragraph" w:styleId="732">
    <w:name w:val="List Paragraph"/>
    <w:basedOn w:val="719"/>
    <w:pPr>
      <w:ind w:left="720"/>
    </w:pPr>
  </w:style>
  <w:style w:type="paragraph" w:styleId="733">
    <w:name w:val="No Spacing"/>
    <w:basedOn w:val="719"/>
    <w:uiPriority w:val="1"/>
    <w:qFormat/>
    <w:rPr>
      <w:color w:val="000000"/>
    </w:rPr>
  </w:style>
  <w:style w:type="paragraph" w:styleId="734">
    <w:name w:val="Title"/>
    <w:basedOn w:val="719"/>
    <w:next w:val="719"/>
    <w:uiPriority w:val="10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735">
    <w:name w:val="Subtitle"/>
    <w:basedOn w:val="719"/>
    <w:next w:val="719"/>
    <w:uiPriority w:val="11"/>
    <w:qFormat/>
    <w:rPr>
      <w:i/>
      <w:color w:val="444444"/>
      <w:sz w:val="52"/>
    </w:rPr>
  </w:style>
  <w:style w:type="paragraph" w:styleId="736">
    <w:name w:val="Quote"/>
    <w:basedOn w:val="719"/>
    <w:next w:val="719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737">
    <w:name w:val="Intense Quote"/>
    <w:basedOn w:val="719"/>
    <w:next w:val="719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738">
    <w:name w:val="Header"/>
    <w:basedOn w:val="719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739">
    <w:name w:val="Footer"/>
    <w:basedOn w:val="719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740">
    <w:name w:val="Table Grid"/>
    <w:basedOn w:val="730"/>
    <w:rPr>
      <w:rFonts w:ascii="Times New Roman" w:hAnsi="Times New Roman" w:eastAsia="Times New Roman"/>
      <w:szCs w:val="20"/>
    </w:rPr>
    <w:tblPr/>
  </w:style>
  <w:style w:type="table" w:styleId="741" w:customStyle="1">
    <w:name w:val="Lined"/>
    <w:basedOn w:val="73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742" w:customStyle="1">
    <w:name w:val="Lined - Accent 1"/>
    <w:basedOn w:val="73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743" w:customStyle="1">
    <w:name w:val="Lined - Accent 2"/>
    <w:basedOn w:val="73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744" w:customStyle="1">
    <w:name w:val="Lined - Accent 3"/>
    <w:basedOn w:val="73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745" w:customStyle="1">
    <w:name w:val="Lined - Accent 4"/>
    <w:basedOn w:val="73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746" w:customStyle="1">
    <w:name w:val="Lined - Accent 5"/>
    <w:basedOn w:val="73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747" w:customStyle="1">
    <w:name w:val="Lined - Accent 6"/>
    <w:basedOn w:val="73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748" w:customStyle="1">
    <w:name w:val="Bordered"/>
    <w:basedOn w:val="730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749" w:customStyle="1">
    <w:name w:val="Bordered - Accent 1"/>
    <w:basedOn w:val="730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750" w:customStyle="1">
    <w:name w:val="Bordered - Accent 2"/>
    <w:basedOn w:val="730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751" w:customStyle="1">
    <w:name w:val="Bordered - Accent 3"/>
    <w:basedOn w:val="730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752" w:customStyle="1">
    <w:name w:val="Bordered - Accent 4"/>
    <w:basedOn w:val="730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753" w:customStyle="1">
    <w:name w:val="Bordered - Accent 5"/>
    <w:basedOn w:val="730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754" w:customStyle="1">
    <w:name w:val="Bordered - Accent 6"/>
    <w:basedOn w:val="730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755" w:customStyle="1">
    <w:name w:val="Bordered &amp; Lined"/>
    <w:basedOn w:val="730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756" w:customStyle="1">
    <w:name w:val="Bordered &amp; Lined - Accent 1"/>
    <w:basedOn w:val="730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757" w:customStyle="1">
    <w:name w:val="Bordered &amp; Lined - Accent 2"/>
    <w:basedOn w:val="730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758" w:customStyle="1">
    <w:name w:val="Bordered &amp; Lined - Accent 3"/>
    <w:basedOn w:val="730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759" w:customStyle="1">
    <w:name w:val="Bordered &amp; Lined - Accent 4"/>
    <w:basedOn w:val="730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760" w:customStyle="1">
    <w:name w:val="Bordered &amp; Lined - Accent 5"/>
    <w:basedOn w:val="730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761" w:customStyle="1">
    <w:name w:val="Bordered &amp; Lined - Accent 6"/>
    <w:basedOn w:val="730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762">
    <w:name w:val="Hyperlink"/>
    <w:semiHidden/>
    <w:rPr>
      <w:color w:val="0000ff"/>
      <w:u w:val="single"/>
    </w:rPr>
  </w:style>
  <w:style w:type="paragraph" w:styleId="763">
    <w:name w:val="footnote text"/>
    <w:basedOn w:val="719"/>
    <w:uiPriority w:val="99"/>
    <w:semiHidden/>
    <w:unhideWhenUsed/>
    <w:rPr>
      <w:sz w:val="20"/>
    </w:rPr>
  </w:style>
  <w:style w:type="character" w:styleId="764" w:customStyle="1">
    <w:name w:val="Footnote Text Char"/>
    <w:basedOn w:val="729"/>
    <w:uiPriority w:val="99"/>
    <w:semiHidden/>
    <w:rPr>
      <w:sz w:val="20"/>
    </w:rPr>
  </w:style>
  <w:style w:type="character" w:styleId="765">
    <w:name w:val="footnote reference"/>
    <w:basedOn w:val="729"/>
    <w:uiPriority w:val="99"/>
    <w:semiHidden/>
    <w:unhideWhenUsed/>
    <w:rPr>
      <w:vertAlign w:val="superscript"/>
    </w:rPr>
  </w:style>
  <w:style w:type="paragraph" w:styleId="766">
    <w:name w:val="Balloon Text"/>
    <w:basedOn w:val="719"/>
    <w:semiHidden/>
    <w:rPr>
      <w:rFonts w:ascii="Tahoma" w:hAnsi="Tahoma"/>
      <w:sz w:val="16"/>
      <w:szCs w:val="16"/>
    </w:rPr>
  </w:style>
  <w:style w:type="character" w:styleId="767" w:customStyle="1">
    <w:name w:val="Текст выноски Знак"/>
    <w:semiHidden/>
    <w:rPr>
      <w:rFonts w:ascii="Tahoma" w:hAnsi="Tahoma"/>
      <w:sz w:val="16"/>
      <w:szCs w:val="16"/>
      <w:lang w:val="en-US" w:eastAsia="ru-RU"/>
    </w:rPr>
  </w:style>
  <w:style w:type="paragraph" w:styleId="768">
    <w:name w:val="Normal (Web)"/>
    <w:basedOn w:val="719"/>
    <w:uiPriority w:val="99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769" w:customStyle="1">
    <w:name w:val="МОН Знак"/>
    <w:rPr>
      <w:sz w:val="24"/>
      <w:szCs w:val="24"/>
    </w:rPr>
  </w:style>
  <w:style w:type="paragraph" w:styleId="770" w:customStyle="1">
    <w:name w:val="МОН"/>
    <w:basedOn w:val="719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771">
    <w:name w:val="Strong"/>
    <w:rPr>
      <w:b/>
      <w:bCs/>
    </w:rPr>
  </w:style>
  <w:style w:type="paragraph" w:styleId="772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773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774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775">
    <w:name w:val="Body Text 2"/>
    <w:basedOn w:val="719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776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777" w:customStyle="1">
    <w:name w:val="GenStyleDefNum"/>
  </w:style>
  <w:style w:type="paragraph" w:styleId="778" w:customStyle="1">
    <w:name w:val="GenStyleDefPar"/>
  </w:style>
  <w:style w:type="table" w:styleId="779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780" w:customStyle="1">
    <w:name w:val="docdata"/>
    <w:basedOn w:val="71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5</cp:revision>
  <dcterms:created xsi:type="dcterms:W3CDTF">2024-03-06T15:15:00Z</dcterms:created>
  <dcterms:modified xsi:type="dcterms:W3CDTF">2024-03-13T06:35:03Z</dcterms:modified>
</cp:coreProperties>
</file>