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22</w:t>
      </w:r>
      <w:r>
        <w:rPr>
          <w:b/>
          <w:sz w:val="24"/>
        </w:rPr>
        <w:t xml:space="preserve">.02.2024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№ </w:t>
      </w:r>
      <w:r>
        <w:rPr>
          <w:b/>
          <w:sz w:val="24"/>
        </w:rPr>
        <w:t xml:space="preserve">273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Порядка принятия решения об установке дорожного знака</w:t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«Парковка</w:t>
      </w:r>
      <w:r>
        <w:rPr>
          <w:b/>
        </w:rPr>
        <w:t xml:space="preserve"> (парковочное место</w:t>
      </w:r>
      <w:r>
        <w:rPr>
          <w:b/>
        </w:rPr>
        <w:t xml:space="preserve">)</w:t>
      </w:r>
      <w:r>
        <w:rPr>
          <w:b/>
        </w:rPr>
        <w:t xml:space="preserve">» </w:t>
      </w:r>
      <w:r>
        <w:rPr>
          <w:b/>
        </w:rPr>
        <w:t xml:space="preserve">совместно </w:t>
      </w:r>
      <w:r>
        <w:rPr>
          <w:b/>
        </w:rPr>
        <w:t xml:space="preserve">с табличкой «Инвалиды» с нанесением дорожной разметки</w:t>
      </w:r>
      <w:r>
        <w:rPr>
          <w:b/>
        </w:rPr>
        <w:t xml:space="preserve">, дублирующей</w:t>
      </w:r>
      <w:r>
        <w:rPr>
          <w:b/>
        </w:rPr>
        <w:t xml:space="preserve"> дорожн</w:t>
      </w:r>
      <w:r>
        <w:rPr>
          <w:b/>
        </w:rPr>
        <w:t xml:space="preserve">ый</w:t>
      </w:r>
      <w:r>
        <w:rPr>
          <w:b/>
        </w:rPr>
        <w:t xml:space="preserve"> знак «Парковка</w:t>
      </w:r>
      <w:r>
        <w:rPr>
          <w:b/>
        </w:rPr>
        <w:t xml:space="preserve"> (парковочное место)</w:t>
      </w:r>
      <w:r>
        <w:rPr>
          <w:b/>
        </w:rPr>
        <w:t xml:space="preserve">» с табличкой «Инвалиды»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br/>
      </w:r>
      <w:r>
        <w:rPr>
          <w:b/>
        </w:rPr>
        <w:t xml:space="preserve">на придомовой территории многоквартирных домов в Печенгском муниципальном округе</w:t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24.11.</w:t>
      </w:r>
      <w:r>
        <w:rPr>
          <w:sz w:val="24"/>
          <w:szCs w:val="24"/>
        </w:rPr>
        <w:t xml:space="preserve">19</w:t>
      </w:r>
      <w:r>
        <w:rPr>
          <w:sz w:val="24"/>
          <w:szCs w:val="24"/>
        </w:rPr>
        <w:t xml:space="preserve">95 № 181-ФЗ «О социальной защите инвалидов в Российской Федерации», Уставом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Мурманской области</w:t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49"/>
        <w:ind w:left="0" w:right="-5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Утвердить Порядок принятия решения об установке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дорожного знака «Парковка (парковочное место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» совместно с табличкой «Инвалиды» с нанесением дорожной разметки, дублирующей дорожный знак «Парковка (парковочное место)» с табличкой «Инвалиды», на придомовой территории многоквартирных домов в Печенгском муниципальном</w:t>
      </w:r>
      <w:r>
        <w:rPr>
          <w:sz w:val="24"/>
          <w:szCs w:val="24"/>
        </w:rPr>
        <w:t xml:space="preserve"> округе</w:t>
      </w:r>
      <w:r>
        <w:rPr>
          <w:sz w:val="24"/>
          <w:szCs w:val="24"/>
        </w:rPr>
        <w:t xml:space="preserve">, согласно приложению к постановлению. </w:t>
      </w:r>
      <w:r>
        <w:rPr>
          <w:sz w:val="24"/>
          <w:szCs w:val="24"/>
        </w:rPr>
      </w:r>
    </w:p>
    <w:p>
      <w:pPr>
        <w:pStyle w:val="649"/>
        <w:ind w:left="0" w:right="-5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Определить </w:t>
      </w:r>
      <w:r>
        <w:rPr>
          <w:sz w:val="24"/>
          <w:szCs w:val="24"/>
        </w:rPr>
        <w:t xml:space="preserve">отдел </w:t>
      </w:r>
      <w:r>
        <w:rPr>
          <w:sz w:val="24"/>
          <w:szCs w:val="24"/>
        </w:rPr>
        <w:t xml:space="preserve">строительства и ЖКХ администрации Печенгского муниципального округа</w:t>
      </w:r>
      <w:r>
        <w:rPr>
          <w:sz w:val="24"/>
          <w:szCs w:val="24"/>
        </w:rPr>
        <w:t xml:space="preserve"> уполномоченным органом по принятию решения об установке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дорожного </w:t>
      </w:r>
      <w:r>
        <w:rPr>
          <w:sz w:val="24"/>
          <w:szCs w:val="24"/>
        </w:rPr>
        <w:t xml:space="preserve">знака «Парковка (парковочное место)» совместно с табличкой «Инвалиды» с нанесением дорожной разметки, дублирующей дорожный знак «Парковка (парковочное место)» с табличкой «Инвалиды», на придомовой территории многоквартирных домов в Печенгском муниципальном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округе </w:t>
      </w:r>
      <w:r>
        <w:rPr>
          <w:sz w:val="24"/>
          <w:szCs w:val="24"/>
        </w:rPr>
        <w:t xml:space="preserve">(далее - уполномоченный орган)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649"/>
        <w:ind w:left="0" w:right="-5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Определить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уполномоченны</w:t>
      </w:r>
      <w:r>
        <w:rPr>
          <w:sz w:val="24"/>
          <w:szCs w:val="24"/>
        </w:rPr>
        <w:t xml:space="preserve">ми</w:t>
      </w:r>
      <w:r>
        <w:rPr>
          <w:sz w:val="24"/>
          <w:szCs w:val="24"/>
        </w:rPr>
        <w:t xml:space="preserve"> на проведение обследовани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придомовых территорий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многоквартирных домов </w:t>
      </w:r>
      <w:r>
        <w:rPr>
          <w:sz w:val="24"/>
          <w:szCs w:val="24"/>
        </w:rPr>
        <w:t xml:space="preserve">на предмет возможности установки </w:t>
      </w:r>
      <w:r>
        <w:rPr>
          <w:sz w:val="24"/>
          <w:szCs w:val="24"/>
        </w:rPr>
        <w:t xml:space="preserve">дорожного знака «Парковка (парковочное место)» совместно с табличкой «Инвалиды» с нанесением дорожной разметки, дублирующей дорожный знак «Парковка (парковочное место)» с табличкой «Инвалиды»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следующие муниципальные учреждения (далее – уполномоченные учреждения):</w:t>
      </w:r>
      <w:r>
        <w:rPr>
          <w:sz w:val="24"/>
          <w:szCs w:val="24"/>
        </w:rPr>
      </w:r>
    </w:p>
    <w:p>
      <w:pPr>
        <w:pStyle w:val="649"/>
        <w:ind w:left="0" w:right="-5" w:firstLine="709"/>
        <w:jc w:val="both"/>
        <w:tabs>
          <w:tab w:val="left" w:pos="0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муниципальное бюджетное учреждение «</w:t>
      </w:r>
      <w:r>
        <w:rPr>
          <w:bCs/>
          <w:sz w:val="24"/>
          <w:szCs w:val="24"/>
        </w:rPr>
        <w:t xml:space="preserve">Никельская</w:t>
      </w:r>
      <w:r>
        <w:rPr>
          <w:bCs/>
          <w:sz w:val="24"/>
          <w:szCs w:val="24"/>
        </w:rPr>
        <w:t xml:space="preserve"> дорожная служба»</w:t>
      </w:r>
      <w:r>
        <w:rPr>
          <w:bCs/>
          <w:sz w:val="24"/>
          <w:szCs w:val="24"/>
        </w:rPr>
        <w:t xml:space="preserve"> (на территории </w:t>
      </w:r>
      <w:r>
        <w:rPr>
          <w:bCs/>
          <w:sz w:val="24"/>
          <w:szCs w:val="24"/>
        </w:rPr>
        <w:t xml:space="preserve">пгт</w:t>
      </w:r>
      <w:r>
        <w:rPr>
          <w:bCs/>
          <w:sz w:val="24"/>
          <w:szCs w:val="24"/>
        </w:rPr>
        <w:t xml:space="preserve">. Никель</w:t>
      </w:r>
      <w:r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н.п</w:t>
      </w:r>
      <w:r>
        <w:rPr>
          <w:bCs/>
          <w:sz w:val="24"/>
          <w:szCs w:val="24"/>
        </w:rPr>
        <w:t xml:space="preserve">. Борисоглебский, </w:t>
      </w:r>
      <w:r>
        <w:rPr>
          <w:bCs/>
          <w:sz w:val="24"/>
          <w:szCs w:val="24"/>
        </w:rPr>
        <w:t xml:space="preserve">н.п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Раякоски</w:t>
      </w:r>
      <w:r>
        <w:rPr>
          <w:bCs/>
          <w:sz w:val="24"/>
          <w:szCs w:val="24"/>
        </w:rPr>
        <w:t xml:space="preserve">)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</w:p>
    <w:p>
      <w:pPr>
        <w:pStyle w:val="649"/>
        <w:ind w:left="0" w:right="-5" w:firstLine="709"/>
        <w:jc w:val="both"/>
        <w:tabs>
          <w:tab w:val="left" w:pos="0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муниципальное бюджетное учреждение «</w:t>
      </w:r>
      <w:r>
        <w:rPr>
          <w:bCs/>
          <w:sz w:val="24"/>
          <w:szCs w:val="24"/>
        </w:rPr>
        <w:t xml:space="preserve">Ремонтно-эксплуатационная служба</w:t>
      </w:r>
      <w:r>
        <w:rPr>
          <w:bCs/>
          <w:sz w:val="24"/>
          <w:szCs w:val="24"/>
        </w:rPr>
        <w:t xml:space="preserve">»</w:t>
      </w:r>
      <w:r>
        <w:rPr>
          <w:bCs/>
          <w:sz w:val="24"/>
          <w:szCs w:val="24"/>
        </w:rPr>
        <w:t xml:space="preserve"> (на территории г. Заполярный);</w:t>
      </w:r>
      <w:r>
        <w:rPr>
          <w:bCs/>
          <w:sz w:val="24"/>
          <w:szCs w:val="24"/>
        </w:rPr>
      </w:r>
    </w:p>
    <w:p>
      <w:pPr>
        <w:pStyle w:val="649"/>
        <w:ind w:left="0" w:right="-5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муниципальное бюджетное учреждение «</w:t>
      </w:r>
      <w:r>
        <w:rPr>
          <w:bCs/>
          <w:sz w:val="24"/>
          <w:szCs w:val="24"/>
        </w:rPr>
        <w:t xml:space="preserve">Дорожно</w:t>
      </w:r>
      <w:r>
        <w:rPr>
          <w:bCs/>
          <w:sz w:val="24"/>
          <w:szCs w:val="24"/>
        </w:rPr>
        <w:t xml:space="preserve">-эксплуатационная служба</w:t>
      </w:r>
      <w:r>
        <w:rPr>
          <w:bCs/>
          <w:sz w:val="24"/>
          <w:szCs w:val="24"/>
        </w:rPr>
        <w:t xml:space="preserve"> Печенги</w:t>
      </w:r>
      <w:r>
        <w:rPr>
          <w:bCs/>
          <w:sz w:val="24"/>
          <w:szCs w:val="24"/>
        </w:rPr>
        <w:t xml:space="preserve">»</w:t>
      </w:r>
      <w:r>
        <w:rPr>
          <w:bCs/>
          <w:sz w:val="24"/>
          <w:szCs w:val="24"/>
        </w:rPr>
        <w:t xml:space="preserve"> (на </w:t>
      </w:r>
      <w:r>
        <w:rPr>
          <w:bCs/>
          <w:sz w:val="24"/>
          <w:szCs w:val="24"/>
        </w:rPr>
        <w:t xml:space="preserve">территории </w:t>
      </w:r>
      <w:r>
        <w:rPr>
          <w:bCs/>
          <w:sz w:val="24"/>
          <w:szCs w:val="24"/>
        </w:rPr>
        <w:t xml:space="preserve">пгт</w:t>
      </w:r>
      <w:r>
        <w:rPr>
          <w:bCs/>
          <w:sz w:val="24"/>
          <w:szCs w:val="24"/>
        </w:rPr>
        <w:t xml:space="preserve">. Печенга, </w:t>
      </w:r>
      <w:r>
        <w:rPr>
          <w:bCs/>
          <w:sz w:val="24"/>
          <w:szCs w:val="24"/>
        </w:rPr>
        <w:t xml:space="preserve">н.п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Лиинахамари</w:t>
      </w:r>
      <w:r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н.п</w:t>
      </w:r>
      <w:r>
        <w:rPr>
          <w:bCs/>
          <w:sz w:val="24"/>
          <w:szCs w:val="24"/>
        </w:rPr>
        <w:t xml:space="preserve">. Спутник; ж/</w:t>
      </w:r>
      <w:r>
        <w:rPr>
          <w:bCs/>
          <w:sz w:val="24"/>
          <w:szCs w:val="24"/>
        </w:rPr>
        <w:t xml:space="preserve">д_ст</w:t>
      </w:r>
      <w:r>
        <w:rPr>
          <w:bCs/>
          <w:sz w:val="24"/>
          <w:szCs w:val="24"/>
        </w:rPr>
        <w:t xml:space="preserve">. Печенга; </w:t>
      </w:r>
      <w:r>
        <w:rPr>
          <w:bCs/>
          <w:sz w:val="24"/>
          <w:szCs w:val="24"/>
        </w:rPr>
        <w:t xml:space="preserve">н.п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Луостари</w:t>
      </w:r>
      <w:r>
        <w:rPr>
          <w:bCs/>
          <w:sz w:val="24"/>
          <w:szCs w:val="24"/>
        </w:rPr>
        <w:t xml:space="preserve">; </w:t>
      </w:r>
      <w:r>
        <w:rPr>
          <w:bCs/>
          <w:sz w:val="24"/>
          <w:szCs w:val="24"/>
        </w:rPr>
        <w:t xml:space="preserve">н.п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Корзуново</w:t>
      </w:r>
      <w:r>
        <w:rPr>
          <w:bCs/>
          <w:sz w:val="24"/>
          <w:szCs w:val="24"/>
        </w:rPr>
        <w:t xml:space="preserve">).  </w:t>
      </w:r>
      <w:r>
        <w:rPr>
          <w:sz w:val="24"/>
          <w:szCs w:val="24"/>
        </w:rPr>
      </w:r>
    </w:p>
    <w:p>
      <w:pPr>
        <w:pStyle w:val="649"/>
        <w:ind w:left="0" w:right="-5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опубликования в газете «Печенга»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</w:p>
    <w:p>
      <w:pPr>
        <w:jc w:val="both"/>
      </w:pPr>
      <w:r/>
      <w:bookmarkStart w:id="0" w:name="_GoBack"/>
      <w:r/>
      <w:bookmarkEnd w:id="0"/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.02.2024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273</w:t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принятия решения об установке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дорожного знака «</w:t>
      </w:r>
      <w:r>
        <w:rPr>
          <w:sz w:val="24"/>
          <w:szCs w:val="24"/>
        </w:rPr>
        <w:t xml:space="preserve">Парковка (парковочное место)» совместно с табличкой «Инвалиды» с нанесением дорожной разметки, дублирующей дорожный знак «Парковка (парковочное место)» с табличкой «Инвалиды», на придомовой территории многоквартирных домов в Печенгском муниципальном округе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1. Общие положения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Настоящий Порядок принятия решения об установке дорожного знака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«Парковка</w:t>
      </w:r>
      <w:r>
        <w:rPr>
          <w:sz w:val="24"/>
          <w:szCs w:val="24"/>
        </w:rPr>
        <w:t xml:space="preserve"> (парковочное место)</w:t>
      </w:r>
      <w:r>
        <w:rPr>
          <w:sz w:val="24"/>
          <w:szCs w:val="24"/>
        </w:rPr>
        <w:t xml:space="preserve">» с</w:t>
      </w:r>
      <w:r>
        <w:rPr>
          <w:sz w:val="24"/>
          <w:szCs w:val="24"/>
        </w:rPr>
        <w:t xml:space="preserve">овместно с</w:t>
      </w:r>
      <w:r>
        <w:rPr>
          <w:sz w:val="24"/>
          <w:szCs w:val="24"/>
        </w:rPr>
        <w:t xml:space="preserve"> </w:t>
      </w:r>
      <w:hyperlink r:id="rId11" w:tooltip="https://login.consultant.ru/link/?req=doc&amp;base=LAW&amp;n=448809&amp;dst=101111" w:history="1">
        <w:r>
          <w:rPr>
            <w:rStyle w:val="653"/>
            <w:color w:val="auto"/>
            <w:sz w:val="24"/>
            <w:szCs w:val="24"/>
            <w:u w:val="none"/>
          </w:rPr>
          <w:t xml:space="preserve">табличк</w:t>
        </w:r>
        <w:r>
          <w:rPr>
            <w:rStyle w:val="653"/>
            <w:color w:val="auto"/>
            <w:sz w:val="24"/>
            <w:szCs w:val="24"/>
            <w:u w:val="none"/>
          </w:rPr>
          <w:t xml:space="preserve">ой</w:t>
        </w:r>
        <w:r>
          <w:rPr>
            <w:rStyle w:val="653"/>
            <w:color w:val="auto"/>
            <w:sz w:val="24"/>
            <w:szCs w:val="24"/>
            <w:u w:val="none"/>
          </w:rPr>
          <w:t xml:space="preserve"> 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Инвалиды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с нанесением </w:t>
      </w:r>
      <w:r>
        <w:rPr>
          <w:sz w:val="24"/>
          <w:szCs w:val="24"/>
        </w:rPr>
        <w:t xml:space="preserve">горизонтальной </w:t>
      </w:r>
      <w:r>
        <w:rPr>
          <w:sz w:val="24"/>
          <w:szCs w:val="24"/>
        </w:rPr>
        <w:t xml:space="preserve">дорожной разметк</w:t>
      </w:r>
      <w:r>
        <w:rPr>
          <w:sz w:val="24"/>
          <w:szCs w:val="24"/>
        </w:rPr>
        <w:t xml:space="preserve">ой,</w:t>
      </w:r>
      <w:r>
        <w:rPr>
          <w:sz w:val="24"/>
          <w:szCs w:val="24"/>
        </w:rPr>
        <w:t xml:space="preserve"> дублир</w:t>
      </w:r>
      <w:r>
        <w:rPr>
          <w:sz w:val="24"/>
          <w:szCs w:val="24"/>
        </w:rPr>
        <w:t xml:space="preserve">ующей </w:t>
      </w:r>
      <w:r>
        <w:rPr>
          <w:sz w:val="24"/>
          <w:szCs w:val="24"/>
        </w:rPr>
        <w:t xml:space="preserve">дорожн</w:t>
      </w:r>
      <w:r>
        <w:rPr>
          <w:sz w:val="24"/>
          <w:szCs w:val="24"/>
        </w:rPr>
        <w:t xml:space="preserve">ый</w:t>
      </w:r>
      <w:r>
        <w:rPr>
          <w:sz w:val="24"/>
          <w:szCs w:val="24"/>
        </w:rPr>
        <w:t xml:space="preserve"> знак «Парковка</w:t>
      </w:r>
      <w:r>
        <w:rPr>
          <w:sz w:val="24"/>
          <w:szCs w:val="24"/>
        </w:rPr>
        <w:t xml:space="preserve"> (парковочное место)</w:t>
      </w:r>
      <w:r>
        <w:rPr>
          <w:sz w:val="24"/>
          <w:szCs w:val="24"/>
        </w:rPr>
        <w:t xml:space="preserve">» с табличкой «Инвалиды»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на придомовой территории многоквартирных домов в </w:t>
      </w:r>
      <w:r>
        <w:rPr>
          <w:sz w:val="24"/>
          <w:szCs w:val="24"/>
        </w:rPr>
        <w:t xml:space="preserve">Печенгском муниципальном округе</w:t>
      </w:r>
      <w:r>
        <w:rPr>
          <w:sz w:val="24"/>
          <w:szCs w:val="24"/>
        </w:rPr>
        <w:t xml:space="preserve"> (далее - Порядок) разработан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соответствии с Жилищным кодексом Российской Федерации, Федеральным законом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06.10.2003 № 131-ФЗ «Об общих принципах организации местного самоуправления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Российской Федерации», Федеральным законом от 24.11.</w:t>
      </w:r>
      <w:r>
        <w:rPr>
          <w:sz w:val="24"/>
          <w:szCs w:val="24"/>
        </w:rPr>
        <w:t xml:space="preserve">19</w:t>
      </w:r>
      <w:r>
        <w:rPr>
          <w:sz w:val="24"/>
          <w:szCs w:val="24"/>
        </w:rPr>
        <w:t xml:space="preserve">95 № 181-ФЗ «О социальной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защите инвалидов в Российской Федерации», Уставом </w:t>
      </w:r>
      <w:r>
        <w:rPr>
          <w:sz w:val="24"/>
          <w:szCs w:val="24"/>
        </w:rPr>
        <w:t xml:space="preserve">Печенгского муниципального округа Мурманской области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Порядок регулирует отношения, связанные с принятием решения об установке</w:t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дорожного знака «Парковка</w:t>
      </w:r>
      <w:r>
        <w:rPr>
          <w:sz w:val="24"/>
          <w:szCs w:val="24"/>
        </w:rPr>
        <w:t xml:space="preserve"> (парковочное место)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совместно </w:t>
      </w:r>
      <w:r>
        <w:rPr>
          <w:sz w:val="24"/>
          <w:szCs w:val="24"/>
        </w:rPr>
        <w:t xml:space="preserve">с табличкой «Инвалиды» с нанесением дорожной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разметки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дублир</w:t>
      </w:r>
      <w:r>
        <w:rPr>
          <w:sz w:val="24"/>
          <w:szCs w:val="24"/>
        </w:rPr>
        <w:t xml:space="preserve">ующей</w:t>
      </w:r>
      <w:r>
        <w:rPr>
          <w:sz w:val="24"/>
          <w:szCs w:val="24"/>
        </w:rPr>
        <w:t xml:space="preserve"> дорожн</w:t>
      </w:r>
      <w:r>
        <w:rPr>
          <w:sz w:val="24"/>
          <w:szCs w:val="24"/>
        </w:rPr>
        <w:t xml:space="preserve">ый</w:t>
      </w:r>
      <w:r>
        <w:rPr>
          <w:sz w:val="24"/>
          <w:szCs w:val="24"/>
        </w:rPr>
        <w:t xml:space="preserve"> знак «</w:t>
      </w:r>
      <w:r>
        <w:rPr>
          <w:sz w:val="24"/>
          <w:szCs w:val="24"/>
        </w:rPr>
        <w:t xml:space="preserve">Парковка</w:t>
      </w:r>
      <w:r>
        <w:rPr>
          <w:sz w:val="24"/>
          <w:szCs w:val="24"/>
        </w:rPr>
        <w:t xml:space="preserve"> (парковочное место)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совместно </w:t>
      </w:r>
      <w:r>
        <w:rPr>
          <w:sz w:val="24"/>
          <w:szCs w:val="24"/>
        </w:rPr>
        <w:t xml:space="preserve">с табличкой «Инвалиды»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придомовой территории многоквартирных домов в </w:t>
      </w:r>
      <w:r>
        <w:rPr>
          <w:sz w:val="24"/>
          <w:szCs w:val="24"/>
        </w:rPr>
        <w:t xml:space="preserve">Печенгском муниципальном округе</w:t>
      </w:r>
      <w:r>
        <w:rPr>
          <w:sz w:val="24"/>
          <w:szCs w:val="24"/>
        </w:rPr>
        <w:t xml:space="preserve"> (далее – дорожный знак)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Решение об установке дорожного знака принимается уполномоченным органом, определенным постановлением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 муниципального округа.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2. Порядо</w:t>
      </w:r>
      <w:r>
        <w:rPr>
          <w:sz w:val="24"/>
          <w:szCs w:val="24"/>
        </w:rPr>
        <w:t xml:space="preserve">к принятия</w:t>
      </w:r>
      <w:r>
        <w:rPr>
          <w:sz w:val="24"/>
          <w:szCs w:val="24"/>
        </w:rPr>
        <w:t xml:space="preserve"> решения об установке дорожного знака </w:t>
      </w:r>
      <w:r>
        <w:rPr>
          <w:sz w:val="24"/>
          <w:szCs w:val="24"/>
        </w:rPr>
      </w: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Принятие решения об установке дорожного знака производится на основании поступившего заявления в уполномоченный орган от лиц, имеющих I или II группу инвалидности, а также</w:t>
      </w:r>
      <w:r>
        <w:rPr>
          <w:sz w:val="24"/>
          <w:szCs w:val="24"/>
        </w:rPr>
        <w:t xml:space="preserve"> III группу (в случае, если у них есть ограничения способности к самостоятельному передвижению), а также от лиц, получивших до 01.07.2020 в федеральном учреждении медико-социальной экспертизы опознавательный знак «Инвалид» для индивидуального использования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и пользующиеся правом на бесплатное использование мест для парковки транспортных средств (далее - инвалид)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или представителей, имеющих пра</w:t>
      </w:r>
      <w:r>
        <w:rPr>
          <w:sz w:val="24"/>
          <w:szCs w:val="24"/>
        </w:rPr>
        <w:t xml:space="preserve">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имени указанных лиц с заявлением о принятии решения об установке дорожного знака.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Заявление подается в письменной форме при личном обращении заявителя (представителя заявителя) в уполномоченный орган или направляется по почте.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обращении заявитель (представитель заявителя) предъявляет оригиналы следующих документов: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д</w:t>
      </w:r>
      <w:r>
        <w:rPr>
          <w:sz w:val="24"/>
          <w:szCs w:val="24"/>
        </w:rPr>
        <w:t xml:space="preserve">окумент, удостоверяющий личность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аявителя;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аявителя предъявляет доверенность, оформленную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порядке, предусмотренном законодательством Российской Федерации либо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иной документ, подтверждающий </w:t>
      </w:r>
      <w:r>
        <w:rPr>
          <w:sz w:val="24"/>
          <w:szCs w:val="24"/>
        </w:rPr>
        <w:t xml:space="preserve">его право действовать от имени з</w:t>
      </w:r>
      <w:r>
        <w:rPr>
          <w:sz w:val="24"/>
          <w:szCs w:val="24"/>
        </w:rPr>
        <w:t xml:space="preserve">аявителя;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д</w:t>
      </w:r>
      <w:r>
        <w:rPr>
          <w:sz w:val="24"/>
          <w:szCs w:val="24"/>
        </w:rPr>
        <w:t xml:space="preserve">ействующая справка об инвалидности, выданная бюро </w:t>
      </w:r>
      <w:r>
        <w:rPr>
          <w:sz w:val="24"/>
          <w:szCs w:val="24"/>
        </w:rPr>
        <w:t xml:space="preserve">медикосоциальной</w:t>
      </w:r>
      <w:r>
        <w:rPr>
          <w:sz w:val="24"/>
          <w:szCs w:val="24"/>
        </w:rPr>
        <w:t xml:space="preserve"> экспертизой (МСЭ) на день подачи заявления;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видетельство о рождении (в случае если заявление подается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имени ребенка-инвалида);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д</w:t>
      </w:r>
      <w:r>
        <w:rPr>
          <w:sz w:val="24"/>
          <w:szCs w:val="24"/>
        </w:rPr>
        <w:t xml:space="preserve">окумент, подтверждающий регистрацию по месту жительства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инвалида в жилом помещении, расположенном в многоквартирном доме,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придомовой территории которого предполагается установка дорожного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знака.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отсутствия регистрации по месту жительства инвалида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жилом помещении, расположенном в многоквартирном доме на придомовой территории которого предполагается установка дорожного знака,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предоставляется документ, подтверждающий право пользования данным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жилым помещением инвалидом (договор служебного или социального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найма), либо документ, подтверждающий право собственности инвалида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данное жилое помещение.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Лицо уполномоченного органа, ответственное за прием документов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регистрацию заявления: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устанавливает личность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аявителя или его представителя путем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проверки документа, удостоверяющего личность;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заверяет копии предоставляемых документов после сверки их с соответствующими подлинниками штампом «копия верна», наименование должностного лица, заверившего копию, личной подписью, ее расшифровкой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датой заверения.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направления копий документов по почте они должны быть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заверены нотариально.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если к заявлению, поступившему по почте, не приложены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документы либо приложены не все документы, предусмотренные пунктом 2.2.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настоящего Порядка, уполномоченный орган возвращает заявителю заявление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приложенные к нему документы не позднее чем через пять рабочих дней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даты их регистрации. Возврат заявления и приложенных к нему документов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осуществляется </w:t>
      </w:r>
      <w:r>
        <w:rPr>
          <w:sz w:val="24"/>
          <w:szCs w:val="24"/>
        </w:rPr>
        <w:t xml:space="preserve">с указанием причины возврата.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После получения указанного заявления с пакетом документов уполномоченный орган направляет в течение 5 рабочих дней запрос в </w:t>
      </w:r>
      <w:r>
        <w:rPr>
          <w:sz w:val="24"/>
          <w:szCs w:val="24"/>
        </w:rPr>
        <w:t xml:space="preserve">уполномоченное учреждение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о необходимости проведения обследования территории, указанной в заявлении, на предмет возможности установки дорожного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знака на придомовой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территории многоквартирного дома с учетом соблюдения Правил дорожного движения.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необходимости уполномоченный орган может привлекать для обсл</w:t>
      </w:r>
      <w:r>
        <w:rPr>
          <w:sz w:val="24"/>
          <w:szCs w:val="24"/>
        </w:rPr>
        <w:t xml:space="preserve">едования придомовой территории советника Главы Печенгского муниципального округа (по соответствующей территории Печенгского муниципального округа) и (или) управляющую организацию, обслуживающую придомовую территорию соответствующего многоквартирного дома. 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В течение 5 дней с момента получения соответствующего запроса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уполномоченное учреждение</w:t>
      </w:r>
      <w:r>
        <w:rPr>
          <w:color w:val="ffc000"/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осуществляет </w:t>
      </w:r>
      <w:r>
        <w:rPr>
          <w:sz w:val="24"/>
          <w:szCs w:val="24"/>
        </w:rPr>
        <w:t xml:space="preserve">выход (выезд)</w:t>
      </w:r>
      <w:r>
        <w:rPr>
          <w:sz w:val="24"/>
          <w:szCs w:val="24"/>
        </w:rPr>
        <w:t xml:space="preserve"> на местность в целях 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осмотра. В течение 2 рабочих дней по результатам проведенного осмотра составляется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акт, в котором указывается конкретная территория, на которой возможна установка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дорожного знака с соблюдением Правил дорожного движения. Акт должен содержать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заключение о возможности установки дорожного знака либо об отсутствии такой возможности.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акту осмотра прилагается графическая схема с привязкой к конкретной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территории, на которой имеется возможность установки дорожного знака.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В течение 2 рабочих дней </w:t>
      </w:r>
      <w:r>
        <w:rPr>
          <w:sz w:val="24"/>
          <w:szCs w:val="24"/>
        </w:rPr>
        <w:t xml:space="preserve">уполномоченное учреждение</w:t>
      </w:r>
      <w:r>
        <w:rPr>
          <w:sz w:val="24"/>
          <w:szCs w:val="24"/>
        </w:rPr>
        <w:t xml:space="preserve"> направляет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акт осмотра в уполномоченный орган для принятия решения об установке дорожного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знака.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2.6. После получения акта осмотра уполномоченный орган в течение 10 дней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рассматривает заявление с пакетом документов и принимает решение об установке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дорожного знака.</w:t>
      </w:r>
      <w:r>
        <w:rPr>
          <w:sz w:val="24"/>
          <w:szCs w:val="24"/>
        </w:rPr>
        <w:t xml:space="preserve"> Решение уполномоченного органа оформляется на бланке администрации Печенгского муниципального округа и подписывается руководителем (начальником) уполномоченного органа. 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2.7. Решение об установке дорожного знака не принимается при наличии одного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 следующих оснований: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епредставление документов, указанных в пункте 2.2 Порядка;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есоответствие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аявителя категории лиц, указанных в пункте 2.1 Порядка;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тсутствие технической возможности установки дорожного знака на придомовой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территории, указанной в обращении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аявителя.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2.8. В случае принятия решения о невозможности установки дорожного знака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придомовой те</w:t>
      </w:r>
      <w:r>
        <w:rPr>
          <w:sz w:val="24"/>
          <w:szCs w:val="24"/>
        </w:rPr>
        <w:t xml:space="preserve">рритории многоквартирного дома з</w:t>
      </w:r>
      <w:r>
        <w:rPr>
          <w:sz w:val="24"/>
          <w:szCs w:val="24"/>
        </w:rPr>
        <w:t xml:space="preserve">аявителю направляется соответствующее уведомление.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2.9.Решение об установке дорожного знака составляется в трех экземплярах: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один экземпляр направляется заявителю, один уполномоченному органу по принятию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решения, один экземпляр передается в </w:t>
      </w:r>
      <w:r>
        <w:rPr>
          <w:sz w:val="24"/>
          <w:szCs w:val="24"/>
        </w:rPr>
        <w:t xml:space="preserve">уполномоченное учреждение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мероприятий по установке дорожного знака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r>
        <w:br w:type="page" w:clear="all"/>
      </w:r>
      <w:r/>
      <w:r>
        <w:rPr>
          <w:bCs/>
          <w:sz w:val="24"/>
          <w:szCs w:val="24"/>
        </w:rPr>
      </w:r>
      <w:r>
        <w:rPr>
          <w:b/>
          <w:bCs/>
          <w:sz w:val="24"/>
          <w:szCs w:val="24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10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9"/>
    <w:next w:val="63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4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39"/>
    <w:next w:val="63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4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39"/>
    <w:next w:val="63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41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41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39"/>
    <w:next w:val="63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4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9"/>
    <w:next w:val="63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4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9"/>
    <w:next w:val="63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4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9"/>
    <w:next w:val="63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4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9"/>
    <w:next w:val="63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4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39"/>
    <w:next w:val="63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41"/>
    <w:link w:val="34"/>
    <w:uiPriority w:val="10"/>
    <w:rPr>
      <w:sz w:val="48"/>
      <w:szCs w:val="48"/>
    </w:rPr>
  </w:style>
  <w:style w:type="paragraph" w:styleId="36">
    <w:name w:val="Subtitle"/>
    <w:basedOn w:val="639"/>
    <w:next w:val="63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41"/>
    <w:link w:val="36"/>
    <w:uiPriority w:val="11"/>
    <w:rPr>
      <w:sz w:val="24"/>
      <w:szCs w:val="24"/>
    </w:rPr>
  </w:style>
  <w:style w:type="paragraph" w:styleId="38">
    <w:name w:val="Quote"/>
    <w:basedOn w:val="639"/>
    <w:next w:val="63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9"/>
    <w:next w:val="63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41"/>
    <w:link w:val="42"/>
    <w:uiPriority w:val="99"/>
  </w:style>
  <w:style w:type="paragraph" w:styleId="44">
    <w:name w:val="Footer"/>
    <w:basedOn w:val="63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41"/>
    <w:link w:val="44"/>
    <w:uiPriority w:val="99"/>
  </w:style>
  <w:style w:type="paragraph" w:styleId="46">
    <w:name w:val="Caption"/>
    <w:basedOn w:val="639"/>
    <w:next w:val="6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4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3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41"/>
    <w:uiPriority w:val="99"/>
    <w:unhideWhenUsed/>
    <w:rPr>
      <w:vertAlign w:val="superscript"/>
    </w:rPr>
  </w:style>
  <w:style w:type="paragraph" w:styleId="178">
    <w:name w:val="endnote text"/>
    <w:basedOn w:val="63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41"/>
    <w:uiPriority w:val="99"/>
    <w:semiHidden/>
    <w:unhideWhenUsed/>
    <w:rPr>
      <w:vertAlign w:val="superscript"/>
    </w:rPr>
  </w:style>
  <w:style w:type="paragraph" w:styleId="181">
    <w:name w:val="toc 1"/>
    <w:basedOn w:val="639"/>
    <w:next w:val="63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9"/>
    <w:next w:val="63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9"/>
    <w:next w:val="63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9"/>
    <w:next w:val="63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9"/>
    <w:next w:val="63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9"/>
    <w:next w:val="63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9"/>
    <w:next w:val="63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9"/>
    <w:next w:val="63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9"/>
    <w:next w:val="63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9"/>
    <w:next w:val="639"/>
    <w:uiPriority w:val="99"/>
    <w:unhideWhenUsed/>
    <w:pPr>
      <w:spacing w:after="0" w:afterAutospacing="0"/>
    </w:pPr>
  </w:style>
  <w:style w:type="paragraph" w:styleId="639" w:default="1">
    <w:name w:val="Normal"/>
    <w:qFormat/>
    <w:rPr>
      <w:rFonts w:ascii="Times New Roman" w:hAnsi="Times New Roman" w:eastAsia="Times New Roman"/>
    </w:rPr>
  </w:style>
  <w:style w:type="paragraph" w:styleId="640">
    <w:name w:val="Heading 4"/>
    <w:basedOn w:val="639"/>
    <w:next w:val="639"/>
    <w:link w:val="645"/>
    <w:qFormat/>
    <w:pPr>
      <w:ind w:firstLine="709"/>
      <w:keepNext/>
      <w:outlineLvl w:val="3"/>
    </w:pPr>
    <w:rPr>
      <w:sz w:val="28"/>
    </w:rPr>
  </w:style>
  <w:style w:type="character" w:styleId="641" w:default="1">
    <w:name w:val="Default Paragraph Font"/>
    <w:uiPriority w:val="1"/>
    <w:semiHidden/>
    <w:unhideWhenUsed/>
  </w:style>
  <w:style w:type="table" w:styleId="6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3" w:default="1">
    <w:name w:val="No List"/>
    <w:uiPriority w:val="99"/>
    <w:semiHidden/>
    <w:unhideWhenUsed/>
  </w:style>
  <w:style w:type="paragraph" w:styleId="644" w:customStyle="1">
    <w:name w:val="Стиль1"/>
    <w:basedOn w:val="639"/>
    <w:qFormat/>
    <w:rPr>
      <w:sz w:val="24"/>
    </w:rPr>
  </w:style>
  <w:style w:type="character" w:styleId="645" w:customStyle="1">
    <w:name w:val="Заголовок 4 Знак"/>
    <w:link w:val="640"/>
    <w:rPr>
      <w:rFonts w:ascii="Times New Roman" w:hAnsi="Times New Roman" w:eastAsia="Times New Roman"/>
      <w:szCs w:val="20"/>
      <w:lang w:eastAsia="ru-RU"/>
    </w:rPr>
  </w:style>
  <w:style w:type="paragraph" w:styleId="646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647">
    <w:name w:val="Balloon Text"/>
    <w:basedOn w:val="639"/>
    <w:link w:val="648"/>
    <w:uiPriority w:val="99"/>
    <w:semiHidden/>
    <w:unhideWhenUsed/>
    <w:rPr>
      <w:rFonts w:ascii="Tahoma" w:hAnsi="Tahoma" w:cs="Tahoma"/>
      <w:sz w:val="16"/>
      <w:szCs w:val="16"/>
    </w:rPr>
  </w:style>
  <w:style w:type="character" w:styleId="648" w:customStyle="1">
    <w:name w:val="Текст выноски Знак"/>
    <w:link w:val="64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649">
    <w:name w:val="List Paragraph"/>
    <w:basedOn w:val="639"/>
    <w:uiPriority w:val="34"/>
    <w:qFormat/>
    <w:pPr>
      <w:contextualSpacing/>
      <w:ind w:left="720"/>
    </w:pPr>
  </w:style>
  <w:style w:type="paragraph" w:styleId="650" w:customStyle="1">
    <w:name w:val="Знак Знак Знак Знак Знак Знак Знак Знак Знак Знак"/>
    <w:basedOn w:val="63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651" w:customStyle="1">
    <w:name w:val="Знак Знак Знак Знак"/>
    <w:basedOn w:val="63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652" w:customStyle="1">
    <w:name w:val="Знак Знак1 Знак Знак Знак Знак"/>
    <w:basedOn w:val="63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653">
    <w:name w:val="Hyperlink"/>
    <w:basedOn w:val="641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48809&amp;dst=10111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6AB84-016D-4BFF-BA15-826501FA7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3</cp:revision>
  <dcterms:created xsi:type="dcterms:W3CDTF">2024-02-22T06:50:00Z</dcterms:created>
  <dcterms:modified xsi:type="dcterms:W3CDTF">2024-03-14T13:59:43Z</dcterms:modified>
</cp:coreProperties>
</file>