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14.03.2024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№ 381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Экономический потенциал</w:t>
      </w:r>
      <w:r>
        <w:rPr>
          <w:b/>
          <w:sz w:val="20"/>
          <w:szCs w:val="20"/>
        </w:rPr>
        <w:t xml:space="preserve">»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-202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администрации Печенгского муниципального округа от </w:t>
      </w:r>
      <w:r>
        <w:rPr>
          <w:b/>
          <w:sz w:val="20"/>
          <w:szCs w:val="20"/>
        </w:rPr>
        <w:t xml:space="preserve">03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3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632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06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</w:t>
      </w:r>
      <w:r>
        <w:rPr>
          <w:color w:val="000000"/>
        </w:rPr>
        <w:t xml:space="preserve">П</w:t>
      </w:r>
      <w:r>
        <w:rPr>
          <w:color w:val="000000"/>
        </w:rPr>
        <w:t xml:space="preserve">орядком разработки, реализации и оценки эффективности муниципальных программ Печенгского муниципального округа, утвержденн</w:t>
      </w:r>
      <w:r>
        <w:rPr>
          <w:color w:val="000000"/>
        </w:rPr>
        <w:t xml:space="preserve">ого</w:t>
      </w:r>
      <w:r>
        <w:rPr>
          <w:color w:val="000000"/>
        </w:rPr>
        <w:t xml:space="preserve">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</w:t>
      </w:r>
      <w:r>
        <w:rPr>
          <w:color w:val="000000"/>
        </w:rPr>
        <w:t xml:space="preserve">,</w:t>
      </w:r>
      <w:r>
        <w:rPr>
          <w:color w:val="000000"/>
        </w:rPr>
        <w:t xml:space="preserve">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13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Экономический потенциал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632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далее – Программа)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</w:t>
      </w:r>
      <w:r>
        <w:t xml:space="preserve">строку</w:t>
      </w:r>
      <w:r>
        <w:t xml:space="preserve"> «</w:t>
      </w:r>
      <w:r>
        <w:t xml:space="preserve">Финансовое</w:t>
      </w:r>
      <w:r>
        <w:t xml:space="preserve"> обеспечение программы</w:t>
      </w:r>
      <w:r>
        <w:t xml:space="preserve">» паспорт</w:t>
      </w:r>
      <w:r>
        <w:t xml:space="preserve">а</w:t>
      </w:r>
      <w:r>
        <w:t xml:space="preserve"> Программы изложить в следующей редакции:</w:t>
      </w:r>
      <w:r/>
    </w:p>
    <w:tbl>
      <w:tblPr>
        <w:tblW w:w="9410" w:type="dxa"/>
        <w:jc w:val="center"/>
        <w:tblInd w:w="2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программе:  </w:t>
            </w:r>
            <w:r>
              <w:rPr>
                <w:rFonts w:eastAsia="Calibri" w:cs="Calibri"/>
                <w:b/>
                <w:lang w:eastAsia="en-US"/>
              </w:rPr>
              <w:t xml:space="preserve">1 514,7</w:t>
            </w:r>
            <w:r>
              <w:rPr>
                <w:rFonts w:eastAsia="Calibri" w:cs="Calibri"/>
                <w:b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2024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</w:t>
            </w:r>
            <w:r>
              <w:rPr>
                <w:rFonts w:eastAsia="Calibri" w:cs="Calibri"/>
                <w:lang w:eastAsia="en-US"/>
              </w:rPr>
              <w:t xml:space="preserve">64,7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2024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21,6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21,6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21,5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00,0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2024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10</w:t>
            </w:r>
            <w:r>
              <w:rPr>
                <w:rFonts w:eastAsia="Calibri" w:cs="Calibri"/>
                <w:lang w:eastAsia="en-US"/>
              </w:rPr>
              <w:t xml:space="preserve">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200,0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200,0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</w:t>
            </w:r>
            <w:r>
              <w:rPr>
                <w:rFonts w:eastAsia="Calibri" w:cs="Calibri"/>
                <w:lang w:eastAsia="en-US"/>
              </w:rPr>
              <w:t xml:space="preserve">95</w:t>
            </w:r>
            <w:r>
              <w:rPr>
                <w:rFonts w:eastAsia="Calibri" w:cs="Calibri"/>
                <w:lang w:eastAsia="en-US"/>
              </w:rPr>
              <w:t xml:space="preserve">0,0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2024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95</w:t>
            </w:r>
            <w:r>
              <w:rPr>
                <w:rFonts w:eastAsia="Calibri" w:cs="Calibri"/>
                <w:lang w:eastAsia="en-US"/>
              </w:rPr>
              <w:t xml:space="preserve">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0,0 тыс. рублей</w:t>
            </w:r>
            <w:r>
              <w:rPr>
                <w:rFonts w:eastAsia="Calibri" w:cs="Calibri"/>
                <w:lang w:eastAsia="en-US"/>
              </w:rPr>
              <w:t xml:space="preserve">.»;</w:t>
            </w:r>
            <w:r/>
          </w:p>
        </w:tc>
      </w:tr>
    </w:tbl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rFonts w:eastAsia="Calibri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</w:t>
      </w:r>
      <w:r>
        <w:t xml:space="preserve">строку</w:t>
      </w:r>
      <w:r>
        <w:t xml:space="preserve"> «</w:t>
      </w:r>
      <w:r>
        <w:t xml:space="preserve">Соисполнители программы</w:t>
      </w:r>
      <w:r>
        <w:t xml:space="preserve">» паспорта Программы изложить в следующей редакции:</w:t>
      </w:r>
      <w:r/>
    </w:p>
    <w:tbl>
      <w:tblPr>
        <w:tblW w:w="9410" w:type="dxa"/>
        <w:jc w:val="center"/>
        <w:tblInd w:w="2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«Автономная некоммерческая организация «Центр социальных проектов Печенгского района «Вторая школа» (далее – АНО «Центр социальных проектов Печенгского района «Вторая школа»)»;</w:t>
            </w:r>
            <w:r/>
          </w:p>
        </w:tc>
      </w:tr>
    </w:tbl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rFonts w:eastAsia="Calibri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tabs>
          <w:tab w:val="left" w:pos="2149" w:leader="none"/>
        </w:tabs>
      </w:pPr>
      <w:r>
        <w:rPr>
          <w:rFonts w:eastAsia="Calibri"/>
        </w:rPr>
        <w:t xml:space="preserve">            </w:t>
      </w:r>
      <w:r>
        <w:rPr>
          <w:rFonts w:eastAsia="Calibri"/>
        </w:rPr>
        <w:t xml:space="preserve">- </w:t>
      </w:r>
      <w:r>
        <w:rPr>
          <w:rFonts w:eastAsia="Calibri"/>
        </w:rPr>
        <w:t xml:space="preserve">строки</w:t>
      </w:r>
      <w:r>
        <w:rPr>
          <w:rFonts w:eastAsia="Calibri"/>
        </w:rPr>
        <w:t xml:space="preserve"> 2.1.</w:t>
      </w:r>
      <w:r>
        <w:rPr>
          <w:rFonts w:eastAsia="Calibri"/>
        </w:rPr>
        <w:t xml:space="preserve">1</w:t>
      </w:r>
      <w:r>
        <w:rPr>
          <w:rFonts w:eastAsia="Calibri"/>
        </w:rPr>
        <w:t xml:space="preserve">, 2.1.13, 2.1.14 и 2.1.15 </w:t>
      </w:r>
      <w:r>
        <w:t xml:space="preserve">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 </w:t>
      </w:r>
      <w:r/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410"/>
        <w:gridCol w:w="708"/>
        <w:gridCol w:w="709"/>
        <w:gridCol w:w="709"/>
        <w:gridCol w:w="709"/>
        <w:gridCol w:w="850"/>
        <w:gridCol w:w="851"/>
        <w:gridCol w:w="1559"/>
      </w:tblGrid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«2.1.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.                  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Количество </w:t>
            </w:r>
            <w:r>
              <w:rPr>
                <w:rFonts w:eastAsia="Calibri"/>
                <w:sz w:val="20"/>
                <w:szCs w:val="20"/>
              </w:rPr>
              <w:t xml:space="preserve">СМСП</w:t>
            </w:r>
            <w:r>
              <w:rPr>
                <w:rFonts w:eastAsia="Calibri"/>
                <w:sz w:val="20"/>
                <w:szCs w:val="20"/>
              </w:rPr>
              <w:t xml:space="preserve"> получателей финансовой поддержки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на технологическое присоединение к электрическим сетям</w:t>
            </w:r>
            <w:r>
              <w:rPr>
                <w:rFonts w:eastAsia="Calibri"/>
                <w:sz w:val="20"/>
                <w:szCs w:val="20"/>
              </w:rPr>
              <w:t xml:space="preserve">  </w:t>
            </w:r>
            <w:r>
              <w:rPr>
                <w:rFonts w:eastAsia="Calibri"/>
                <w:sz w:val="20"/>
                <w:szCs w:val="20"/>
              </w:rPr>
              <w:t xml:space="preserve">нестационарных торговых объектов</w:t>
            </w:r>
            <w:r>
              <w:rPr>
                <w:rFonts w:eastAsia="Calibr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Calibr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Ед.</w:t>
            </w:r>
            <w:r>
              <w:rPr>
                <w:rFonts w:eastAsia="Calibri"/>
                <w:sz w:val="20"/>
                <w:szCs w:val="20"/>
                <w:lang w:val="en-US"/>
              </w:rPr>
            </w:r>
            <w:r>
              <w:rPr>
                <w:rFonts w:eastAsia="Calibri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Не менее 5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Не </w:t>
            </w:r>
            <w:r>
              <w:rPr>
                <w:rFonts w:eastAsia="Calibri"/>
                <w:sz w:val="20"/>
                <w:szCs w:val="20"/>
              </w:rPr>
              <w:t xml:space="preserve">менее 5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18"/>
                <w:szCs w:val="18"/>
              </w:rPr>
              <w:t xml:space="preserve">Отчет </w:t>
            </w:r>
            <w:r>
              <w:rPr>
                <w:rFonts w:eastAsia="Calibri"/>
                <w:sz w:val="18"/>
                <w:szCs w:val="18"/>
              </w:rPr>
              <w:t xml:space="preserve">сектора инвестиционной деятельности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2.1.13.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Наличие разработанного инвестиционного профиля Печенгского муниципального округа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да/ нет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2.1.14.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да/ нет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18"/>
                <w:szCs w:val="18"/>
              </w:rPr>
              <w:t xml:space="preserve">Отчет сектора инвестиционной деятельности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2.1.15.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Реализация мероприятий плана развития туристической отрасли в Печенгском муниципальном округе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да/ нет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val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val="en-US"/>
              </w:rPr>
            </w:r>
            <w:r>
              <w:rPr>
                <w:rFonts w:eastAsia="Calibri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18"/>
                <w:szCs w:val="18"/>
              </w:rPr>
              <w:t xml:space="preserve">Отчет консультанта по приграничному сотрудничеству»;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</w:t>
      </w:r>
      <w:r>
        <w:t xml:space="preserve">строку</w:t>
      </w:r>
      <w:r>
        <w:t xml:space="preserve"> «</w:t>
      </w:r>
      <w:r>
        <w:t xml:space="preserve">Финансовое обеспечение подпрограммы</w:t>
      </w:r>
      <w:r>
        <w:t xml:space="preserve">» паспорта </w:t>
      </w:r>
      <w:r>
        <w:t xml:space="preserve">п</w:t>
      </w:r>
      <w:r>
        <w:t xml:space="preserve">одп</w:t>
      </w:r>
      <w:r>
        <w:t xml:space="preserve">рограммы </w:t>
      </w:r>
      <w:r>
        <w:t xml:space="preserve">1 </w:t>
      </w:r>
      <w:r>
        <w:t xml:space="preserve">«Повышение инвестиционной привлекательности Печенгского муниципального округа» (далее – Подпрограмма 1) </w:t>
      </w:r>
      <w:r>
        <w:t xml:space="preserve">изложить в следующей редакции:</w:t>
      </w:r>
      <w:r/>
    </w:p>
    <w:tbl>
      <w:tblPr>
        <w:tblW w:w="9410" w:type="dxa"/>
        <w:jc w:val="center"/>
        <w:tblInd w:w="2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</w:t>
            </w:r>
            <w:r>
              <w:rPr>
                <w:rFonts w:eastAsia="Calibri" w:cs="Calibri"/>
                <w:lang w:eastAsia="en-US"/>
              </w:rPr>
              <w:t xml:space="preserve">под</w:t>
            </w:r>
            <w:r>
              <w:rPr>
                <w:rFonts w:eastAsia="Calibri" w:cs="Calibri"/>
                <w:lang w:eastAsia="en-US"/>
              </w:rPr>
              <w:t xml:space="preserve">программе:  </w:t>
            </w:r>
            <w:r>
              <w:rPr>
                <w:rFonts w:eastAsia="Calibri" w:cs="Calibri"/>
                <w:b/>
                <w:lang w:eastAsia="en-US"/>
              </w:rPr>
              <w:t xml:space="preserve">1 514,7</w:t>
            </w:r>
            <w:r>
              <w:rPr>
                <w:rFonts w:eastAsia="Calibri" w:cs="Calibri"/>
                <w:b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</w:t>
            </w:r>
            <w:r>
              <w:rPr>
                <w:rFonts w:eastAsia="Calibri" w:cs="Calibri"/>
                <w:lang w:eastAsia="en-US"/>
              </w:rPr>
              <w:t xml:space="preserve">4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</w:t>
            </w:r>
            <w:r>
              <w:rPr>
                <w:rFonts w:eastAsia="Calibri" w:cs="Calibri"/>
                <w:lang w:eastAsia="en-US"/>
              </w:rPr>
              <w:t xml:space="preserve">64,7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2024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21,6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21,6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21,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</w:t>
            </w:r>
            <w:r>
              <w:rPr>
                <w:rFonts w:eastAsia="Calibri" w:cs="Calibri"/>
                <w:lang w:eastAsia="en-US"/>
              </w:rPr>
              <w:t xml:space="preserve">5</w:t>
            </w:r>
            <w:r>
              <w:rPr>
                <w:rFonts w:eastAsia="Calibri" w:cs="Calibri"/>
                <w:lang w:eastAsia="en-US"/>
              </w:rPr>
              <w:t xml:space="preserve">00,0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2024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1</w:t>
            </w:r>
            <w:r>
              <w:rPr>
                <w:rFonts w:eastAsia="Calibri" w:cs="Calibri"/>
                <w:lang w:eastAsia="en-US"/>
              </w:rPr>
              <w:t xml:space="preserve">00,0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</w:t>
            </w:r>
            <w:r>
              <w:rPr>
                <w:rFonts w:eastAsia="Calibri" w:cs="Calibri"/>
                <w:lang w:eastAsia="en-US"/>
              </w:rPr>
              <w:t xml:space="preserve">год: </w:t>
            </w:r>
            <w:r>
              <w:rPr>
                <w:rFonts w:eastAsia="Calibri" w:cs="Calibri"/>
                <w:lang w:eastAsia="en-US"/>
              </w:rPr>
              <w:t xml:space="preserve">200,0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200,0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</w:t>
            </w:r>
            <w:r>
              <w:rPr>
                <w:rFonts w:eastAsia="Calibri" w:cs="Calibri"/>
                <w:lang w:eastAsia="en-US"/>
              </w:rPr>
              <w:t xml:space="preserve">95</w:t>
            </w:r>
            <w:r>
              <w:rPr>
                <w:rFonts w:eastAsia="Calibri" w:cs="Calibri"/>
                <w:lang w:eastAsia="en-US"/>
              </w:rPr>
              <w:t xml:space="preserve">0,0</w:t>
            </w:r>
            <w:r>
              <w:rPr>
                <w:rFonts w:eastAsia="Calibri" w:cs="Calibri"/>
                <w:lang w:eastAsia="en-US"/>
              </w:rPr>
              <w:t xml:space="preserve">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2024</w:t>
            </w:r>
            <w:r>
              <w:rPr>
                <w:rFonts w:eastAsia="Calibri" w:cs="Calibri"/>
                <w:lang w:eastAsia="en-US"/>
              </w:rPr>
              <w:t xml:space="preserve"> год: </w:t>
            </w:r>
            <w:r>
              <w:rPr>
                <w:rFonts w:eastAsia="Calibri" w:cs="Calibri"/>
                <w:lang w:eastAsia="en-US"/>
              </w:rPr>
              <w:t xml:space="preserve">95</w:t>
            </w:r>
            <w:r>
              <w:rPr>
                <w:rFonts w:eastAsia="Calibri" w:cs="Calibri"/>
                <w:lang w:eastAsia="en-US"/>
              </w:rPr>
              <w:t xml:space="preserve">0,0</w:t>
            </w:r>
            <w:r>
              <w:rPr>
                <w:rFonts w:eastAsia="Calibri" w:cs="Calibri"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</w:t>
            </w:r>
            <w:r>
              <w:rPr>
                <w:rFonts w:eastAsia="Calibri" w:cs="Calibri"/>
                <w:lang w:eastAsia="en-US"/>
              </w:rPr>
              <w:t xml:space="preserve">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</w:t>
            </w:r>
            <w:r>
              <w:rPr>
                <w:rFonts w:eastAsia="Calibri" w:cs="Calibri"/>
                <w:lang w:eastAsia="en-US"/>
              </w:rPr>
              <w:t xml:space="preserve"> год: 0,0 тыс. рублей</w:t>
            </w:r>
            <w:r>
              <w:rPr>
                <w:rFonts w:eastAsia="Calibri" w:cs="Calibri"/>
                <w:lang w:eastAsia="en-US"/>
              </w:rPr>
              <w:t xml:space="preserve">.»;</w:t>
            </w:r>
            <w:r/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</w:t>
      </w:r>
      <w:r>
        <w:t xml:space="preserve">строку</w:t>
      </w:r>
      <w:r>
        <w:t xml:space="preserve"> «</w:t>
      </w:r>
      <w:r>
        <w:t xml:space="preserve">Соисполнители </w:t>
      </w:r>
      <w:r>
        <w:t xml:space="preserve">под</w:t>
      </w:r>
      <w:r>
        <w:t xml:space="preserve">программы</w:t>
      </w:r>
      <w:r>
        <w:t xml:space="preserve">» паспорта П</w:t>
      </w:r>
      <w:r>
        <w:t xml:space="preserve">одп</w:t>
      </w:r>
      <w:r>
        <w:t xml:space="preserve">рограммы</w:t>
      </w:r>
      <w:r>
        <w:t xml:space="preserve"> 1</w:t>
      </w:r>
      <w:r>
        <w:t xml:space="preserve"> изложить в следующей редакции:</w:t>
      </w:r>
      <w:r/>
    </w:p>
    <w:tbl>
      <w:tblPr>
        <w:tblW w:w="9410" w:type="dxa"/>
        <w:jc w:val="center"/>
        <w:tblInd w:w="2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jc w:val="both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t xml:space="preserve">«</w:t>
            </w:r>
            <w:r>
              <w:t xml:space="preserve">АНО «Центр социальных проектов Печенгского района «Вторая школа»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firstLine="709"/>
        <w:jc w:val="both"/>
        <w:tabs>
          <w:tab w:val="left" w:pos="1276" w:leader="none"/>
        </w:tabs>
        <w:rPr>
          <w:rFonts w:eastAsia="Calibri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</w:t>
      </w:r>
      <w:r>
        <w:t xml:space="preserve"> строки 1.1</w:t>
      </w:r>
      <w:r>
        <w:t xml:space="preserve">.</w:t>
      </w:r>
      <w:r>
        <w:t xml:space="preserve">1</w:t>
      </w:r>
      <w:r>
        <w:t xml:space="preserve"> и</w:t>
      </w:r>
      <w:r>
        <w:t xml:space="preserve"> </w:t>
      </w:r>
      <w:r>
        <w:t xml:space="preserve">«Итого по </w:t>
      </w:r>
      <w:r>
        <w:t xml:space="preserve">основному </w:t>
      </w:r>
      <w:r>
        <w:t xml:space="preserve">мероприятию 1» </w:t>
      </w:r>
      <w:r>
        <w:t xml:space="preserve">таблицы 1</w:t>
      </w:r>
      <w:r>
        <w:t xml:space="preserve"> «Перечень</w:t>
      </w:r>
      <w:r>
        <w:t xml:space="preserve"> </w:t>
      </w:r>
      <w:r>
        <w:t xml:space="preserve">м</w:t>
      </w:r>
      <w:r>
        <w:t xml:space="preserve">ероприятий</w:t>
      </w:r>
      <w:r>
        <w:t xml:space="preserve"> подпрограммы </w:t>
      </w:r>
      <w:r>
        <w:t xml:space="preserve">с объёмом финансирования»</w:t>
      </w:r>
      <w:r>
        <w:t xml:space="preserve"> </w:t>
      </w:r>
      <w:r>
        <w:t xml:space="preserve">к </w:t>
      </w:r>
      <w:r>
        <w:t xml:space="preserve">П</w:t>
      </w:r>
      <w:r>
        <w:t xml:space="preserve">одпрограмме 1</w:t>
      </w:r>
      <w:r>
        <w:t xml:space="preserve"> </w:t>
      </w:r>
      <w:r>
        <w:t xml:space="preserve">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700"/>
        <w:gridCol w:w="709"/>
        <w:gridCol w:w="932"/>
        <w:gridCol w:w="1123"/>
        <w:gridCol w:w="1121"/>
        <w:gridCol w:w="979"/>
        <w:gridCol w:w="979"/>
        <w:gridCol w:w="1106"/>
      </w:tblGrid>
      <w:tr>
        <w:tblPrEx/>
        <w:trPr>
          <w:trHeight w:val="18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right="-115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«1.1.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Финансовая поддержка СМСП</w:t>
            </w:r>
            <w:r>
              <w:rPr>
                <w:sz w:val="20"/>
                <w:szCs w:val="20"/>
              </w:rPr>
              <w:t xml:space="preserve"> на технологическое присоединение к электрическим сетям нестационарных торговых объектов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5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-202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Сектор инвестиционной деятельности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 по </w:t>
            </w:r>
            <w:r>
              <w:rPr>
                <w:b/>
                <w:sz w:val="20"/>
                <w:szCs w:val="20"/>
              </w:rPr>
              <w:t xml:space="preserve">основному </w:t>
            </w:r>
            <w:r>
              <w:rPr>
                <w:b/>
                <w:sz w:val="20"/>
                <w:szCs w:val="20"/>
              </w:rPr>
              <w:t xml:space="preserve">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564,7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121,6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221,5»;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</w:t>
      </w:r>
      <w:r>
        <w:t xml:space="preserve"> строки 1.</w:t>
      </w:r>
      <w:r>
        <w:t xml:space="preserve">2.3</w:t>
      </w:r>
      <w:r>
        <w:t xml:space="preserve">, </w:t>
      </w:r>
      <w:r>
        <w:t xml:space="preserve"> «Итого по</w:t>
      </w:r>
      <w:r>
        <w:t xml:space="preserve"> основному</w:t>
      </w:r>
      <w:r>
        <w:t xml:space="preserve"> мероприятию </w:t>
      </w:r>
      <w:r>
        <w:t xml:space="preserve">2</w:t>
      </w:r>
      <w:r>
        <w:t xml:space="preserve">»</w:t>
      </w:r>
      <w:r>
        <w:t xml:space="preserve"> и «Всего по подпрограмме 1»</w:t>
      </w:r>
      <w:r>
        <w:t xml:space="preserve"> </w:t>
      </w:r>
      <w:r>
        <w:t xml:space="preserve">таблицы 1</w:t>
      </w:r>
      <w:r>
        <w:t xml:space="preserve"> «Перечень мероприятий подпрограммы с объёмом финансирования» </w:t>
      </w:r>
      <w:r>
        <w:t xml:space="preserve">к </w:t>
      </w:r>
      <w:r>
        <w:t xml:space="preserve">П</w:t>
      </w:r>
      <w:r>
        <w:t xml:space="preserve">одпрограмме 1</w:t>
      </w:r>
      <w:r>
        <w:t xml:space="preserve"> </w:t>
      </w:r>
      <w:r>
        <w:t xml:space="preserve">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1559"/>
        <w:gridCol w:w="709"/>
        <w:gridCol w:w="932"/>
        <w:gridCol w:w="1123"/>
        <w:gridCol w:w="1121"/>
        <w:gridCol w:w="979"/>
        <w:gridCol w:w="979"/>
        <w:gridCol w:w="1104"/>
      </w:tblGrid>
      <w:tr>
        <w:tblPrEx/>
        <w:trPr>
          <w:trHeight w:val="188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«1.2.3.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Разработка инвестиционного профиля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2024</w:t>
            </w:r>
            <w:r>
              <w:rPr>
                <w:sz w:val="20"/>
                <w:szCs w:val="20"/>
                <w:lang w:val="en-US"/>
              </w:rPr>
              <w:t xml:space="preserve">-2026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Сектор инвестиционной деятельности; АНО «Центр социальных проектов Печенгского района «Вторая школа»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95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95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95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95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 по </w:t>
            </w:r>
            <w:r>
              <w:rPr>
                <w:b/>
                <w:sz w:val="20"/>
                <w:szCs w:val="20"/>
              </w:rPr>
              <w:t xml:space="preserve">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95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95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95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95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  <w:t xml:space="preserve"> по </w:t>
            </w:r>
            <w:r>
              <w:rPr>
                <w:b/>
                <w:sz w:val="20"/>
                <w:szCs w:val="20"/>
              </w:rPr>
              <w:t xml:space="preserve">подпрограмме</w:t>
            </w:r>
            <w:r>
              <w:rPr>
                <w:b/>
                <w:sz w:val="20"/>
                <w:szCs w:val="20"/>
              </w:rPr>
              <w:t xml:space="preserve">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64,7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95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95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1514,7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1071,6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221,5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pBdr>
          <w:top w:val="none" w:color="000000" w:sz="4" w:space="10"/>
          <w:left w:val="none" w:color="000000" w:sz="4" w:space="1"/>
        </w:pBdr>
      </w:pPr>
      <w:r>
        <w:t xml:space="preserve">- строк</w:t>
      </w:r>
      <w:r>
        <w:t xml:space="preserve">и</w:t>
      </w:r>
      <w:r>
        <w:t xml:space="preserve"> 1.</w:t>
      </w:r>
      <w:r>
        <w:t xml:space="preserve">1.</w:t>
      </w:r>
      <w:r>
        <w:t xml:space="preserve">1</w:t>
      </w:r>
      <w:r>
        <w:t xml:space="preserve"> и 1.2.3</w:t>
      </w:r>
      <w:r>
        <w:t xml:space="preserve"> таблицы 2</w:t>
      </w:r>
      <w:r>
        <w:t xml:space="preserve"> «Перечень мероприятий</w:t>
      </w:r>
      <w:r>
        <w:t xml:space="preserve"> подпрограммы</w:t>
      </w:r>
      <w:r>
        <w:t xml:space="preserve"> с </w:t>
      </w:r>
      <w:r>
        <w:t xml:space="preserve">показателями результативности выполнения мероприятий» </w:t>
      </w:r>
      <w:r>
        <w:t xml:space="preserve">к </w:t>
      </w:r>
      <w:r>
        <w:t xml:space="preserve">П</w:t>
      </w:r>
      <w:r>
        <w:t xml:space="preserve">одпрограмме 1 изложить в следующей редакции</w:t>
      </w:r>
      <w:bookmarkStart w:id="0" w:name="_GoBack"/>
      <w:r/>
      <w:bookmarkEnd w:id="0"/>
      <w:r>
        <w:t xml:space="preserve">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701"/>
        <w:gridCol w:w="709"/>
        <w:gridCol w:w="1774"/>
        <w:gridCol w:w="633"/>
        <w:gridCol w:w="852"/>
        <w:gridCol w:w="850"/>
        <w:gridCol w:w="852"/>
        <w:gridCol w:w="1136"/>
      </w:tblGrid>
      <w:tr>
        <w:tblPrEx/>
        <w:trPr>
          <w:trHeight w:val="178"/>
        </w:trPr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1.1.1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Финансовая поддержка СМСП</w:t>
            </w:r>
            <w:r>
              <w:rPr>
                <w:sz w:val="20"/>
                <w:szCs w:val="20"/>
              </w:rPr>
              <w:t xml:space="preserve"> на технологическое присоединение к электрическим сетям нестационарных торговых объектов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948" w:type="pc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Количество СМСП</w:t>
            </w:r>
            <w:r>
              <w:rPr>
                <w:rFonts w:eastAsia="Calibri"/>
                <w:sz w:val="20"/>
                <w:szCs w:val="20"/>
              </w:rPr>
              <w:t xml:space="preserve"> получателей финансовой поддержки</w:t>
            </w:r>
            <w:r>
              <w:rPr>
                <w:rFonts w:eastAsia="Calibri"/>
                <w:sz w:val="20"/>
                <w:szCs w:val="20"/>
              </w:rPr>
              <w:t xml:space="preserve"> на технологическое присоединение к электрическим сетям нестационарных торговых объектов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33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607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Сектор инвестиционной деятельности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Разработка инвестиционного профиля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948" w:type="pc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Наличие разработанного инвестиционного профиля Печенгского муниципального округа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33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Да/ нет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607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Сектор инвестиционной деятельности; АНО «Центр социальных проектов Печенгского района «Вторая школа»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48" w:type="pc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38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Да/ нет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55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607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Сектор инвестиционной деятельности».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pBdr>
          <w:top w:val="none" w:color="000000" w:sz="4" w:space="10"/>
        </w:pBdr>
      </w:pPr>
      <w:r>
        <w:t xml:space="preserve">2</w:t>
      </w:r>
      <w:r>
        <w:t xml:space="preserve">. </w:t>
      </w:r>
      <w:r>
        <w:t xml:space="preserve">Настоящее постановление вступ</w:t>
      </w:r>
      <w:r>
        <w:t xml:space="preserve">ает в силу после его подписания.</w:t>
      </w:r>
      <w:r/>
    </w:p>
    <w:p>
      <w:pPr>
        <w:ind w:firstLine="709"/>
        <w:jc w:val="both"/>
        <w:widowControl w:val="off"/>
        <w:pBdr>
          <w:top w:val="none" w:color="000000" w:sz="4" w:space="10"/>
        </w:pBdr>
      </w:pPr>
      <w:r>
        <w:t xml:space="preserve">3. </w:t>
      </w:r>
      <w:r>
        <w:t xml:space="preserve">Настоящее постановление</w:t>
      </w:r>
      <w:r>
        <w:t xml:space="preserve"> </w:t>
      </w:r>
      <w:r>
        <w:t xml:space="preserve">опубликова</w:t>
      </w:r>
      <w:r>
        <w:t xml:space="preserve">ть</w:t>
      </w:r>
      <w:r>
        <w:t xml:space="preserve"> в</w:t>
      </w:r>
      <w:r>
        <w:t xml:space="preserve"> официальном издании</w:t>
      </w:r>
      <w:r>
        <w:t xml:space="preserve"> газет</w:t>
      </w:r>
      <w:r>
        <w:t xml:space="preserve">а</w:t>
      </w:r>
      <w:r>
        <w:t xml:space="preserve"> «Печенга» и разме</w:t>
      </w:r>
      <w:r>
        <w:t xml:space="preserve">стить на</w:t>
      </w:r>
      <w:r>
        <w:t xml:space="preserve"> сайте </w:t>
      </w:r>
      <w:r>
        <w:t xml:space="preserve">Печенгского муниципального округа </w:t>
      </w:r>
      <w:r>
        <w:t xml:space="preserve">в сети Интернет</w:t>
      </w:r>
      <w:r>
        <w:t xml:space="preserve">.</w:t>
      </w:r>
      <w:r/>
    </w:p>
    <w:p>
      <w:pPr>
        <w:ind w:firstLine="709"/>
        <w:jc w:val="both"/>
        <w:widowControl w:val="off"/>
        <w:pBdr>
          <w:top w:val="none" w:color="000000" w:sz="4" w:space="10"/>
        </w:pBdr>
      </w:pPr>
      <w:r/>
      <w:r/>
    </w:p>
    <w:p>
      <w:pPr>
        <w:ind w:firstLine="709"/>
        <w:jc w:val="both"/>
        <w:widowControl w:val="off"/>
        <w:pBdr>
          <w:top w:val="none" w:color="000000" w:sz="4" w:space="10"/>
        </w:pBdr>
      </w:pPr>
      <w:r/>
      <w:r/>
    </w:p>
    <w:p>
      <w:pPr>
        <w:jc w:val="both"/>
        <w:widowControl w:val="off"/>
        <w:rPr>
          <w:b/>
          <w:bCs/>
        </w:rPr>
        <w:pBdr>
          <w:top w:val="none" w:color="000000" w:sz="4" w:space="10"/>
        </w:pBdr>
      </w:pPr>
      <w:r>
        <w:t xml:space="preserve">Г</w:t>
      </w:r>
      <w:r>
        <w:t xml:space="preserve">лава Печенгского муниципального округа                                     </w:t>
      </w:r>
      <w:r>
        <w:t xml:space="preserve">   </w:t>
      </w:r>
      <w:r>
        <w:t xml:space="preserve">   </w:t>
      </w:r>
      <w:r>
        <w:t xml:space="preserve">       </w:t>
      </w:r>
      <w:r>
        <w:t xml:space="preserve">  </w:t>
      </w:r>
      <w:r>
        <w:t xml:space="preserve">  </w:t>
      </w:r>
      <w:r>
        <w:t xml:space="preserve"> </w:t>
      </w:r>
      <w:r>
        <w:t xml:space="preserve"> </w:t>
      </w:r>
      <w:r>
        <w:t xml:space="preserve">А.В. Кузнецов</w:t>
      </w:r>
      <w:r>
        <w:rPr>
          <w:b/>
          <w:bCs/>
        </w:rPr>
      </w:r>
      <w:r>
        <w:rPr>
          <w:b/>
          <w:bCs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3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3"/>
        </w:pBdr>
      </w:pP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3"/>
        </w:pBdr>
      </w:pP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20"/>
          <w:szCs w:val="20"/>
        </w:rPr>
        <w:pBdr>
          <w:top w:val="none" w:color="000000" w:sz="4" w:space="5"/>
        </w:pBdr>
      </w:pPr>
      <w:r>
        <w:rPr>
          <w:bCs/>
          <w:color w:val="000000" w:themeColor="text1"/>
          <w:sz w:val="20"/>
          <w:szCs w:val="20"/>
        </w:rPr>
        <w:t xml:space="preserve">Ч</w:t>
      </w:r>
      <w:r>
        <w:rPr>
          <w:bCs/>
          <w:color w:val="000000" w:themeColor="text1"/>
          <w:sz w:val="20"/>
          <w:szCs w:val="20"/>
        </w:rPr>
        <w:t xml:space="preserve">упина</w:t>
      </w:r>
      <w:r>
        <w:rPr>
          <w:bCs/>
          <w:color w:val="000000" w:themeColor="text1"/>
          <w:sz w:val="20"/>
          <w:szCs w:val="20"/>
        </w:rPr>
        <w:t xml:space="preserve"> Н.В., 62041</w:t>
      </w:r>
      <w:r>
        <w:rPr>
          <w:bCs/>
          <w:color w:val="000000" w:themeColor="text1"/>
          <w:sz w:val="20"/>
          <w:szCs w:val="20"/>
        </w:rPr>
      </w:r>
      <w:r>
        <w:rPr>
          <w:bCs/>
          <w:color w:val="000000" w:themeColor="text1"/>
          <w:sz w:val="20"/>
          <w:szCs w:val="20"/>
        </w:rPr>
      </w:r>
    </w:p>
    <w:sectPr>
      <w:footnotePr/>
      <w:endnotePr/>
      <w:type w:val="nextPage"/>
      <w:pgSz w:w="11906" w:h="16838" w:orient="portrait"/>
      <w:pgMar w:top="993" w:right="707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16"/>
      </w:pPr>
      <w:r>
        <w:separator/>
      </w:r>
      <w:r/>
    </w:p>
  </w:footnote>
  <w:footnote w:type="continuationSeparator" w:id="0">
    <w:p>
      <w:pPr>
        <w:pStyle w:val="916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1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7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9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23"/>
  </w:num>
  <w:num w:numId="2">
    <w:abstractNumId w:val="24"/>
  </w:num>
  <w:num w:numId="3">
    <w:abstractNumId w:val="21"/>
  </w:num>
  <w:num w:numId="4">
    <w:abstractNumId w:val="3"/>
  </w:num>
  <w:num w:numId="5">
    <w:abstractNumId w:val="20"/>
  </w:num>
  <w:num w:numId="6">
    <w:abstractNumId w:val="16"/>
  </w:num>
  <w:num w:numId="7">
    <w:abstractNumId w:val="5"/>
  </w:num>
  <w:num w:numId="8">
    <w:abstractNumId w:val="18"/>
  </w:num>
  <w:num w:numId="9">
    <w:abstractNumId w:val="6"/>
  </w:num>
  <w:num w:numId="10">
    <w:abstractNumId w:val="26"/>
  </w:num>
  <w:num w:numId="11">
    <w:abstractNumId w:val="19"/>
  </w:num>
  <w:num w:numId="12">
    <w:abstractNumId w:val="0"/>
  </w:num>
  <w:num w:numId="13">
    <w:abstractNumId w:val="9"/>
  </w:num>
  <w:num w:numId="14">
    <w:abstractNumId w:val="17"/>
  </w:num>
  <w:num w:numId="15">
    <w:abstractNumId w:val="32"/>
  </w:num>
  <w:num w:numId="16">
    <w:abstractNumId w:val="14"/>
  </w:num>
  <w:num w:numId="17">
    <w:abstractNumId w:val="4"/>
  </w:num>
  <w:num w:numId="18">
    <w:abstractNumId w:val="15"/>
  </w:num>
  <w:num w:numId="19">
    <w:abstractNumId w:val="11"/>
  </w:num>
  <w:num w:numId="20">
    <w:abstractNumId w:val="13"/>
  </w:num>
  <w:num w:numId="21">
    <w:abstractNumId w:val="22"/>
  </w:num>
  <w:num w:numId="22">
    <w:abstractNumId w:val="12"/>
  </w:num>
  <w:num w:numId="23">
    <w:abstractNumId w:val="10"/>
  </w:num>
  <w:num w:numId="24">
    <w:abstractNumId w:val="2"/>
  </w:num>
  <w:num w:numId="25">
    <w:abstractNumId w:val="28"/>
  </w:num>
  <w:num w:numId="26">
    <w:abstractNumId w:val="7"/>
  </w:num>
  <w:num w:numId="27">
    <w:abstractNumId w:val="30"/>
  </w:num>
  <w:num w:numId="28">
    <w:abstractNumId w:val="1"/>
  </w:num>
  <w:num w:numId="29">
    <w:abstractNumId w:val="8"/>
  </w:num>
  <w:num w:numId="30">
    <w:abstractNumId w:val="29"/>
  </w:num>
  <w:num w:numId="31">
    <w:abstractNumId w:val="31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0">
    <w:name w:val="Heading 1 Char"/>
    <w:basedOn w:val="867"/>
    <w:link w:val="858"/>
    <w:uiPriority w:val="9"/>
    <w:rPr>
      <w:rFonts w:ascii="Arial" w:hAnsi="Arial" w:eastAsia="Arial" w:cs="Arial"/>
      <w:sz w:val="40"/>
      <w:szCs w:val="40"/>
    </w:rPr>
  </w:style>
  <w:style w:type="character" w:styleId="721">
    <w:name w:val="Heading 2 Char"/>
    <w:basedOn w:val="867"/>
    <w:link w:val="859"/>
    <w:uiPriority w:val="9"/>
    <w:rPr>
      <w:rFonts w:ascii="Arial" w:hAnsi="Arial" w:eastAsia="Arial" w:cs="Arial"/>
      <w:sz w:val="34"/>
    </w:rPr>
  </w:style>
  <w:style w:type="character" w:styleId="722">
    <w:name w:val="Heading 3 Char"/>
    <w:basedOn w:val="867"/>
    <w:link w:val="860"/>
    <w:uiPriority w:val="9"/>
    <w:rPr>
      <w:rFonts w:ascii="Arial" w:hAnsi="Arial" w:eastAsia="Arial" w:cs="Arial"/>
      <w:sz w:val="30"/>
      <w:szCs w:val="30"/>
    </w:rPr>
  </w:style>
  <w:style w:type="character" w:styleId="723">
    <w:name w:val="Heading 4 Char"/>
    <w:basedOn w:val="867"/>
    <w:link w:val="861"/>
    <w:uiPriority w:val="9"/>
    <w:rPr>
      <w:rFonts w:ascii="Arial" w:hAnsi="Arial" w:eastAsia="Arial" w:cs="Arial"/>
      <w:b/>
      <w:bCs/>
      <w:sz w:val="26"/>
      <w:szCs w:val="26"/>
    </w:rPr>
  </w:style>
  <w:style w:type="character" w:styleId="724">
    <w:name w:val="Heading 5 Char"/>
    <w:basedOn w:val="867"/>
    <w:link w:val="862"/>
    <w:uiPriority w:val="9"/>
    <w:rPr>
      <w:rFonts w:ascii="Arial" w:hAnsi="Arial" w:eastAsia="Arial" w:cs="Arial"/>
      <w:b/>
      <w:bCs/>
      <w:sz w:val="24"/>
      <w:szCs w:val="24"/>
    </w:rPr>
  </w:style>
  <w:style w:type="character" w:styleId="725">
    <w:name w:val="Heading 6 Char"/>
    <w:basedOn w:val="867"/>
    <w:link w:val="863"/>
    <w:uiPriority w:val="9"/>
    <w:rPr>
      <w:rFonts w:ascii="Arial" w:hAnsi="Arial" w:eastAsia="Arial" w:cs="Arial"/>
      <w:b/>
      <w:bCs/>
      <w:sz w:val="22"/>
      <w:szCs w:val="22"/>
    </w:rPr>
  </w:style>
  <w:style w:type="character" w:styleId="726">
    <w:name w:val="Heading 7 Char"/>
    <w:basedOn w:val="867"/>
    <w:link w:val="8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8 Char"/>
    <w:basedOn w:val="867"/>
    <w:link w:val="865"/>
    <w:uiPriority w:val="9"/>
    <w:rPr>
      <w:rFonts w:ascii="Arial" w:hAnsi="Arial" w:eastAsia="Arial" w:cs="Arial"/>
      <w:i/>
      <w:iCs/>
      <w:sz w:val="22"/>
      <w:szCs w:val="22"/>
    </w:rPr>
  </w:style>
  <w:style w:type="character" w:styleId="728">
    <w:name w:val="Heading 9 Char"/>
    <w:basedOn w:val="867"/>
    <w:link w:val="866"/>
    <w:uiPriority w:val="9"/>
    <w:rPr>
      <w:rFonts w:ascii="Arial" w:hAnsi="Arial" w:eastAsia="Arial" w:cs="Arial"/>
      <w:i/>
      <w:iCs/>
      <w:sz w:val="21"/>
      <w:szCs w:val="21"/>
    </w:rPr>
  </w:style>
  <w:style w:type="character" w:styleId="729">
    <w:name w:val="Title Char"/>
    <w:basedOn w:val="867"/>
    <w:link w:val="872"/>
    <w:uiPriority w:val="10"/>
    <w:rPr>
      <w:sz w:val="48"/>
      <w:szCs w:val="48"/>
    </w:rPr>
  </w:style>
  <w:style w:type="character" w:styleId="730">
    <w:name w:val="Subtitle Char"/>
    <w:basedOn w:val="867"/>
    <w:link w:val="873"/>
    <w:uiPriority w:val="11"/>
    <w:rPr>
      <w:sz w:val="24"/>
      <w:szCs w:val="24"/>
    </w:rPr>
  </w:style>
  <w:style w:type="character" w:styleId="731">
    <w:name w:val="Quote Char"/>
    <w:link w:val="874"/>
    <w:uiPriority w:val="29"/>
    <w:rPr>
      <w:i/>
    </w:rPr>
  </w:style>
  <w:style w:type="character" w:styleId="732">
    <w:name w:val="Intense Quote Char"/>
    <w:link w:val="875"/>
    <w:uiPriority w:val="30"/>
    <w:rPr>
      <w:i/>
    </w:rPr>
  </w:style>
  <w:style w:type="character" w:styleId="733">
    <w:name w:val="Header Char"/>
    <w:basedOn w:val="867"/>
    <w:link w:val="876"/>
    <w:uiPriority w:val="99"/>
  </w:style>
  <w:style w:type="character" w:styleId="734">
    <w:name w:val="Footer Char"/>
    <w:basedOn w:val="867"/>
    <w:link w:val="877"/>
    <w:uiPriority w:val="99"/>
  </w:style>
  <w:style w:type="paragraph" w:styleId="735">
    <w:name w:val="Caption"/>
    <w:basedOn w:val="857"/>
    <w:next w:val="8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735"/>
    <w:link w:val="877"/>
    <w:uiPriority w:val="99"/>
  </w:style>
  <w:style w:type="table" w:styleId="737">
    <w:name w:val="Table Grid Light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Plain Table 1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2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>
    <w:name w:val="Plain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Plain Table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>
    <w:name w:val="Grid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4 - Accent 1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6">
    <w:name w:val="Grid Table 4 - Accent 2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7">
    <w:name w:val="Grid Table 4 - Accent 3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8">
    <w:name w:val="Grid Table 4 - Accent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9">
    <w:name w:val="Grid Table 4 - Accent 5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0">
    <w:name w:val="Grid Table 4 - Accent 6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1">
    <w:name w:val="Grid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8">
    <w:name w:val="Grid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9">
    <w:name w:val="Grid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0">
    <w:name w:val="Grid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1">
    <w:name w:val="Grid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2">
    <w:name w:val="Grid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3">
    <w:name w:val="Grid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5">
    <w:name w:val="Grid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0">
    <w:name w:val="List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1">
    <w:name w:val="List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2">
    <w:name w:val="List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3">
    <w:name w:val="List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4">
    <w:name w:val="List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5">
    <w:name w:val="List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6">
    <w:name w:val="List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8">
    <w:name w:val="List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9">
    <w:name w:val="List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0">
    <w:name w:val="List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1">
    <w:name w:val="List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2">
    <w:name w:val="List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3">
    <w:name w:val="List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4">
    <w:name w:val="List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5">
    <w:name w:val="List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6">
    <w:name w:val="List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7">
    <w:name w:val="List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8">
    <w:name w:val="List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9">
    <w:name w:val="List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0">
    <w:name w:val="List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1">
    <w:name w:val="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43">
    <w:name w:val="endnote text"/>
    <w:basedOn w:val="857"/>
    <w:link w:val="844"/>
    <w:uiPriority w:val="99"/>
    <w:semiHidden/>
    <w:unhideWhenUsed/>
    <w:pPr>
      <w:spacing w:after="0" w:line="240" w:lineRule="auto"/>
    </w:pPr>
    <w:rPr>
      <w:sz w:val="20"/>
    </w:rPr>
  </w:style>
  <w:style w:type="character" w:styleId="844">
    <w:name w:val="Endnote Text Char"/>
    <w:link w:val="843"/>
    <w:uiPriority w:val="99"/>
    <w:rPr>
      <w:sz w:val="20"/>
    </w:rPr>
  </w:style>
  <w:style w:type="character" w:styleId="845">
    <w:name w:val="endnote reference"/>
    <w:basedOn w:val="867"/>
    <w:uiPriority w:val="99"/>
    <w:semiHidden/>
    <w:unhideWhenUsed/>
    <w:rPr>
      <w:vertAlign w:val="superscript"/>
    </w:rPr>
  </w:style>
  <w:style w:type="paragraph" w:styleId="846">
    <w:name w:val="toc 1"/>
    <w:basedOn w:val="857"/>
    <w:next w:val="857"/>
    <w:uiPriority w:val="39"/>
    <w:unhideWhenUsed/>
    <w:pPr>
      <w:ind w:left="0" w:right="0" w:firstLine="0"/>
      <w:spacing w:after="57"/>
    </w:pPr>
  </w:style>
  <w:style w:type="paragraph" w:styleId="847">
    <w:name w:val="toc 2"/>
    <w:basedOn w:val="857"/>
    <w:next w:val="857"/>
    <w:uiPriority w:val="39"/>
    <w:unhideWhenUsed/>
    <w:pPr>
      <w:ind w:left="283" w:right="0" w:firstLine="0"/>
      <w:spacing w:after="57"/>
    </w:pPr>
  </w:style>
  <w:style w:type="paragraph" w:styleId="848">
    <w:name w:val="toc 3"/>
    <w:basedOn w:val="857"/>
    <w:next w:val="857"/>
    <w:uiPriority w:val="39"/>
    <w:unhideWhenUsed/>
    <w:pPr>
      <w:ind w:left="567" w:right="0" w:firstLine="0"/>
      <w:spacing w:after="57"/>
    </w:pPr>
  </w:style>
  <w:style w:type="paragraph" w:styleId="849">
    <w:name w:val="toc 4"/>
    <w:basedOn w:val="857"/>
    <w:next w:val="857"/>
    <w:uiPriority w:val="39"/>
    <w:unhideWhenUsed/>
    <w:pPr>
      <w:ind w:left="850" w:right="0" w:firstLine="0"/>
      <w:spacing w:after="57"/>
    </w:pPr>
  </w:style>
  <w:style w:type="paragraph" w:styleId="850">
    <w:name w:val="toc 5"/>
    <w:basedOn w:val="857"/>
    <w:next w:val="857"/>
    <w:uiPriority w:val="39"/>
    <w:unhideWhenUsed/>
    <w:pPr>
      <w:ind w:left="1134" w:right="0" w:firstLine="0"/>
      <w:spacing w:after="57"/>
    </w:pPr>
  </w:style>
  <w:style w:type="paragraph" w:styleId="851">
    <w:name w:val="toc 6"/>
    <w:basedOn w:val="857"/>
    <w:next w:val="857"/>
    <w:uiPriority w:val="39"/>
    <w:unhideWhenUsed/>
    <w:pPr>
      <w:ind w:left="1417" w:right="0" w:firstLine="0"/>
      <w:spacing w:after="57"/>
    </w:pPr>
  </w:style>
  <w:style w:type="paragraph" w:styleId="852">
    <w:name w:val="toc 7"/>
    <w:basedOn w:val="857"/>
    <w:next w:val="857"/>
    <w:uiPriority w:val="39"/>
    <w:unhideWhenUsed/>
    <w:pPr>
      <w:ind w:left="1701" w:right="0" w:firstLine="0"/>
      <w:spacing w:after="57"/>
    </w:pPr>
  </w:style>
  <w:style w:type="paragraph" w:styleId="853">
    <w:name w:val="toc 8"/>
    <w:basedOn w:val="857"/>
    <w:next w:val="857"/>
    <w:uiPriority w:val="39"/>
    <w:unhideWhenUsed/>
    <w:pPr>
      <w:ind w:left="1984" w:right="0" w:firstLine="0"/>
      <w:spacing w:after="57"/>
    </w:pPr>
  </w:style>
  <w:style w:type="paragraph" w:styleId="854">
    <w:name w:val="toc 9"/>
    <w:basedOn w:val="857"/>
    <w:next w:val="857"/>
    <w:uiPriority w:val="39"/>
    <w:unhideWhenUsed/>
    <w:pPr>
      <w:ind w:left="2268" w:right="0" w:firstLine="0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857"/>
    <w:next w:val="857"/>
    <w:uiPriority w:val="99"/>
    <w:unhideWhenUsed/>
    <w:pPr>
      <w:spacing w:after="0" w:afterAutospacing="0"/>
    </w:pPr>
  </w:style>
  <w:style w:type="paragraph" w:styleId="857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58">
    <w:name w:val="Heading 1"/>
    <w:basedOn w:val="857"/>
    <w:next w:val="85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59">
    <w:name w:val="Heading 2"/>
    <w:basedOn w:val="857"/>
    <w:next w:val="857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60">
    <w:name w:val="Heading 3"/>
    <w:basedOn w:val="857"/>
    <w:next w:val="857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61">
    <w:name w:val="Heading 4"/>
    <w:basedOn w:val="857"/>
    <w:next w:val="85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62">
    <w:name w:val="Heading 5"/>
    <w:basedOn w:val="857"/>
    <w:next w:val="857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63">
    <w:name w:val="Heading 6"/>
    <w:basedOn w:val="857"/>
    <w:next w:val="857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64">
    <w:name w:val="Heading 7"/>
    <w:basedOn w:val="857"/>
    <w:next w:val="857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65">
    <w:name w:val="Heading 8"/>
    <w:basedOn w:val="857"/>
    <w:next w:val="857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66">
    <w:name w:val="Heading 9"/>
    <w:basedOn w:val="857"/>
    <w:next w:val="857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67" w:default="1">
    <w:name w:val="Default Paragraph Font"/>
    <w:uiPriority w:val="1"/>
    <w:semiHidden/>
    <w:unhideWhenUsed/>
  </w:style>
  <w:style w:type="table" w:styleId="8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9" w:default="1">
    <w:name w:val="No List"/>
    <w:uiPriority w:val="99"/>
    <w:semiHidden/>
    <w:unhideWhenUsed/>
  </w:style>
  <w:style w:type="paragraph" w:styleId="870">
    <w:name w:val="List Paragraph"/>
    <w:basedOn w:val="857"/>
    <w:pPr>
      <w:ind w:left="720"/>
    </w:pPr>
  </w:style>
  <w:style w:type="paragraph" w:styleId="871">
    <w:name w:val="No Spacing"/>
    <w:basedOn w:val="857"/>
    <w:uiPriority w:val="1"/>
    <w:qFormat/>
    <w:rPr>
      <w:color w:val="000000"/>
    </w:rPr>
  </w:style>
  <w:style w:type="paragraph" w:styleId="872">
    <w:name w:val="Title"/>
    <w:basedOn w:val="857"/>
    <w:next w:val="857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73">
    <w:name w:val="Subtitle"/>
    <w:basedOn w:val="857"/>
    <w:next w:val="857"/>
    <w:uiPriority w:val="11"/>
    <w:qFormat/>
    <w:rPr>
      <w:i/>
      <w:color w:val="444444"/>
      <w:sz w:val="52"/>
    </w:rPr>
  </w:style>
  <w:style w:type="paragraph" w:styleId="874">
    <w:name w:val="Quote"/>
    <w:basedOn w:val="857"/>
    <w:next w:val="857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75">
    <w:name w:val="Intense Quote"/>
    <w:basedOn w:val="857"/>
    <w:next w:val="857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76">
    <w:name w:val="Header"/>
    <w:basedOn w:val="85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77">
    <w:name w:val="Footer"/>
    <w:basedOn w:val="85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78">
    <w:name w:val="Table Grid"/>
    <w:basedOn w:val="868"/>
    <w:rPr>
      <w:rFonts w:ascii="Times New Roman" w:hAnsi="Times New Roman" w:eastAsia="Times New Roman"/>
      <w:szCs w:val="20"/>
    </w:rPr>
    <w:tblPr/>
  </w:style>
  <w:style w:type="table" w:styleId="879" w:customStyle="1">
    <w:name w:val="Lined"/>
    <w:basedOn w:val="86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80" w:customStyle="1">
    <w:name w:val="Lined - Accent 1"/>
    <w:basedOn w:val="86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81" w:customStyle="1">
    <w:name w:val="Lined - Accent 2"/>
    <w:basedOn w:val="86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82" w:customStyle="1">
    <w:name w:val="Lined - Accent 3"/>
    <w:basedOn w:val="86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83" w:customStyle="1">
    <w:name w:val="Lined - Accent 4"/>
    <w:basedOn w:val="86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84" w:customStyle="1">
    <w:name w:val="Lined - Accent 5"/>
    <w:basedOn w:val="86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85" w:customStyle="1">
    <w:name w:val="Lined - Accent 6"/>
    <w:basedOn w:val="868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86" w:customStyle="1">
    <w:name w:val="Bordered"/>
    <w:basedOn w:val="868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87" w:customStyle="1">
    <w:name w:val="Bordered - Accent 1"/>
    <w:basedOn w:val="868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88" w:customStyle="1">
    <w:name w:val="Bordered - Accent 2"/>
    <w:basedOn w:val="868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89" w:customStyle="1">
    <w:name w:val="Bordered - Accent 3"/>
    <w:basedOn w:val="868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90" w:customStyle="1">
    <w:name w:val="Bordered - Accent 4"/>
    <w:basedOn w:val="868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91" w:customStyle="1">
    <w:name w:val="Bordered - Accent 5"/>
    <w:basedOn w:val="868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92" w:customStyle="1">
    <w:name w:val="Bordered - Accent 6"/>
    <w:basedOn w:val="868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93" w:customStyle="1">
    <w:name w:val="Bordered &amp; Lined"/>
    <w:basedOn w:val="868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94" w:customStyle="1">
    <w:name w:val="Bordered &amp; Lined - Accent 1"/>
    <w:basedOn w:val="868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95" w:customStyle="1">
    <w:name w:val="Bordered &amp; Lined - Accent 2"/>
    <w:basedOn w:val="868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96" w:customStyle="1">
    <w:name w:val="Bordered &amp; Lined - Accent 3"/>
    <w:basedOn w:val="868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97" w:customStyle="1">
    <w:name w:val="Bordered &amp; Lined - Accent 4"/>
    <w:basedOn w:val="868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98" w:customStyle="1">
    <w:name w:val="Bordered &amp; Lined - Accent 5"/>
    <w:basedOn w:val="868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99" w:customStyle="1">
    <w:name w:val="Bordered &amp; Lined - Accent 6"/>
    <w:basedOn w:val="868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00">
    <w:name w:val="Hyperlink"/>
    <w:semiHidden/>
    <w:rPr>
      <w:color w:val="0000ff"/>
      <w:u w:val="single"/>
    </w:rPr>
  </w:style>
  <w:style w:type="paragraph" w:styleId="901">
    <w:name w:val="footnote text"/>
    <w:basedOn w:val="857"/>
    <w:uiPriority w:val="99"/>
    <w:semiHidden/>
    <w:unhideWhenUsed/>
    <w:rPr>
      <w:sz w:val="20"/>
    </w:rPr>
  </w:style>
  <w:style w:type="character" w:styleId="902" w:customStyle="1">
    <w:name w:val="Footnote Text Char"/>
    <w:basedOn w:val="867"/>
    <w:uiPriority w:val="99"/>
    <w:semiHidden/>
    <w:rPr>
      <w:sz w:val="20"/>
    </w:rPr>
  </w:style>
  <w:style w:type="character" w:styleId="903">
    <w:name w:val="footnote reference"/>
    <w:basedOn w:val="867"/>
    <w:uiPriority w:val="99"/>
    <w:semiHidden/>
    <w:unhideWhenUsed/>
    <w:rPr>
      <w:vertAlign w:val="superscript"/>
    </w:rPr>
  </w:style>
  <w:style w:type="paragraph" w:styleId="904">
    <w:name w:val="Balloon Text"/>
    <w:basedOn w:val="857"/>
    <w:semiHidden/>
    <w:rPr>
      <w:rFonts w:ascii="Tahoma" w:hAnsi="Tahoma"/>
      <w:sz w:val="16"/>
      <w:szCs w:val="16"/>
    </w:rPr>
  </w:style>
  <w:style w:type="character" w:styleId="905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06">
    <w:name w:val="Normal (Web)"/>
    <w:basedOn w:val="857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07" w:customStyle="1">
    <w:name w:val="МОН Знак"/>
    <w:rPr>
      <w:sz w:val="24"/>
      <w:szCs w:val="24"/>
    </w:rPr>
  </w:style>
  <w:style w:type="paragraph" w:styleId="908" w:customStyle="1">
    <w:name w:val="МОН"/>
    <w:basedOn w:val="857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09">
    <w:name w:val="Strong"/>
    <w:rPr>
      <w:b/>
      <w:bCs/>
    </w:rPr>
  </w:style>
  <w:style w:type="paragraph" w:styleId="910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11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12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13">
    <w:name w:val="Body Text 2"/>
    <w:basedOn w:val="857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14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15" w:customStyle="1">
    <w:name w:val="GenStyleDefNum"/>
  </w:style>
  <w:style w:type="paragraph" w:styleId="916" w:customStyle="1">
    <w:name w:val="GenStyleDefPar"/>
  </w:style>
  <w:style w:type="table" w:styleId="917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18" w:customStyle="1">
    <w:name w:val="docdata"/>
    <w:basedOn w:val="85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19" w:customStyle="1">
    <w:name w:val="Основной шрифт абзаца17"/>
  </w:style>
  <w:style w:type="paragraph" w:styleId="920" w:customStyle="1">
    <w:name w:val="Абзац списка1"/>
    <w:basedOn w:val="857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7FFBA-BC7A-4E4C-973B-0DBF4AF64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6</cp:revision>
  <dcterms:created xsi:type="dcterms:W3CDTF">2024-03-18T06:28:00Z</dcterms:created>
  <dcterms:modified xsi:type="dcterms:W3CDTF">2024-04-03T06:30:35Z</dcterms:modified>
</cp:coreProperties>
</file>