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</w:p>
    <w:p>
      <w:pPr>
        <w:jc w:val="both"/>
        <w:widowControl w:val="off"/>
        <w:rPr>
          <w:b/>
        </w:rPr>
      </w:pPr>
      <w:r>
        <w:rPr>
          <w:b/>
        </w:rPr>
      </w:r>
      <w:r>
        <w:rPr>
          <w:b/>
        </w:rPr>
      </w:r>
    </w:p>
    <w:p>
      <w:pPr>
        <w:jc w:val="both"/>
        <w:widowControl w:val="off"/>
        <w:rPr>
          <w:b/>
        </w:rPr>
      </w:pPr>
      <w:r>
        <w:rPr>
          <w:b/>
        </w:rPr>
      </w:r>
      <w:r>
        <w:rPr>
          <w:b/>
        </w:rPr>
      </w:r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</w:rPr>
        <w:t xml:space="preserve">19</w:t>
      </w:r>
      <w:r>
        <w:rPr>
          <w:b/>
          <w:sz w:val="24"/>
        </w:rPr>
        <w:t xml:space="preserve">.</w:t>
      </w:r>
      <w:r>
        <w:rPr>
          <w:b/>
          <w:sz w:val="24"/>
        </w:rPr>
        <w:t xml:space="preserve">03</w:t>
      </w:r>
      <w:r>
        <w:rPr>
          <w:b/>
          <w:sz w:val="24"/>
        </w:rPr>
        <w:t xml:space="preserve">.</w:t>
      </w:r>
      <w:r>
        <w:rPr>
          <w:b/>
          <w:sz w:val="24"/>
        </w:rPr>
        <w:t xml:space="preserve">2024</w:t>
      </w:r>
      <w:r>
        <w:rPr>
          <w:b/>
          <w:sz w:val="24"/>
        </w:rPr>
        <w:t xml:space="preserve">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</w:t>
      </w:r>
      <w:r>
        <w:rPr>
          <w:b/>
          <w:sz w:val="24"/>
        </w:rPr>
        <w:t xml:space="preserve"> </w:t>
      </w:r>
      <w:r>
        <w:rPr>
          <w:b/>
          <w:sz w:val="24"/>
        </w:rPr>
        <w:t xml:space="preserve"> </w:t>
      </w:r>
      <w:r>
        <w:rPr>
          <w:b/>
          <w:sz w:val="24"/>
        </w:rPr>
        <w:t xml:space="preserve">№ </w:t>
      </w:r>
      <w:r>
        <w:rPr>
          <w:b/>
          <w:sz w:val="24"/>
        </w:rPr>
        <w:t xml:space="preserve">404</w:t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п.г.т. Никель</w:t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i/>
        </w:rPr>
      </w:pPr>
      <w:r>
        <w:rPr>
          <w:b/>
          <w:bCs/>
          <w:iCs/>
        </w:rPr>
        <w:t xml:space="preserve">Об утверждении </w:t>
      </w:r>
      <w:r>
        <w:rPr>
          <w:b/>
          <w:bCs/>
          <w:iCs/>
        </w:rPr>
        <w:t xml:space="preserve">Порядка</w:t>
      </w:r>
      <w:r>
        <w:rPr>
          <w:b/>
          <w:bCs/>
          <w:iCs/>
        </w:rPr>
        <w:t xml:space="preserve"> списани</w:t>
      </w:r>
      <w:r>
        <w:rPr>
          <w:b/>
          <w:bCs/>
          <w:iCs/>
        </w:rPr>
        <w:t xml:space="preserve">я</w:t>
      </w:r>
      <w:r>
        <w:rPr>
          <w:b/>
          <w:bCs/>
          <w:iCs/>
        </w:rPr>
        <w:t xml:space="preserve"> муниципального имущества </w:t>
      </w:r>
      <w:r>
        <w:rPr>
          <w:b/>
          <w:bCs/>
          <w:iCs/>
        </w:rPr>
        <w:t xml:space="preserve">                                    </w:t>
      </w:r>
      <w:r>
        <w:rPr>
          <w:b/>
          <w:bCs/>
          <w:iCs/>
        </w:rPr>
        <w:t xml:space="preserve">                      </w:t>
      </w:r>
      <w:r>
        <w:rPr>
          <w:b/>
          <w:bCs/>
          <w:iCs/>
        </w:rPr>
        <w:t xml:space="preserve">Печенгского муниципального округа </w:t>
      </w:r>
      <w:r>
        <w:rPr>
          <w:b/>
          <w:i/>
        </w:rPr>
      </w:r>
    </w:p>
    <w:p>
      <w:pPr>
        <w:widowControl w:val="off"/>
      </w:pPr>
      <w:r/>
      <w:r/>
    </w:p>
    <w:p>
      <w:pPr>
        <w:widowControl w:val="off"/>
      </w:pPr>
      <w:r/>
      <w:r/>
    </w:p>
    <w:p>
      <w:pPr>
        <w:ind w:firstLine="708"/>
        <w:jc w:val="both"/>
        <w:widowControl w:val="off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Руководствуясь</w:t>
      </w:r>
      <w:r>
        <w:rPr>
          <w:bCs/>
          <w:sz w:val="24"/>
          <w:szCs w:val="24"/>
        </w:rPr>
        <w:t xml:space="preserve"> Федераль</w:t>
      </w:r>
      <w:r>
        <w:rPr>
          <w:bCs/>
          <w:sz w:val="24"/>
          <w:szCs w:val="24"/>
        </w:rPr>
        <w:t xml:space="preserve">ным законом от 06.10.</w:t>
      </w:r>
      <w:r>
        <w:rPr>
          <w:bCs/>
          <w:sz w:val="24"/>
          <w:szCs w:val="24"/>
        </w:rPr>
        <w:t xml:space="preserve">2003 </w:t>
      </w:r>
      <w:r>
        <w:rPr>
          <w:bCs/>
          <w:sz w:val="24"/>
          <w:szCs w:val="24"/>
        </w:rPr>
        <w:t xml:space="preserve">№ 131-ФЗ «Об общих принципах организации местного самоуправления в Российской Федерации», </w:t>
      </w:r>
      <w:r>
        <w:rPr>
          <w:bCs/>
          <w:sz w:val="24"/>
          <w:szCs w:val="24"/>
        </w:rPr>
        <w:t xml:space="preserve">руководствуясь </w:t>
      </w:r>
      <w:r>
        <w:rPr>
          <w:sz w:val="24"/>
          <w:szCs w:val="24"/>
        </w:rPr>
        <w:t xml:space="preserve">Порядком управления и распоряжения имуществом, находящимся в собственности Печенгского муниципального округа, утвержденного решением Совета депутатов Печенгского муниципального округа от 05.02.2021 № 89</w:t>
      </w:r>
      <w:r>
        <w:rPr>
          <w:sz w:val="24"/>
          <w:szCs w:val="24"/>
        </w:rPr>
        <w:t xml:space="preserve">, </w:t>
      </w:r>
      <w:r>
        <w:rPr>
          <w:bCs/>
          <w:sz w:val="24"/>
          <w:szCs w:val="24"/>
        </w:rPr>
        <w:t xml:space="preserve">Уставом</w:t>
      </w:r>
      <w:r>
        <w:rPr>
          <w:bCs/>
          <w:sz w:val="24"/>
          <w:szCs w:val="24"/>
        </w:rPr>
        <w:t xml:space="preserve"> Печенгского муниципального округа</w:t>
      </w:r>
      <w:r>
        <w:rPr>
          <w:bCs/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632"/>
        <w:numPr>
          <w:ilvl w:val="0"/>
          <w:numId w:val="1"/>
        </w:numPr>
        <w:ind w:left="0" w:firstLine="709"/>
        <w:jc w:val="both"/>
        <w:widowControl w:val="off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Утвердить </w:t>
      </w:r>
      <w:r>
        <w:rPr>
          <w:sz w:val="24"/>
          <w:szCs w:val="24"/>
        </w:rPr>
        <w:t xml:space="preserve">Порядок</w:t>
      </w:r>
      <w:r>
        <w:rPr>
          <w:sz w:val="24"/>
          <w:szCs w:val="24"/>
        </w:rPr>
        <w:t xml:space="preserve"> списани</w:t>
      </w:r>
      <w:r>
        <w:rPr>
          <w:sz w:val="24"/>
          <w:szCs w:val="24"/>
        </w:rPr>
        <w:t xml:space="preserve">я</w:t>
      </w:r>
      <w:r>
        <w:rPr>
          <w:sz w:val="24"/>
          <w:szCs w:val="24"/>
        </w:rPr>
        <w:t xml:space="preserve"> муниц</w:t>
      </w:r>
      <w:r>
        <w:rPr>
          <w:sz w:val="24"/>
          <w:szCs w:val="24"/>
        </w:rPr>
        <w:t xml:space="preserve">ипального имущества Печенгского муниципального округа согласно приложению.</w:t>
      </w:r>
      <w:r>
        <w:rPr>
          <w:sz w:val="24"/>
          <w:szCs w:val="24"/>
        </w:rPr>
      </w:r>
    </w:p>
    <w:p>
      <w:pPr>
        <w:pStyle w:val="632"/>
        <w:ind w:left="0"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Настоящее постановление вступает в силу </w:t>
      </w:r>
      <w:r>
        <w:rPr>
          <w:sz w:val="24"/>
          <w:szCs w:val="24"/>
        </w:rPr>
        <w:t xml:space="preserve">после</w:t>
      </w:r>
      <w:r>
        <w:rPr>
          <w:sz w:val="24"/>
          <w:szCs w:val="24"/>
        </w:rPr>
        <w:t xml:space="preserve"> его</w:t>
      </w:r>
      <w:r>
        <w:rPr>
          <w:sz w:val="24"/>
          <w:szCs w:val="24"/>
        </w:rPr>
        <w:t xml:space="preserve"> опубликования в газете «Печенга».</w:t>
      </w:r>
      <w:r>
        <w:rPr>
          <w:sz w:val="24"/>
          <w:szCs w:val="24"/>
        </w:rPr>
      </w:r>
    </w:p>
    <w:p>
      <w:pPr>
        <w:pStyle w:val="632"/>
        <w:ind w:left="0"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 Настоящее постановление разместить на официальном сайте Печенгск</w:t>
      </w:r>
      <w:r>
        <w:rPr>
          <w:sz w:val="24"/>
          <w:szCs w:val="24"/>
        </w:rPr>
        <w:t xml:space="preserve">ого</w:t>
      </w:r>
      <w:r>
        <w:rPr>
          <w:sz w:val="24"/>
          <w:szCs w:val="24"/>
        </w:rPr>
        <w:t xml:space="preserve"> муниципальн</w:t>
      </w:r>
      <w:r>
        <w:rPr>
          <w:sz w:val="24"/>
          <w:szCs w:val="24"/>
        </w:rPr>
        <w:t xml:space="preserve">ого</w:t>
      </w:r>
      <w:r>
        <w:rPr>
          <w:sz w:val="24"/>
          <w:szCs w:val="24"/>
        </w:rPr>
        <w:t xml:space="preserve"> округ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https://pechengamr.gov-murman.ru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</w:p>
    <w:p>
      <w:pPr>
        <w:pStyle w:val="632"/>
        <w:ind w:left="0" w:firstLine="709"/>
        <w:jc w:val="both"/>
        <w:widowControl w:val="off"/>
        <w:rPr>
          <w:sz w:val="24"/>
        </w:rPr>
      </w:pP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 </w:t>
      </w:r>
      <w:r>
        <w:rPr>
          <w:sz w:val="24"/>
        </w:rPr>
        <w:t xml:space="preserve">Контроль за</w:t>
      </w:r>
      <w:r>
        <w:rPr>
          <w:sz w:val="24"/>
        </w:rPr>
        <w:t xml:space="preserve"> исполнением настоящего постановления </w:t>
      </w:r>
      <w:r>
        <w:rPr>
          <w:sz w:val="24"/>
        </w:rPr>
        <w:t xml:space="preserve">оставляю за собой.</w:t>
      </w:r>
      <w:r>
        <w:rPr>
          <w:sz w:val="24"/>
        </w:rPr>
      </w:r>
    </w:p>
    <w:p>
      <w:pPr>
        <w:jc w:val="both"/>
        <w:widowControl w:val="off"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</w:t>
      </w:r>
      <w:r>
        <w:rPr>
          <w:sz w:val="24"/>
          <w:szCs w:val="24"/>
        </w:rPr>
        <w:tab/>
        <w:t xml:space="preserve">                                          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А.В. Кузнецов</w:t>
      </w:r>
      <w:r>
        <w:rPr>
          <w:sz w:val="24"/>
          <w:szCs w:val="24"/>
        </w:rPr>
      </w:r>
    </w:p>
    <w:p>
      <w:pPr>
        <w:widowControl w:val="off"/>
        <w:rPr>
          <w:b/>
        </w:rPr>
      </w:pPr>
      <w:r>
        <w:rPr>
          <w:b/>
        </w:rPr>
      </w:r>
      <w:r>
        <w:rPr>
          <w:b/>
        </w:rPr>
      </w:r>
    </w:p>
    <w:p>
      <w:pPr>
        <w:widowControl w:val="off"/>
        <w:rPr>
          <w:b/>
        </w:rPr>
      </w:pPr>
      <w:r>
        <w:rPr>
          <w:b/>
        </w:rPr>
      </w:r>
      <w:r>
        <w:rPr>
          <w:b/>
        </w:rPr>
      </w:r>
    </w:p>
    <w:p>
      <w:pPr>
        <w:widowControl w:val="off"/>
        <w:rPr>
          <w:b/>
        </w:rPr>
      </w:pPr>
      <w:r>
        <w:rPr>
          <w:b/>
        </w:rPr>
      </w:r>
      <w:r>
        <w:rPr>
          <w:b/>
        </w:rPr>
      </w:r>
    </w:p>
    <w:p>
      <w:pPr>
        <w:widowControl w:val="off"/>
        <w:rPr>
          <w:b/>
        </w:rPr>
      </w:pPr>
      <w:r>
        <w:rPr>
          <w:b/>
        </w:rPr>
      </w:r>
      <w:r>
        <w:rPr>
          <w:b/>
        </w:rPr>
      </w:r>
    </w:p>
    <w:p>
      <w:pPr>
        <w:widowControl w:val="off"/>
        <w:rPr>
          <w:b/>
        </w:rPr>
      </w:pPr>
      <w:r>
        <w:rPr>
          <w:b/>
        </w:rPr>
      </w:r>
      <w:r>
        <w:rPr>
          <w:b/>
        </w:rPr>
      </w:r>
    </w:p>
    <w:p>
      <w:pPr>
        <w:widowControl w:val="off"/>
        <w:rPr>
          <w:b/>
        </w:rPr>
      </w:pPr>
      <w:r>
        <w:rPr>
          <w:b/>
        </w:rPr>
      </w:r>
      <w:r>
        <w:rPr>
          <w:b/>
        </w:rPr>
      </w:r>
    </w:p>
    <w:p>
      <w:pPr>
        <w:widowControl w:val="off"/>
        <w:rPr>
          <w:b/>
        </w:rPr>
      </w:pPr>
      <w:r>
        <w:rPr>
          <w:b/>
        </w:rPr>
      </w:r>
      <w:r>
        <w:rPr>
          <w:b/>
        </w:rPr>
      </w:r>
    </w:p>
    <w:p>
      <w:pPr>
        <w:widowControl w:val="off"/>
        <w:rPr>
          <w:b/>
        </w:rPr>
      </w:pPr>
      <w:r>
        <w:rPr>
          <w:b/>
        </w:rPr>
      </w:r>
      <w:r>
        <w:rPr>
          <w:b/>
        </w:rPr>
      </w:r>
    </w:p>
    <w:p>
      <w:pPr>
        <w:widowControl w:val="off"/>
        <w:rPr>
          <w:b/>
        </w:rPr>
      </w:pPr>
      <w:r>
        <w:rPr>
          <w:b/>
        </w:rPr>
      </w:r>
      <w:r>
        <w:rPr>
          <w:b/>
        </w:rPr>
      </w:r>
    </w:p>
    <w:p>
      <w:pPr>
        <w:widowControl w:val="off"/>
        <w:rPr>
          <w:b/>
        </w:rPr>
      </w:pPr>
      <w:r>
        <w:rPr>
          <w:b/>
        </w:rPr>
      </w:r>
      <w:r>
        <w:rPr>
          <w:b/>
        </w:rPr>
      </w:r>
    </w:p>
    <w:p>
      <w:pPr>
        <w:widowControl w:val="off"/>
        <w:rPr>
          <w:b/>
        </w:rPr>
      </w:pPr>
      <w:r>
        <w:rPr>
          <w:b/>
        </w:rPr>
      </w:r>
      <w:r>
        <w:rPr>
          <w:b/>
        </w:rPr>
      </w:r>
    </w:p>
    <w:p>
      <w:pPr>
        <w:widowControl w:val="off"/>
        <w:rPr>
          <w:b/>
        </w:rPr>
      </w:pPr>
      <w:r>
        <w:rPr>
          <w:b/>
        </w:rPr>
      </w:r>
      <w:r>
        <w:rPr>
          <w:b/>
        </w:rPr>
      </w:r>
    </w:p>
    <w:p>
      <w:pPr>
        <w:widowControl w:val="off"/>
        <w:rPr>
          <w:b/>
        </w:rPr>
      </w:pPr>
      <w:r>
        <w:rPr>
          <w:b/>
        </w:rPr>
      </w:r>
      <w:r>
        <w:rPr>
          <w:b/>
        </w:rPr>
      </w:r>
    </w:p>
    <w:p>
      <w:pPr>
        <w:widowControl w:val="off"/>
        <w:rPr>
          <w:b/>
        </w:rPr>
      </w:pPr>
      <w:r>
        <w:rPr>
          <w:b/>
        </w:rPr>
      </w:r>
      <w:r>
        <w:rPr>
          <w:b/>
        </w:rPr>
      </w:r>
    </w:p>
    <w:p>
      <w:pPr>
        <w:jc w:val="both"/>
        <w:widowControl w:val="off"/>
      </w:pPr>
      <w:r>
        <w:t xml:space="preserve">Лаврущик</w:t>
      </w:r>
      <w:r>
        <w:t xml:space="preserve"> С.С., 50579</w:t>
      </w:r>
      <w:r/>
    </w:p>
    <w:p>
      <w:pPr>
        <w:ind w:left="552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Приложение </w:t>
      </w:r>
      <w:r>
        <w:rPr>
          <w:color w:val="auto"/>
          <w:sz w:val="24"/>
          <w:szCs w:val="24"/>
        </w:rPr>
      </w:r>
    </w:p>
    <w:p>
      <w:pPr>
        <w:ind w:left="552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к постановлению </w:t>
      </w:r>
      <w:r>
        <w:rPr>
          <w:color w:val="auto"/>
          <w:sz w:val="24"/>
          <w:szCs w:val="24"/>
        </w:rPr>
        <w:t xml:space="preserve">администрации </w:t>
      </w:r>
      <w:r>
        <w:rPr>
          <w:color w:val="auto"/>
          <w:sz w:val="24"/>
          <w:szCs w:val="24"/>
        </w:rPr>
        <w:t xml:space="preserve">Печенгско</w:t>
      </w:r>
      <w:r>
        <w:rPr>
          <w:color w:val="auto"/>
          <w:sz w:val="24"/>
          <w:szCs w:val="24"/>
        </w:rPr>
        <w:t xml:space="preserve">го</w:t>
      </w:r>
      <w:r>
        <w:rPr>
          <w:color w:val="auto"/>
          <w:sz w:val="24"/>
          <w:szCs w:val="24"/>
        </w:rPr>
        <w:t xml:space="preserve"> муниципально</w:t>
      </w:r>
      <w:r>
        <w:rPr>
          <w:color w:val="auto"/>
          <w:sz w:val="24"/>
          <w:szCs w:val="24"/>
        </w:rPr>
        <w:t xml:space="preserve">го</w:t>
      </w:r>
      <w:r>
        <w:rPr>
          <w:color w:val="auto"/>
          <w:sz w:val="24"/>
          <w:szCs w:val="24"/>
        </w:rPr>
        <w:t xml:space="preserve"> округ</w:t>
      </w:r>
      <w:r>
        <w:rPr>
          <w:color w:val="auto"/>
          <w:sz w:val="24"/>
          <w:szCs w:val="24"/>
        </w:rPr>
        <w:t xml:space="preserve">а</w:t>
      </w:r>
      <w:r>
        <w:rPr>
          <w:color w:val="auto"/>
          <w:sz w:val="24"/>
          <w:szCs w:val="24"/>
        </w:rPr>
      </w:r>
    </w:p>
    <w:p>
      <w:pPr>
        <w:ind w:left="552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от </w:t>
      </w:r>
      <w:r>
        <w:rPr>
          <w:color w:val="auto"/>
          <w:sz w:val="24"/>
          <w:szCs w:val="24"/>
        </w:rPr>
        <w:t xml:space="preserve">19.03.2024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№ </w:t>
      </w:r>
      <w:r>
        <w:rPr>
          <w:color w:val="auto"/>
          <w:sz w:val="24"/>
          <w:szCs w:val="24"/>
        </w:rPr>
        <w:t xml:space="preserve">404</w:t>
      </w:r>
      <w:r>
        <w:rPr>
          <w:color w:val="auto"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ПОРЯДОК</w:t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списани</w:t>
      </w:r>
      <w:r>
        <w:rPr>
          <w:sz w:val="24"/>
          <w:szCs w:val="24"/>
        </w:rPr>
        <w:t xml:space="preserve">я</w:t>
      </w:r>
      <w:r>
        <w:rPr>
          <w:sz w:val="24"/>
          <w:szCs w:val="24"/>
        </w:rPr>
        <w:t xml:space="preserve"> муниципального имущества Печенгского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муниципального округа </w:t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 xml:space="preserve">По</w:t>
      </w:r>
      <w:r>
        <w:rPr>
          <w:color w:val="auto"/>
          <w:sz w:val="24"/>
          <w:szCs w:val="24"/>
        </w:rPr>
        <w:t xml:space="preserve">рядок</w:t>
      </w:r>
      <w:r>
        <w:rPr>
          <w:color w:val="auto"/>
          <w:sz w:val="24"/>
          <w:szCs w:val="24"/>
        </w:rPr>
        <w:t xml:space="preserve"> </w:t>
      </w:r>
      <w:r>
        <w:rPr>
          <w:sz w:val="24"/>
          <w:szCs w:val="24"/>
        </w:rPr>
        <w:t xml:space="preserve">списани</w:t>
      </w:r>
      <w:r>
        <w:rPr>
          <w:sz w:val="24"/>
          <w:szCs w:val="24"/>
        </w:rPr>
        <w:t xml:space="preserve">я</w:t>
      </w:r>
      <w:r>
        <w:rPr>
          <w:sz w:val="24"/>
          <w:szCs w:val="24"/>
        </w:rPr>
        <w:t xml:space="preserve"> муниципального имущества Печенгского муниципального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округа</w:t>
      </w:r>
      <w:r>
        <w:rPr>
          <w:sz w:val="24"/>
          <w:szCs w:val="24"/>
        </w:rPr>
        <w:t xml:space="preserve"> (далее - Порядок)</w:t>
      </w:r>
      <w:r>
        <w:rPr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разработан в соответствии с Гражданским кодексом Российской Федерации, </w:t>
      </w:r>
      <w:r>
        <w:rPr>
          <w:color w:val="auto"/>
          <w:sz w:val="24"/>
          <w:szCs w:val="24"/>
        </w:rPr>
        <w:t xml:space="preserve">Федеральным законом от 14.11.2002 </w:t>
      </w:r>
      <w:r>
        <w:rPr>
          <w:color w:val="auto"/>
          <w:sz w:val="24"/>
          <w:szCs w:val="24"/>
        </w:rPr>
        <w:t xml:space="preserve">№ 161-ФЗ </w:t>
      </w:r>
      <w:r>
        <w:rPr>
          <w:color w:val="auto"/>
          <w:sz w:val="24"/>
          <w:szCs w:val="24"/>
        </w:rPr>
        <w:t xml:space="preserve">«О государственных и муниципальных унитарных предприятиях», </w:t>
      </w:r>
      <w:r>
        <w:rPr>
          <w:color w:val="auto"/>
          <w:sz w:val="24"/>
          <w:szCs w:val="24"/>
        </w:rPr>
        <w:t xml:space="preserve">Приказами</w:t>
      </w:r>
      <w:r>
        <w:rPr>
          <w:color w:val="auto"/>
          <w:sz w:val="24"/>
          <w:szCs w:val="24"/>
        </w:rPr>
        <w:t xml:space="preserve"> Министерства финансов </w:t>
      </w:r>
      <w:r>
        <w:rPr>
          <w:color w:val="auto"/>
          <w:sz w:val="24"/>
          <w:szCs w:val="24"/>
        </w:rPr>
        <w:t xml:space="preserve">Российской Федерации от </w:t>
      </w:r>
      <w:r>
        <w:rPr>
          <w:color w:val="auto"/>
          <w:sz w:val="24"/>
          <w:szCs w:val="24"/>
        </w:rPr>
        <w:t xml:space="preserve">01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  <w:t xml:space="preserve">12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  <w:t xml:space="preserve">20</w:t>
      </w:r>
      <w:r>
        <w:rPr>
          <w:color w:val="auto"/>
          <w:sz w:val="24"/>
          <w:szCs w:val="24"/>
        </w:rPr>
        <w:t xml:space="preserve">10</w:t>
      </w:r>
      <w:r>
        <w:rPr>
          <w:color w:val="auto"/>
          <w:sz w:val="24"/>
          <w:szCs w:val="24"/>
        </w:rPr>
        <w:t xml:space="preserve"> №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157н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«</w:t>
      </w:r>
      <w:r>
        <w:rPr>
          <w:spacing w:val="-4"/>
          <w:sz w:val="24"/>
          <w:szCs w:val="24"/>
        </w:rPr>
        <w:t xml:space="preserve">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</w:t>
      </w:r>
      <w:r>
        <w:rPr>
          <w:spacing w:val="-4"/>
          <w:sz w:val="24"/>
          <w:szCs w:val="24"/>
        </w:rPr>
        <w:t xml:space="preserve">, </w:t>
      </w:r>
      <w:r>
        <w:rPr>
          <w:spacing w:val="-4"/>
          <w:sz w:val="24"/>
          <w:szCs w:val="24"/>
        </w:rPr>
        <w:t xml:space="preserve">государственных (муниципальных) учреждений и Инструкции по его применению</w:t>
      </w:r>
      <w:r>
        <w:rPr>
          <w:color w:val="auto"/>
          <w:sz w:val="24"/>
          <w:szCs w:val="24"/>
        </w:rPr>
        <w:t xml:space="preserve">»</w:t>
      </w:r>
      <w:r>
        <w:rPr>
          <w:color w:val="auto"/>
          <w:sz w:val="24"/>
          <w:szCs w:val="24"/>
        </w:rPr>
        <w:t xml:space="preserve">,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от 06.12.2</w:t>
      </w:r>
      <w:r>
        <w:rPr>
          <w:color w:val="auto"/>
          <w:sz w:val="24"/>
          <w:szCs w:val="24"/>
        </w:rPr>
        <w:t xml:space="preserve">010 № 162н «Об утверждении Плана счетов бюджетного учета и Инструкции по его применению»,</w:t>
      </w:r>
      <w:r>
        <w:t xml:space="preserve"> </w:t>
      </w:r>
      <w:r>
        <w:rPr>
          <w:sz w:val="24"/>
          <w:szCs w:val="24"/>
        </w:rPr>
        <w:t xml:space="preserve">от 31.12.2016 №</w:t>
      </w:r>
      <w:r>
        <w:rPr>
          <w:sz w:val="24"/>
          <w:szCs w:val="24"/>
        </w:rPr>
        <w:t xml:space="preserve"> 257н «Об утверждении федерального стандарта бухгалтерского учета для организаций государственного сектора «Основные средства»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Порядком управления и распоряжения имуществом, находящимся в собственности Печенгского муниципального округа, утвержденного решением Совета депутатов Печенгского муниципального округа от 05.02.2021 № 89</w:t>
      </w:r>
      <w:r>
        <w:rPr>
          <w:bCs/>
          <w:sz w:val="24"/>
          <w:szCs w:val="24"/>
        </w:rPr>
        <w:t xml:space="preserve">.</w:t>
      </w:r>
      <w:r>
        <w:rPr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</w:t>
      </w:r>
      <w:r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 xml:space="preserve">Общие положения</w:t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Настоящ</w:t>
      </w:r>
      <w:r>
        <w:rPr>
          <w:sz w:val="24"/>
          <w:szCs w:val="24"/>
        </w:rPr>
        <w:t xml:space="preserve">ий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Порядок</w:t>
      </w:r>
      <w:r>
        <w:rPr>
          <w:sz w:val="24"/>
          <w:szCs w:val="24"/>
        </w:rPr>
        <w:t xml:space="preserve"> определяет единый порядок списания муниципального движимого и недвижимого (кроме земельных участков) имущества,</w:t>
      </w:r>
      <w:r>
        <w:rPr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внесенного в реестр (перечень) </w:t>
      </w:r>
      <w:r>
        <w:rPr>
          <w:color w:val="auto"/>
          <w:sz w:val="24"/>
          <w:szCs w:val="24"/>
        </w:rPr>
        <w:t xml:space="preserve">имущества, находящегося в </w:t>
      </w:r>
      <w:r>
        <w:rPr>
          <w:color w:val="auto"/>
          <w:sz w:val="24"/>
          <w:szCs w:val="24"/>
        </w:rPr>
        <w:t xml:space="preserve">собственност</w:t>
      </w:r>
      <w:r>
        <w:rPr>
          <w:color w:val="auto"/>
          <w:sz w:val="24"/>
          <w:szCs w:val="24"/>
        </w:rPr>
        <w:t xml:space="preserve">и</w:t>
      </w:r>
      <w:r>
        <w:rPr>
          <w:color w:val="auto"/>
          <w:sz w:val="24"/>
          <w:szCs w:val="24"/>
        </w:rPr>
        <w:t xml:space="preserve"> Печенгского муниципального округа Мурманской области (далее - муниципальное имущество), закрепленного на праве оперативного управления за муниципальными </w:t>
      </w:r>
      <w:r>
        <w:rPr>
          <w:color w:val="auto"/>
          <w:sz w:val="24"/>
          <w:szCs w:val="24"/>
        </w:rPr>
        <w:t xml:space="preserve">бюджетными, казенными</w:t>
      </w:r>
      <w:r>
        <w:rPr>
          <w:color w:val="auto"/>
          <w:sz w:val="24"/>
          <w:szCs w:val="24"/>
        </w:rPr>
        <w:t xml:space="preserve">, автономными</w:t>
      </w:r>
      <w:r>
        <w:rPr>
          <w:color w:val="auto"/>
          <w:sz w:val="24"/>
          <w:szCs w:val="24"/>
        </w:rPr>
        <w:t xml:space="preserve"> </w:t>
      </w:r>
      <w:r>
        <w:rPr>
          <w:sz w:val="24"/>
          <w:szCs w:val="24"/>
        </w:rPr>
        <w:t xml:space="preserve">учреждениями и на праве хозяйственного ведения за муниципальными унитарными предприятиями (далее - муниципальные предприятия</w:t>
      </w:r>
      <w:r>
        <w:rPr>
          <w:sz w:val="24"/>
          <w:szCs w:val="24"/>
        </w:rPr>
        <w:t xml:space="preserve"> (учреждения</w:t>
      </w:r>
      <w:r>
        <w:rPr>
          <w:sz w:val="24"/>
          <w:szCs w:val="24"/>
        </w:rPr>
        <w:t xml:space="preserve">), а также имущества казны Печенгского муниципального</w:t>
      </w:r>
      <w:r>
        <w:rPr>
          <w:sz w:val="24"/>
          <w:szCs w:val="24"/>
        </w:rPr>
        <w:t xml:space="preserve"> округа (далее - муниципальной казны).</w:t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настоящем </w:t>
      </w:r>
      <w:r>
        <w:rPr>
          <w:sz w:val="24"/>
          <w:szCs w:val="24"/>
        </w:rPr>
        <w:t xml:space="preserve">Порядке</w:t>
      </w:r>
      <w:r>
        <w:rPr>
          <w:sz w:val="24"/>
          <w:szCs w:val="24"/>
        </w:rPr>
        <w:t xml:space="preserve"> под списанием имущества понимается комплекс действий, связанных с признанием имущества непригодным для дальнейшего использования по целевому назначению и (или) распоряжению </w:t>
      </w:r>
      <w:r>
        <w:rPr>
          <w:sz w:val="24"/>
          <w:szCs w:val="24"/>
        </w:rPr>
        <w:t xml:space="preserve">вследствие полной или частичной утраты потребительских свойств, в том числе морального и физического износа, либо выбывшим из владения, пользования и распоряжения вследствие гибели или уничтожения, а также с невозможностью установления его местонахождения.</w:t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3.</w:t>
      </w:r>
      <w:r>
        <w:rPr>
          <w:sz w:val="24"/>
          <w:szCs w:val="24"/>
        </w:rPr>
        <w:t xml:space="preserve"> Имущество, приобретенное муниципальными предприятиями </w:t>
      </w:r>
      <w:r>
        <w:rPr>
          <w:sz w:val="24"/>
          <w:szCs w:val="24"/>
        </w:rPr>
        <w:t xml:space="preserve">(</w:t>
      </w:r>
      <w:r>
        <w:rPr>
          <w:sz w:val="24"/>
          <w:szCs w:val="24"/>
        </w:rPr>
        <w:t xml:space="preserve">учреждениями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на доходы, полученные от разрешенной деятельности, подлежит списанию аналогично имуществу, закрепленному за муниципальными предприятиями на праве хозяйственного ведения, муниципальными учреждениями на праве оперативного управления.</w:t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1.4. Муниципальные </w:t>
      </w:r>
      <w:r>
        <w:rPr>
          <w:sz w:val="24"/>
          <w:szCs w:val="24"/>
        </w:rPr>
        <w:t xml:space="preserve">казенные </w:t>
      </w:r>
      <w:r>
        <w:rPr>
          <w:sz w:val="24"/>
          <w:szCs w:val="24"/>
        </w:rPr>
        <w:t xml:space="preserve">предприятия (учреждения) не</w:t>
      </w:r>
      <w:r>
        <w:rPr>
          <w:sz w:val="24"/>
          <w:szCs w:val="24"/>
        </w:rPr>
        <w:t xml:space="preserve"> вправе списывать без согласования с Комитетом по управлению имуществом </w:t>
      </w:r>
      <w:r>
        <w:rPr>
          <w:sz w:val="24"/>
          <w:szCs w:val="24"/>
        </w:rPr>
        <w:t xml:space="preserve">администрации Печенгского муниципального округа </w:t>
      </w:r>
      <w:r>
        <w:rPr>
          <w:sz w:val="24"/>
          <w:szCs w:val="24"/>
        </w:rPr>
        <w:t xml:space="preserve">(далее - Комитет) муниципальное имущество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недвижимое имущество;</w:t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1985" w:leader="none"/>
          <w:tab w:val="left" w:pos="212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автотранспортные средства, сложную промышленную технику;</w:t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сложную бытовую, электронно-вычислительную, множительно-копировальную технику и медицинское оборудование;</w:t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библиотечный фонд;</w:t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прочее имущество, стоимостью свыше 10 000 руб. </w:t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Муниципальные унитарные предприятия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недвижимое имущество.  </w:t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Решение</w:t>
      </w:r>
      <w:r>
        <w:rPr>
          <w:sz w:val="24"/>
          <w:szCs w:val="24"/>
        </w:rPr>
        <w:t xml:space="preserve"> о</w:t>
      </w:r>
      <w:r>
        <w:rPr>
          <w:sz w:val="24"/>
          <w:szCs w:val="24"/>
        </w:rPr>
        <w:t xml:space="preserve"> списани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имущес</w:t>
      </w:r>
      <w:r>
        <w:rPr>
          <w:sz w:val="24"/>
          <w:szCs w:val="24"/>
        </w:rPr>
        <w:t xml:space="preserve">т</w:t>
      </w:r>
      <w:r>
        <w:rPr>
          <w:sz w:val="24"/>
          <w:szCs w:val="24"/>
        </w:rPr>
        <w:t xml:space="preserve">ва принимает комиссия по </w:t>
      </w:r>
      <w:r>
        <w:rPr>
          <w:sz w:val="24"/>
          <w:szCs w:val="24"/>
        </w:rPr>
        <w:t xml:space="preserve">по</w:t>
      </w:r>
      <w:r>
        <w:rPr>
          <w:sz w:val="24"/>
          <w:szCs w:val="24"/>
        </w:rPr>
        <w:t xml:space="preserve">ступлению и выбытию </w:t>
      </w:r>
      <w:r>
        <w:rPr>
          <w:sz w:val="24"/>
          <w:szCs w:val="24"/>
        </w:rPr>
        <w:t xml:space="preserve">нефинансовых </w:t>
      </w:r>
      <w:r>
        <w:rPr>
          <w:sz w:val="24"/>
          <w:szCs w:val="24"/>
        </w:rPr>
        <w:t xml:space="preserve">активов созданная в каждом </w:t>
      </w:r>
      <w:r>
        <w:rPr>
          <w:sz w:val="24"/>
          <w:szCs w:val="24"/>
        </w:rPr>
        <w:t xml:space="preserve">предприятии </w:t>
      </w:r>
      <w:r>
        <w:rPr>
          <w:sz w:val="24"/>
          <w:szCs w:val="24"/>
        </w:rPr>
        <w:t xml:space="preserve">(учреждении).</w:t>
      </w:r>
      <w:r>
        <w:rPr>
          <w:sz w:val="24"/>
          <w:szCs w:val="24"/>
        </w:rPr>
      </w:r>
    </w:p>
    <w:p>
      <w:pPr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2. Порядок списания муниципального имущества, закрепленного на праве хозяйственного ведения или оперативного управления за муниципальными предприятиями </w:t>
      </w:r>
      <w:r>
        <w:rPr>
          <w:b/>
          <w:sz w:val="24"/>
          <w:szCs w:val="24"/>
        </w:rPr>
        <w:t xml:space="preserve">(</w:t>
      </w:r>
      <w:r>
        <w:rPr>
          <w:b/>
          <w:sz w:val="24"/>
          <w:szCs w:val="24"/>
        </w:rPr>
        <w:t xml:space="preserve">учреждениями</w:t>
      </w:r>
      <w:r>
        <w:rPr>
          <w:b/>
          <w:sz w:val="24"/>
          <w:szCs w:val="24"/>
        </w:rPr>
        <w:t xml:space="preserve">)</w:t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 xml:space="preserve">1. </w:t>
      </w:r>
      <w:r>
        <w:rPr>
          <w:sz w:val="24"/>
          <w:szCs w:val="24"/>
        </w:rPr>
        <w:t xml:space="preserve">Муниципальное имущество</w:t>
      </w:r>
      <w:r>
        <w:rPr>
          <w:sz w:val="24"/>
          <w:szCs w:val="24"/>
        </w:rPr>
        <w:t xml:space="preserve"> подлежит списанию (выбытию) с баланса в результате:</w:t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прекращения использования вследствие морального или физического износа;</w:t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ликвидации при аварии, стихийном бедствии и иной чрезвычайной ситуации;</w:t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выявления недостачи или порчи активов при их инвентаризации;</w:t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частичной ликвидации при выполнении работ по реконструкции;</w:t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хищения или уничтожения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</w:p>
    <w:p>
      <w:pPr>
        <w:ind w:firstLine="708"/>
        <w:jc w:val="both"/>
        <w:tabs>
          <w:tab w:val="left" w:pos="851" w:leader="none"/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сноса зданий и сооружений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 xml:space="preserve"> Списание </w:t>
      </w:r>
      <w:r>
        <w:rPr>
          <w:sz w:val="24"/>
          <w:szCs w:val="24"/>
        </w:rPr>
        <w:t xml:space="preserve">муниципального имущества</w:t>
      </w:r>
      <w:r>
        <w:rPr>
          <w:sz w:val="24"/>
          <w:szCs w:val="24"/>
        </w:rPr>
        <w:t xml:space="preserve"> производится только в тех случаях, когда их восстановление невозможно ил</w:t>
      </w:r>
      <w:r>
        <w:rPr>
          <w:sz w:val="24"/>
          <w:szCs w:val="24"/>
        </w:rPr>
        <w:t xml:space="preserve">и экономически нецелесообразно.</w:t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Для </w:t>
      </w:r>
      <w:r>
        <w:rPr>
          <w:sz w:val="24"/>
          <w:szCs w:val="24"/>
        </w:rPr>
        <w:t xml:space="preserve">списания</w:t>
      </w:r>
      <w:r>
        <w:rPr>
          <w:sz w:val="24"/>
          <w:szCs w:val="24"/>
        </w:rPr>
        <w:t xml:space="preserve"> муниципального имущества</w:t>
      </w:r>
      <w:r>
        <w:rPr>
          <w:sz w:val="24"/>
          <w:szCs w:val="24"/>
        </w:rPr>
        <w:t xml:space="preserve"> в случаях, указанных в пункт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 2.1 настоящего </w:t>
      </w:r>
      <w:r>
        <w:rPr>
          <w:sz w:val="24"/>
          <w:szCs w:val="24"/>
        </w:rPr>
        <w:t xml:space="preserve">Порядка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предприятия </w:t>
      </w:r>
      <w:r>
        <w:rPr>
          <w:sz w:val="24"/>
          <w:szCs w:val="24"/>
        </w:rPr>
        <w:t xml:space="preserve">(</w:t>
      </w:r>
      <w:r>
        <w:rPr>
          <w:sz w:val="24"/>
          <w:szCs w:val="24"/>
        </w:rPr>
        <w:t xml:space="preserve">учреждения</w:t>
      </w:r>
      <w:r>
        <w:rPr>
          <w:sz w:val="24"/>
          <w:szCs w:val="24"/>
        </w:rPr>
        <w:t xml:space="preserve">) направляют</w:t>
      </w:r>
      <w:r>
        <w:rPr>
          <w:sz w:val="24"/>
          <w:szCs w:val="24"/>
        </w:rPr>
        <w:t xml:space="preserve"> в </w:t>
      </w:r>
      <w:r>
        <w:rPr>
          <w:sz w:val="24"/>
          <w:szCs w:val="24"/>
        </w:rPr>
        <w:t xml:space="preserve">Комитет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следующие документы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ходатайство на </w:t>
      </w:r>
      <w:r>
        <w:rPr>
          <w:sz w:val="24"/>
          <w:szCs w:val="24"/>
        </w:rPr>
        <w:t xml:space="preserve">официальном</w:t>
      </w:r>
      <w:r>
        <w:rPr>
          <w:sz w:val="24"/>
          <w:szCs w:val="24"/>
        </w:rPr>
        <w:t xml:space="preserve"> бланке с указанием всех реквизитов балансо</w:t>
      </w:r>
      <w:r>
        <w:rPr>
          <w:sz w:val="24"/>
          <w:szCs w:val="24"/>
        </w:rPr>
        <w:t xml:space="preserve">держателя (пользователя), оформленное на имя Главы Печенгского муниципального округа;</w:t>
      </w:r>
      <w:r>
        <w:rPr>
          <w:sz w:val="24"/>
          <w:szCs w:val="24"/>
        </w:rPr>
      </w:r>
    </w:p>
    <w:p>
      <w:pPr>
        <w:ind w:firstLine="708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копию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акт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о сп</w:t>
      </w:r>
      <w:r>
        <w:rPr>
          <w:sz w:val="24"/>
          <w:szCs w:val="24"/>
        </w:rPr>
        <w:t xml:space="preserve">исании объекта основных средств</w:t>
      </w:r>
      <w:r>
        <w:rPr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в </w:t>
      </w:r>
      <w:r>
        <w:rPr>
          <w:color w:val="auto"/>
          <w:sz w:val="24"/>
          <w:szCs w:val="24"/>
        </w:rPr>
        <w:t xml:space="preserve">одном</w:t>
      </w:r>
      <w:r>
        <w:rPr>
          <w:color w:val="auto"/>
          <w:sz w:val="24"/>
          <w:szCs w:val="24"/>
        </w:rPr>
        <w:t xml:space="preserve"> экземпляр</w:t>
      </w:r>
      <w:r>
        <w:rPr>
          <w:color w:val="auto"/>
          <w:sz w:val="24"/>
          <w:szCs w:val="24"/>
        </w:rPr>
        <w:t xml:space="preserve">е</w:t>
      </w:r>
      <w:r>
        <w:rPr>
          <w:color w:val="auto"/>
          <w:sz w:val="24"/>
          <w:szCs w:val="24"/>
        </w:rPr>
        <w:t xml:space="preserve"> </w:t>
      </w:r>
      <w:r>
        <w:rPr>
          <w:sz w:val="24"/>
          <w:szCs w:val="24"/>
        </w:rPr>
        <w:t xml:space="preserve">на каждую единицу основных средств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или акт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о списании групп объектов основных средств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или акт о списании исключенной из библиотечных учреждений литературы с приложением списков исключенной литературы в </w:t>
      </w:r>
      <w:r>
        <w:rPr>
          <w:sz w:val="24"/>
          <w:szCs w:val="24"/>
        </w:rPr>
        <w:t xml:space="preserve">одном</w:t>
      </w:r>
      <w:r>
        <w:rPr>
          <w:sz w:val="24"/>
          <w:szCs w:val="24"/>
        </w:rPr>
        <w:t xml:space="preserve"> экземпляр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, оформленного</w:t>
      </w:r>
      <w:r>
        <w:rPr>
          <w:sz w:val="24"/>
          <w:szCs w:val="24"/>
        </w:rPr>
        <w:t xml:space="preserve"> в установленном порядке;</w:t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перечень муниципального имущества, предлагаемого к списанию, в котором указываются полное наименование муниципального имущества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согласно приложениям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2 к настоящему </w:t>
      </w:r>
      <w:r>
        <w:rPr>
          <w:sz w:val="24"/>
          <w:szCs w:val="24"/>
        </w:rPr>
        <w:t xml:space="preserve">Порядку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 Документы, необходимые для списани</w:t>
      </w:r>
      <w:r>
        <w:rPr>
          <w:sz w:val="24"/>
          <w:szCs w:val="24"/>
        </w:rPr>
        <w:t xml:space="preserve">я</w:t>
      </w:r>
      <w:r>
        <w:rPr>
          <w:sz w:val="24"/>
          <w:szCs w:val="24"/>
        </w:rPr>
        <w:t xml:space="preserve"> автотранспортных средств:</w:t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ходатайство на </w:t>
      </w:r>
      <w:r>
        <w:rPr>
          <w:sz w:val="24"/>
          <w:szCs w:val="24"/>
        </w:rPr>
        <w:t xml:space="preserve">официальном</w:t>
      </w:r>
      <w:r>
        <w:rPr>
          <w:sz w:val="24"/>
          <w:szCs w:val="24"/>
        </w:rPr>
        <w:t xml:space="preserve"> бланке с указанием всех реквизитов </w:t>
      </w:r>
      <w:r>
        <w:rPr>
          <w:sz w:val="24"/>
          <w:szCs w:val="24"/>
        </w:rPr>
        <w:t xml:space="preserve">балансодержателя (пользователя), оформленное на имя Главы Печенгского муниципального округа;</w:t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копия </w:t>
      </w:r>
      <w:r>
        <w:rPr>
          <w:sz w:val="24"/>
          <w:szCs w:val="24"/>
        </w:rPr>
        <w:t xml:space="preserve">акт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о списании автотранспортны</w:t>
      </w:r>
      <w:r>
        <w:rPr>
          <w:sz w:val="24"/>
          <w:szCs w:val="24"/>
        </w:rPr>
        <w:t xml:space="preserve">х средств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 каждую единицу основных средств;</w:t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копия </w:t>
      </w:r>
      <w:r>
        <w:rPr>
          <w:sz w:val="24"/>
          <w:szCs w:val="24"/>
        </w:rPr>
        <w:t xml:space="preserve">заключени</w:t>
      </w:r>
      <w:r>
        <w:rPr>
          <w:sz w:val="24"/>
          <w:szCs w:val="24"/>
        </w:rPr>
        <w:t xml:space="preserve">я</w:t>
      </w:r>
      <w:r>
        <w:rPr>
          <w:sz w:val="24"/>
          <w:szCs w:val="24"/>
        </w:rPr>
        <w:t xml:space="preserve"> о техническом состоянии транспортного средства, составленное организацией, имеющей лицензию или сертификат, ли</w:t>
      </w:r>
      <w:r>
        <w:rPr>
          <w:sz w:val="24"/>
          <w:szCs w:val="24"/>
        </w:rPr>
        <w:t xml:space="preserve">бо иной аккредитованной в установленном порядке для данного вида деятельности (услуг) организацией, или независимым оценщиком, имеющим соответствующий сертификат на составление отчета по определению технического состояния и возможности списания автомобиля;</w:t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копия акта (протокола) после доро</w:t>
      </w:r>
      <w:r>
        <w:rPr>
          <w:sz w:val="24"/>
          <w:szCs w:val="24"/>
        </w:rPr>
        <w:t xml:space="preserve">жно-транспортного происшествия </w:t>
      </w:r>
      <w:r>
        <w:rPr>
          <w:sz w:val="24"/>
          <w:szCs w:val="24"/>
        </w:rPr>
        <w:t xml:space="preserve">- копии документов, выданных органами, осущест</w:t>
      </w:r>
      <w:r>
        <w:rPr>
          <w:sz w:val="24"/>
          <w:szCs w:val="24"/>
        </w:rPr>
        <w:t xml:space="preserve">влявшими расследование причин дорожн</w:t>
      </w:r>
      <w:r>
        <w:rPr>
          <w:sz w:val="24"/>
          <w:szCs w:val="24"/>
        </w:rPr>
        <w:t xml:space="preserve">о-</w:t>
      </w:r>
      <w:r>
        <w:rPr>
          <w:sz w:val="24"/>
          <w:szCs w:val="24"/>
        </w:rPr>
        <w:t xml:space="preserve"> транспортного происшествия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перечень </w:t>
      </w:r>
      <w:r>
        <w:rPr>
          <w:sz w:val="24"/>
          <w:szCs w:val="24"/>
        </w:rPr>
        <w:t xml:space="preserve">автотранспортных средств, предлагаемых</w:t>
      </w:r>
      <w:r>
        <w:rPr>
          <w:sz w:val="24"/>
          <w:szCs w:val="24"/>
        </w:rPr>
        <w:t xml:space="preserve"> к списанию, в котором указываются </w:t>
      </w:r>
      <w:r>
        <w:rPr>
          <w:sz w:val="24"/>
          <w:szCs w:val="24"/>
        </w:rPr>
        <w:t xml:space="preserve">все характеристики автотранспортн</w:t>
      </w:r>
      <w:r>
        <w:rPr>
          <w:sz w:val="24"/>
          <w:szCs w:val="24"/>
        </w:rPr>
        <w:t xml:space="preserve">ого</w:t>
      </w:r>
      <w:r>
        <w:rPr>
          <w:sz w:val="24"/>
          <w:szCs w:val="24"/>
        </w:rPr>
        <w:t xml:space="preserve"> средств</w:t>
      </w:r>
      <w:r>
        <w:rPr>
          <w:sz w:val="24"/>
          <w:szCs w:val="24"/>
        </w:rPr>
        <w:t xml:space="preserve">а, согласно приложению </w:t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3 к настоящему Порядку;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копия паспорта транспортного средства;</w:t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Списание муниципального имущества, выбывшего из владения в результате совершенного преступления против собственности (</w:t>
      </w:r>
      <w:r>
        <w:rPr>
          <w:sz w:val="24"/>
          <w:szCs w:val="24"/>
        </w:rPr>
        <w:t xml:space="preserve">порча, </w:t>
      </w:r>
      <w:r>
        <w:rPr>
          <w:sz w:val="24"/>
          <w:szCs w:val="24"/>
        </w:rPr>
        <w:t xml:space="preserve">хищение, уничтожение, повреждение, угон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и др.), может быть произведено только посл</w:t>
      </w:r>
      <w:r>
        <w:rPr>
          <w:sz w:val="24"/>
          <w:szCs w:val="24"/>
        </w:rPr>
        <w:t xml:space="preserve">е предоставления</w:t>
      </w:r>
      <w:r>
        <w:rPr>
          <w:sz w:val="24"/>
          <w:szCs w:val="24"/>
        </w:rPr>
        <w:t xml:space="preserve"> дополнительной</w:t>
      </w:r>
      <w:r>
        <w:rPr>
          <w:sz w:val="24"/>
          <w:szCs w:val="24"/>
        </w:rPr>
        <w:t xml:space="preserve"> обосновывающей</w:t>
      </w:r>
      <w:r>
        <w:rPr>
          <w:sz w:val="24"/>
          <w:szCs w:val="24"/>
        </w:rPr>
        <w:t xml:space="preserve"> информац</w:t>
      </w:r>
      <w:r>
        <w:rPr>
          <w:sz w:val="24"/>
          <w:szCs w:val="24"/>
        </w:rPr>
        <w:t xml:space="preserve">ии </w:t>
      </w:r>
      <w:r>
        <w:rPr>
          <w:sz w:val="24"/>
          <w:szCs w:val="24"/>
        </w:rPr>
        <w:t xml:space="preserve">специализированных органов </w:t>
      </w:r>
      <w:r>
        <w:rPr>
          <w:sz w:val="24"/>
          <w:szCs w:val="24"/>
        </w:rPr>
        <w:t xml:space="preserve">(</w:t>
      </w:r>
      <w:r>
        <w:rPr>
          <w:sz w:val="24"/>
          <w:szCs w:val="24"/>
        </w:rPr>
        <w:t xml:space="preserve">акт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о хищении, порче, </w:t>
      </w:r>
      <w:r>
        <w:rPr>
          <w:sz w:val="24"/>
          <w:szCs w:val="24"/>
        </w:rPr>
        <w:t xml:space="preserve">постановления</w:t>
      </w:r>
      <w:r>
        <w:rPr>
          <w:sz w:val="24"/>
          <w:szCs w:val="24"/>
        </w:rPr>
        <w:t xml:space="preserve"> о возбуждении уголовного дела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либо об отказе в возб</w:t>
      </w:r>
      <w:r>
        <w:rPr>
          <w:sz w:val="24"/>
          <w:szCs w:val="24"/>
        </w:rPr>
        <w:t xml:space="preserve">уждении уголовного дела или информация о принятых мерах в отношении виновных лиц, </w:t>
      </w:r>
      <w:r>
        <w:rPr>
          <w:sz w:val="24"/>
          <w:szCs w:val="24"/>
        </w:rPr>
        <w:t xml:space="preserve">справки</w:t>
      </w:r>
      <w:r>
        <w:rPr>
          <w:sz w:val="24"/>
          <w:szCs w:val="24"/>
        </w:rPr>
        <w:t xml:space="preserve"> о факте</w:t>
      </w:r>
      <w:r>
        <w:rPr>
          <w:sz w:val="24"/>
          <w:szCs w:val="24"/>
        </w:rPr>
        <w:t xml:space="preserve"> пожара и</w:t>
      </w:r>
      <w:r>
        <w:rPr>
          <w:sz w:val="24"/>
          <w:szCs w:val="24"/>
        </w:rPr>
        <w:t xml:space="preserve"> др.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или инвентаризационной описи с ходатайством </w:t>
      </w:r>
      <w:r>
        <w:rPr>
          <w:sz w:val="24"/>
          <w:szCs w:val="24"/>
        </w:rPr>
        <w:t xml:space="preserve">согласованн</w:t>
      </w:r>
      <w:r>
        <w:rPr>
          <w:sz w:val="24"/>
          <w:szCs w:val="24"/>
        </w:rPr>
        <w:t xml:space="preserve">ым</w:t>
      </w:r>
      <w:r>
        <w:rPr>
          <w:sz w:val="24"/>
          <w:szCs w:val="24"/>
        </w:rPr>
        <w:t xml:space="preserve"> с учредителем.</w:t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2.6. Порядок </w:t>
      </w:r>
      <w:r>
        <w:rPr>
          <w:sz w:val="24"/>
          <w:szCs w:val="24"/>
        </w:rPr>
        <w:t xml:space="preserve">списания особо ценного муниципального имущества аналогичен порядку, указанному в разделе </w:t>
      </w:r>
      <w:r>
        <w:rPr>
          <w:sz w:val="24"/>
          <w:szCs w:val="24"/>
        </w:rPr>
        <w:t xml:space="preserve">1 и </w:t>
      </w:r>
      <w:r>
        <w:rPr>
          <w:sz w:val="24"/>
          <w:szCs w:val="24"/>
        </w:rPr>
        <w:t xml:space="preserve">2 настоящего П</w:t>
      </w:r>
      <w:r>
        <w:rPr>
          <w:sz w:val="24"/>
          <w:szCs w:val="24"/>
        </w:rPr>
        <w:t xml:space="preserve">орядка.</w:t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Все документы, представляемые в </w:t>
      </w:r>
      <w:r>
        <w:rPr>
          <w:sz w:val="24"/>
          <w:szCs w:val="24"/>
        </w:rPr>
        <w:t xml:space="preserve">Комитет</w:t>
      </w:r>
      <w:r>
        <w:rPr>
          <w:sz w:val="24"/>
          <w:szCs w:val="24"/>
        </w:rPr>
        <w:t xml:space="preserve">, принимаются с ясными оттисками печатей и штампов и расшифровкой подписей. Пакет документов, не соответствующий вышеприведенному перечню, возвращается заинтересованной стороне.</w:t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. Представленные документы рассматриваются в течение 30 календарных дней со дня их регистрации, за исключением случаев, требующих дополнительной проверки обоснованности списания основных средств или дополнительного изучения документов.</w:t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9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По результатам рассмотрения пакета документов на списание основных средств </w:t>
      </w:r>
      <w:r>
        <w:rPr>
          <w:sz w:val="24"/>
          <w:szCs w:val="24"/>
        </w:rPr>
        <w:t xml:space="preserve">Комитет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готовит проект постановления администрации Печенгского муниципального округа,</w:t>
      </w:r>
      <w:r>
        <w:rPr>
          <w:sz w:val="24"/>
          <w:szCs w:val="24"/>
        </w:rPr>
        <w:t xml:space="preserve"> либо возвращает заинтересованной стороне пакет документов, как не соответствующий требованиям законодательства и настоящего </w:t>
      </w:r>
      <w:r>
        <w:rPr>
          <w:sz w:val="24"/>
          <w:szCs w:val="24"/>
        </w:rPr>
        <w:t xml:space="preserve">Порядка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</w:p>
    <w:p>
      <w:pPr>
        <w:pStyle w:val="634"/>
        <w:ind w:firstLine="708"/>
        <w:jc w:val="both"/>
        <w:spacing w:before="0" w:beforeAutospacing="0" w:after="0" w:afterAutospacing="0"/>
      </w:pPr>
      <w:r>
        <w:t xml:space="preserve">2</w:t>
      </w:r>
      <w:r>
        <w:t xml:space="preserve">.</w:t>
      </w:r>
      <w:r>
        <w:t xml:space="preserve">10</w:t>
      </w:r>
      <w:r>
        <w:t xml:space="preserve">. После получения постановления администрации Печенгского муниципального органа, Комитет вносит изменения в реестр муниципальной собственности.</w:t>
      </w:r>
      <w:r/>
    </w:p>
    <w:p>
      <w:pPr>
        <w:pStyle w:val="634"/>
        <w:ind w:firstLine="708"/>
        <w:jc w:val="both"/>
        <w:spacing w:before="0" w:beforeAutospacing="0" w:after="0" w:afterAutospacing="0"/>
        <w:tabs>
          <w:tab w:val="left" w:pos="2296" w:leader="none"/>
        </w:tabs>
      </w:pPr>
      <w:r>
        <w:tab/>
      </w:r>
      <w:r/>
    </w:p>
    <w:p>
      <w:pPr>
        <w:pStyle w:val="634"/>
        <w:numPr>
          <w:ilvl w:val="0"/>
          <w:numId w:val="2"/>
        </w:numPr>
        <w:jc w:val="center"/>
        <w:spacing w:before="0" w:beforeAutospacing="0" w:after="0" w:afterAutospacing="0"/>
        <w:rPr>
          <w:b/>
        </w:rPr>
      </w:pPr>
      <w:r>
        <w:rPr>
          <w:b/>
        </w:rPr>
        <w:t xml:space="preserve">Списание имущества муниципальной казны</w:t>
      </w:r>
      <w:r>
        <w:rPr>
          <w:b/>
        </w:rPr>
      </w:r>
    </w:p>
    <w:p>
      <w:pPr>
        <w:pStyle w:val="634"/>
        <w:ind w:left="710"/>
        <w:spacing w:before="0" w:beforeAutospacing="0" w:after="0" w:afterAutospacing="0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ind w:firstLine="708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3</w:t>
      </w:r>
      <w:r>
        <w:rPr>
          <w:color w:val="auto"/>
          <w:sz w:val="24"/>
          <w:szCs w:val="24"/>
        </w:rPr>
        <w:t xml:space="preserve">.1. </w:t>
      </w:r>
      <w:r>
        <w:rPr>
          <w:color w:val="auto"/>
          <w:sz w:val="24"/>
          <w:szCs w:val="24"/>
        </w:rPr>
        <w:t xml:space="preserve">Юридическое лицо или индивидуальный предприниматель (далее - пользователи), которые пользуются переданным им муниципальным имуществом по договорам безвозмездного пользования и</w:t>
      </w:r>
      <w:r>
        <w:rPr>
          <w:color w:val="auto"/>
          <w:sz w:val="24"/>
          <w:szCs w:val="24"/>
        </w:rPr>
        <w:t xml:space="preserve">ли</w:t>
      </w:r>
      <w:r>
        <w:rPr>
          <w:color w:val="auto"/>
          <w:sz w:val="24"/>
          <w:szCs w:val="24"/>
        </w:rPr>
        <w:t xml:space="preserve"> аренды, при необходимости его списания обращаются в </w:t>
      </w:r>
      <w:r>
        <w:rPr>
          <w:color w:val="auto"/>
          <w:sz w:val="24"/>
          <w:szCs w:val="24"/>
        </w:rPr>
        <w:t xml:space="preserve">Комитет</w:t>
      </w:r>
      <w:r>
        <w:rPr>
          <w:color w:val="ff0000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с приложением документов, </w:t>
      </w:r>
      <w:r>
        <w:rPr>
          <w:color w:val="auto"/>
          <w:sz w:val="24"/>
          <w:szCs w:val="24"/>
        </w:rPr>
        <w:t xml:space="preserve">указанных</w:t>
      </w:r>
      <w:r>
        <w:rPr>
          <w:color w:val="auto"/>
          <w:sz w:val="24"/>
          <w:szCs w:val="24"/>
        </w:rPr>
        <w:t xml:space="preserve"> в </w:t>
      </w:r>
      <w:r>
        <w:rPr>
          <w:color w:val="auto"/>
          <w:sz w:val="24"/>
          <w:szCs w:val="24"/>
        </w:rPr>
        <w:t xml:space="preserve">пунктах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2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  <w:t xml:space="preserve">3</w:t>
      </w:r>
      <w:r>
        <w:rPr>
          <w:color w:val="auto"/>
          <w:sz w:val="24"/>
          <w:szCs w:val="24"/>
        </w:rPr>
        <w:t xml:space="preserve">, </w:t>
      </w:r>
      <w:r>
        <w:rPr>
          <w:color w:val="auto"/>
          <w:sz w:val="24"/>
          <w:szCs w:val="24"/>
        </w:rPr>
        <w:t xml:space="preserve">2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  <w:t xml:space="preserve">4</w:t>
      </w:r>
      <w:r>
        <w:rPr>
          <w:color w:val="auto"/>
          <w:sz w:val="24"/>
          <w:szCs w:val="24"/>
        </w:rPr>
        <w:t xml:space="preserve">, 2,5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настоящего </w:t>
      </w:r>
      <w:r>
        <w:rPr>
          <w:color w:val="auto"/>
          <w:sz w:val="24"/>
          <w:szCs w:val="24"/>
        </w:rPr>
        <w:t xml:space="preserve">Порядка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107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3</w:t>
      </w:r>
      <w:r>
        <w:rPr>
          <w:color w:val="auto"/>
          <w:sz w:val="24"/>
          <w:szCs w:val="24"/>
        </w:rPr>
        <w:t xml:space="preserve">.2. </w:t>
      </w:r>
      <w:r>
        <w:rPr>
          <w:color w:val="auto"/>
          <w:sz w:val="24"/>
          <w:szCs w:val="24"/>
        </w:rPr>
        <w:t xml:space="preserve">В случае, если муниципальное имущество казны никому не передано во владение и</w:t>
      </w:r>
      <w:r>
        <w:rPr>
          <w:color w:val="auto"/>
          <w:sz w:val="24"/>
          <w:szCs w:val="24"/>
        </w:rPr>
        <w:t xml:space="preserve">ли </w:t>
      </w:r>
      <w:r>
        <w:rPr>
          <w:color w:val="auto"/>
          <w:sz w:val="24"/>
          <w:szCs w:val="24"/>
        </w:rPr>
        <w:t xml:space="preserve">пользование, все документы</w:t>
      </w:r>
      <w:r>
        <w:rPr>
          <w:color w:val="auto"/>
          <w:sz w:val="24"/>
          <w:szCs w:val="24"/>
        </w:rPr>
        <w:t xml:space="preserve">,</w:t>
      </w:r>
      <w:r>
        <w:rPr>
          <w:color w:val="auto"/>
          <w:sz w:val="24"/>
          <w:szCs w:val="24"/>
        </w:rPr>
        <w:t xml:space="preserve"> необходимые</w:t>
      </w:r>
      <w:r>
        <w:rPr>
          <w:color w:val="auto"/>
          <w:sz w:val="24"/>
          <w:szCs w:val="24"/>
        </w:rPr>
        <w:t xml:space="preserve"> для списания</w:t>
      </w:r>
      <w:r>
        <w:rPr>
          <w:color w:val="auto"/>
          <w:sz w:val="24"/>
          <w:szCs w:val="24"/>
        </w:rPr>
        <w:t xml:space="preserve">,</w:t>
      </w:r>
      <w:r>
        <w:rPr>
          <w:color w:val="auto"/>
          <w:sz w:val="24"/>
          <w:szCs w:val="24"/>
        </w:rPr>
        <w:t xml:space="preserve"> оформляются </w:t>
      </w:r>
      <w:r>
        <w:rPr>
          <w:color w:val="auto"/>
          <w:sz w:val="24"/>
          <w:szCs w:val="24"/>
        </w:rPr>
        <w:t xml:space="preserve">Комитетом.</w:t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107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3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  <w:t xml:space="preserve">3</w:t>
      </w:r>
      <w:r>
        <w:rPr>
          <w:color w:val="auto"/>
          <w:sz w:val="24"/>
          <w:szCs w:val="24"/>
        </w:rPr>
        <w:t xml:space="preserve">. Муниципальное имущество муниципальной казны, переданное в безвозмездное пользование или аренду, списывается Комитетом по письменному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ходатайству (</w:t>
      </w:r>
      <w:r>
        <w:rPr>
          <w:color w:val="auto"/>
          <w:sz w:val="24"/>
          <w:szCs w:val="24"/>
        </w:rPr>
        <w:t xml:space="preserve">заявлению</w:t>
      </w:r>
      <w:r>
        <w:rPr>
          <w:color w:val="auto"/>
          <w:sz w:val="24"/>
          <w:szCs w:val="24"/>
        </w:rPr>
        <w:t xml:space="preserve">)</w:t>
      </w:r>
      <w:r>
        <w:rPr>
          <w:color w:val="auto"/>
          <w:sz w:val="24"/>
          <w:szCs w:val="24"/>
        </w:rPr>
        <w:t xml:space="preserve"> ссудополучателей и арендаторов.</w:t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1016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3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  <w:t xml:space="preserve">4</w:t>
      </w:r>
      <w:r>
        <w:rPr>
          <w:color w:val="auto"/>
          <w:sz w:val="24"/>
          <w:szCs w:val="24"/>
        </w:rPr>
        <w:t xml:space="preserve">. </w:t>
      </w:r>
      <w:r>
        <w:rPr>
          <w:color w:val="auto"/>
          <w:sz w:val="24"/>
          <w:szCs w:val="24"/>
        </w:rPr>
        <w:t xml:space="preserve">Порядок списания муниципального имущества, входящего в состав муниципальной казн</w:t>
      </w:r>
      <w:r>
        <w:rPr>
          <w:color w:val="auto"/>
          <w:sz w:val="24"/>
          <w:szCs w:val="24"/>
        </w:rPr>
        <w:t xml:space="preserve">ы муниципального образования Печенгский </w:t>
      </w:r>
      <w:r>
        <w:rPr>
          <w:color w:val="auto"/>
          <w:sz w:val="24"/>
          <w:szCs w:val="24"/>
        </w:rPr>
        <w:t xml:space="preserve">муниципальный округ</w:t>
      </w:r>
      <w:r>
        <w:rPr>
          <w:color w:val="auto"/>
          <w:sz w:val="24"/>
          <w:szCs w:val="24"/>
        </w:rPr>
        <w:t xml:space="preserve">, аналогичен порядку, </w:t>
      </w:r>
      <w:r>
        <w:rPr>
          <w:color w:val="auto"/>
          <w:sz w:val="24"/>
          <w:szCs w:val="24"/>
        </w:rPr>
        <w:t xml:space="preserve">указанному</w:t>
      </w:r>
      <w:r>
        <w:rPr>
          <w:color w:val="auto"/>
          <w:sz w:val="24"/>
          <w:szCs w:val="24"/>
        </w:rPr>
        <w:t xml:space="preserve"> в раздел</w:t>
      </w:r>
      <w:r>
        <w:rPr>
          <w:color w:val="auto"/>
          <w:sz w:val="24"/>
          <w:szCs w:val="24"/>
        </w:rPr>
        <w:t xml:space="preserve">е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2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настоящего </w:t>
      </w:r>
      <w:r>
        <w:rPr>
          <w:color w:val="auto"/>
          <w:sz w:val="24"/>
          <w:szCs w:val="24"/>
        </w:rPr>
        <w:t xml:space="preserve">Порядка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1109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3</w:t>
      </w:r>
      <w:r>
        <w:rPr>
          <w:color w:val="auto"/>
          <w:sz w:val="24"/>
          <w:szCs w:val="24"/>
        </w:rPr>
        <w:t xml:space="preserve">.5</w:t>
      </w:r>
      <w:r>
        <w:rPr>
          <w:color w:val="auto"/>
          <w:sz w:val="24"/>
          <w:szCs w:val="24"/>
        </w:rPr>
        <w:t xml:space="preserve">. </w:t>
      </w:r>
      <w:r>
        <w:rPr>
          <w:sz w:val="24"/>
          <w:szCs w:val="24"/>
        </w:rPr>
        <w:t xml:space="preserve">По результатам рассмотрения п</w:t>
      </w:r>
      <w:r>
        <w:rPr>
          <w:sz w:val="24"/>
          <w:szCs w:val="24"/>
        </w:rPr>
        <w:t xml:space="preserve">акета документов на списание основных средств Комитет готовит проект постановления администрации Печенгского муниципального округа, либо возвращает заинтересованной стороне пакет документов, как не соответствующий требованиям законодательства и настоящего </w:t>
      </w:r>
      <w:r>
        <w:rPr>
          <w:sz w:val="24"/>
          <w:szCs w:val="24"/>
        </w:rPr>
        <w:t xml:space="preserve">Порядка</w:t>
      </w:r>
      <w:r>
        <w:rPr>
          <w:color w:val="auto"/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. Выбытие из учета объектов недвижимого </w:t>
      </w:r>
      <w:r>
        <w:rPr>
          <w:sz w:val="24"/>
          <w:szCs w:val="24"/>
        </w:rPr>
        <w:t xml:space="preserve">имущества, права на которые подлежат в соответствии с законодательством Российской Федерации государственной регистрации, осуществляются на основании документов о государственной регистрации прекращения права собственности на объекты недвижимого имущества.</w:t>
      </w:r>
      <w:r>
        <w:rPr>
          <w:sz w:val="24"/>
          <w:szCs w:val="24"/>
        </w:rPr>
      </w:r>
    </w:p>
    <w:p>
      <w:pPr>
        <w:rPr>
          <w:rStyle w:val="642"/>
        </w:rPr>
      </w:pPr>
      <w:r/>
      <w:r>
        <w:rPr>
          <w:rStyle w:val="642"/>
        </w:rPr>
      </w:r>
    </w:p>
    <w:p>
      <w:pPr>
        <w:spacing w:after="200"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 w:clear="all"/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4</w:t>
      </w:r>
      <w:r>
        <w:rPr>
          <w:b/>
          <w:sz w:val="24"/>
          <w:szCs w:val="24"/>
        </w:rPr>
        <w:t xml:space="preserve">. Ответственность за нарушение порядка списания муниципального имущества</w:t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</w:pPr>
      <w:r>
        <w:rPr>
          <w:sz w:val="24"/>
          <w:szCs w:val="24"/>
        </w:rPr>
        <w:t xml:space="preserve">В случае нарушения установленного порядка списания муниципального имущества, а также причинения материального ущерба в результате вышеуказанных действий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руководи</w:t>
      </w:r>
      <w:r>
        <w:rPr>
          <w:sz w:val="24"/>
          <w:szCs w:val="24"/>
        </w:rPr>
        <w:t xml:space="preserve">тели муниципальных предприятий (</w:t>
      </w:r>
      <w:r>
        <w:rPr>
          <w:sz w:val="24"/>
          <w:szCs w:val="24"/>
        </w:rPr>
        <w:t xml:space="preserve">учреждений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, а также иные материально ответственные лица предприятий </w:t>
      </w:r>
      <w:r>
        <w:rPr>
          <w:sz w:val="24"/>
          <w:szCs w:val="24"/>
        </w:rPr>
        <w:t xml:space="preserve">(</w:t>
      </w:r>
      <w:r>
        <w:rPr>
          <w:sz w:val="24"/>
          <w:szCs w:val="24"/>
        </w:rPr>
        <w:t xml:space="preserve">учреждений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, виновные в этом, привлекаются к дисциплинарной и материальной ответственности в соответствии </w:t>
      </w:r>
      <w:r>
        <w:rPr>
          <w:sz w:val="24"/>
          <w:szCs w:val="24"/>
        </w:rPr>
        <w:t xml:space="preserve">с законодательством</w:t>
      </w:r>
      <w:r>
        <w:rPr>
          <w:sz w:val="24"/>
          <w:szCs w:val="24"/>
        </w:rPr>
        <w:t xml:space="preserve"> Российской Федерации.</w:t>
      </w:r>
      <w:r/>
    </w:p>
    <w:p>
      <w:pPr>
        <w:jc w:val="both"/>
        <w:widowControl w:val="off"/>
        <w:sectPr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</w:sectPr>
      </w:pPr>
      <w:r/>
      <w:r/>
    </w:p>
    <w:p>
      <w:pPr>
        <w:jc w:val="both"/>
        <w:widowControl w:val="off"/>
      </w:pPr>
      <w:r>
        <w:rPr>
          <w:color w:val="auto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6741759</wp:posOffset>
                </wp:positionH>
                <wp:positionV relativeFrom="paragraph">
                  <wp:posOffset>-200241</wp:posOffset>
                </wp:positionV>
                <wp:extent cx="2987040" cy="759125"/>
                <wp:effectExtent l="0" t="0" r="22860" b="22225"/>
                <wp:wrapNone/>
                <wp:docPr id="2" name="Пол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7040" cy="75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pStyle w:val="626"/>
                              <w:spacing w:before="0" w:after="0"/>
                              <w:rPr>
                                <w:rFonts w:ascii="Times New Roman" w:hAnsi="Times New Roman"/>
                                <w:b w:val="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 w:val="0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/>
                                <w:b w:val="0"/>
                                <w:sz w:val="24"/>
                                <w:szCs w:val="24"/>
                              </w:rPr>
                              <w:t xml:space="preserve">№ </w:t>
                            </w:r>
                            <w:r>
                              <w:rPr>
                                <w:rFonts w:ascii="Times New Roman" w:hAnsi="Times New Roman"/>
                                <w:b w:val="0"/>
                                <w:sz w:val="24"/>
                                <w:szCs w:val="24"/>
                              </w:rPr>
                              <w:t xml:space="preserve">1</w:t>
                            </w:r>
                            <w:r>
                              <w:rPr>
                                <w:rFonts w:ascii="Times New Roman" w:hAnsi="Times New Roman"/>
                                <w:b w:val="0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pStyle w:val="626"/>
                              <w:spacing w:before="0" w:after="0"/>
                              <w:rPr>
                                <w:rFonts w:ascii="Times New Roman" w:hAnsi="Times New Roman"/>
                                <w:b w:val="0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 w:val="0"/>
                                <w:sz w:val="24"/>
                              </w:rPr>
                              <w:t xml:space="preserve">к </w:t>
                            </w:r>
                            <w:r>
                              <w:rPr>
                                <w:rFonts w:ascii="Times New Roman" w:hAnsi="Times New Roman"/>
                                <w:b w:val="0"/>
                                <w:sz w:val="24"/>
                              </w:rPr>
                              <w:t xml:space="preserve">Порядку</w:t>
                            </w:r>
                            <w:r>
                              <w:rPr>
                                <w:rFonts w:ascii="Times New Roman" w:hAnsi="Times New Roman"/>
                                <w:b w:val="0"/>
                                <w:sz w:val="24"/>
                              </w:rPr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1" o:spid="_x0000_s1" o:spt="202" type="#_x0000_t202" style="position:absolute;z-index:251667456;o:allowoverlap:true;o:allowincell:true;mso-position-horizontal-relative:text;margin-left:530.85pt;mso-position-horizontal:absolute;mso-position-vertical-relative:text;margin-top:-15.77pt;mso-position-vertical:absolute;width:235.20pt;height:59.77pt;mso-wrap-distance-left:9.00pt;mso-wrap-distance-top:0.00pt;mso-wrap-distance-right:9.00pt;mso-wrap-distance-bottom:0.00pt;v-text-anchor:top;visibility:visible;" fillcolor="#FFFFFF" strokecolor="#FFFFFF" strokeweight="0.75pt">
                <v:textbox inset="0,0,0,0">
                  <w:txbxContent>
                    <w:p>
                      <w:pPr>
                        <w:pStyle w:val="626"/>
                        <w:spacing w:before="0" w:after="0"/>
                        <w:rPr>
                          <w:rFonts w:ascii="Times New Roman" w:hAnsi="Times New Roman"/>
                          <w:b w:val="0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 w:val="0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/>
                          <w:b w:val="0"/>
                          <w:sz w:val="24"/>
                          <w:szCs w:val="24"/>
                        </w:rPr>
                        <w:t xml:space="preserve">№ </w:t>
                      </w:r>
                      <w:r>
                        <w:rPr>
                          <w:rFonts w:ascii="Times New Roman" w:hAnsi="Times New Roman"/>
                          <w:b w:val="0"/>
                          <w:sz w:val="24"/>
                          <w:szCs w:val="24"/>
                        </w:rPr>
                        <w:t xml:space="preserve">1</w:t>
                      </w:r>
                      <w:r>
                        <w:rPr>
                          <w:rFonts w:ascii="Times New Roman" w:hAnsi="Times New Roman"/>
                          <w:b w:val="0"/>
                          <w:sz w:val="24"/>
                          <w:szCs w:val="24"/>
                        </w:rPr>
                      </w:r>
                    </w:p>
                    <w:p>
                      <w:pPr>
                        <w:pStyle w:val="626"/>
                        <w:spacing w:before="0" w:after="0"/>
                        <w:rPr>
                          <w:rFonts w:ascii="Times New Roman" w:hAnsi="Times New Roman"/>
                          <w:b w:val="0"/>
                          <w:sz w:val="24"/>
                        </w:rPr>
                      </w:pPr>
                      <w:r>
                        <w:rPr>
                          <w:rFonts w:ascii="Times New Roman" w:hAnsi="Times New Roman"/>
                          <w:b w:val="0"/>
                          <w:sz w:val="24"/>
                        </w:rPr>
                        <w:t xml:space="preserve">к </w:t>
                      </w:r>
                      <w:r>
                        <w:rPr>
                          <w:rFonts w:ascii="Times New Roman" w:hAnsi="Times New Roman"/>
                          <w:b w:val="0"/>
                          <w:sz w:val="24"/>
                        </w:rPr>
                        <w:t xml:space="preserve">Порядку</w:t>
                      </w:r>
                      <w:r>
                        <w:rPr>
                          <w:rFonts w:ascii="Times New Roman" w:hAnsi="Times New Roman"/>
                          <w:b w:val="0"/>
                          <w:sz w:val="24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/>
    </w:p>
    <w:p>
      <w:pPr>
        <w:ind w:firstLine="709"/>
        <w:jc w:val="both"/>
        <w:spacing w:line="274" w:lineRule="exact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ПЕРЕЧЕНЬ</w:t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подлежащего списанию объектов недвижимого имущества муниципальной собственности, закрепленных за муниципальным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предприяти</w:t>
      </w:r>
      <w:r>
        <w:rPr>
          <w:sz w:val="24"/>
          <w:szCs w:val="24"/>
        </w:rPr>
        <w:t xml:space="preserve">ями</w:t>
      </w:r>
      <w:r>
        <w:rPr>
          <w:sz w:val="24"/>
          <w:szCs w:val="24"/>
        </w:rPr>
        <w:t xml:space="preserve"> (учреждени</w:t>
      </w:r>
      <w:r>
        <w:rPr>
          <w:sz w:val="24"/>
          <w:szCs w:val="24"/>
        </w:rPr>
        <w:t xml:space="preserve">ями</w:t>
      </w:r>
      <w:r>
        <w:rPr>
          <w:sz w:val="24"/>
          <w:szCs w:val="24"/>
        </w:rPr>
        <w:t xml:space="preserve">) на праве хозяйственного ведения (оперативного управления)</w:t>
      </w:r>
      <w:r>
        <w:rPr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_________________________________________________</w:t>
      </w:r>
      <w:r>
        <w:rPr>
          <w:b/>
          <w:sz w:val="24"/>
          <w:szCs w:val="24"/>
        </w:rPr>
      </w:r>
    </w:p>
    <w:p>
      <w:pPr>
        <w:jc w:val="center"/>
        <w:widowControl w:val="off"/>
      </w:pPr>
      <w:r>
        <w:t xml:space="preserve">(наименование предприятия (учреждения)</w:t>
      </w:r>
      <w:r/>
    </w:p>
    <w:p>
      <w:pPr>
        <w:jc w:val="center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15310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711"/>
        <w:gridCol w:w="1493"/>
        <w:gridCol w:w="1332"/>
        <w:gridCol w:w="1551"/>
        <w:gridCol w:w="1598"/>
        <w:gridCol w:w="1598"/>
        <w:gridCol w:w="1490"/>
        <w:gridCol w:w="1417"/>
        <w:gridCol w:w="1418"/>
        <w:gridCol w:w="1134"/>
      </w:tblGrid>
      <w:tr>
        <w:tblPrEx/>
        <w:trPr/>
        <w:tc>
          <w:tcPr>
            <w:shd w:val="clear" w:color="auto" w:fill="auto"/>
            <w:tcW w:w="5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№ </w:t>
            </w:r>
            <w:r>
              <w:t xml:space="preserve">п</w:t>
            </w:r>
            <w:r>
              <w:t xml:space="preserve">/п</w:t>
            </w:r>
            <w:r/>
          </w:p>
        </w:tc>
        <w:tc>
          <w:tcPr>
            <w:shd w:val="clear" w:color="auto" w:fill="auto"/>
            <w:tcW w:w="171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Наименование объекта недвижимости</w:t>
            </w:r>
            <w:r/>
          </w:p>
        </w:tc>
        <w:tc>
          <w:tcPr>
            <w:shd w:val="clear" w:color="auto" w:fill="auto"/>
            <w:tcW w:w="14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Инвентарный номер</w:t>
            </w:r>
            <w:r/>
          </w:p>
        </w:tc>
        <w:tc>
          <w:tcPr>
            <w:shd w:val="clear" w:color="auto" w:fill="auto"/>
            <w:tcW w:w="1332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Место нахождения</w:t>
            </w:r>
            <w:r/>
          </w:p>
        </w:tc>
        <w:tc>
          <w:tcPr>
            <w:shd w:val="clear" w:color="auto" w:fill="auto"/>
            <w:tcW w:w="155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Год ввода в эксплуатацию</w:t>
            </w:r>
            <w:r/>
          </w:p>
        </w:tc>
        <w:tc>
          <w:tcPr>
            <w:shd w:val="clear" w:color="auto" w:fill="auto"/>
            <w:tcW w:w="159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Срок полезного использования</w:t>
            </w:r>
            <w:r/>
          </w:p>
        </w:tc>
        <w:tc>
          <w:tcPr>
            <w:shd w:val="clear" w:color="auto" w:fill="auto"/>
            <w:tcW w:w="159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Фактический срок использования</w:t>
            </w:r>
            <w:r/>
          </w:p>
        </w:tc>
        <w:tc>
          <w:tcPr>
            <w:shd w:val="clear" w:color="auto" w:fill="auto"/>
            <w:tcW w:w="1490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Балансовая стоимость (руб.)</w:t>
            </w:r>
            <w:r/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Амортизация (руб.)</w:t>
            </w:r>
            <w:r/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Остаточная стоимость (руб.)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Причина списания</w:t>
            </w:r>
            <w:r/>
          </w:p>
        </w:tc>
      </w:tr>
      <w:tr>
        <w:tblPrEx/>
        <w:trPr/>
        <w:tc>
          <w:tcPr>
            <w:shd w:val="clear" w:color="auto" w:fill="auto"/>
            <w:tcW w:w="5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</w:t>
            </w:r>
            <w:r/>
          </w:p>
        </w:tc>
        <w:tc>
          <w:tcPr>
            <w:shd w:val="clear" w:color="auto" w:fill="auto"/>
            <w:tcW w:w="171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</w:t>
            </w:r>
            <w:r/>
          </w:p>
        </w:tc>
        <w:tc>
          <w:tcPr>
            <w:shd w:val="clear" w:color="auto" w:fill="auto"/>
            <w:tcW w:w="14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3</w:t>
            </w:r>
            <w:r/>
          </w:p>
        </w:tc>
        <w:tc>
          <w:tcPr>
            <w:shd w:val="clear" w:color="auto" w:fill="auto"/>
            <w:tcW w:w="1332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4</w:t>
            </w:r>
            <w:r/>
          </w:p>
        </w:tc>
        <w:tc>
          <w:tcPr>
            <w:shd w:val="clear" w:color="auto" w:fill="auto"/>
            <w:tcW w:w="155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5</w:t>
            </w:r>
            <w:r/>
          </w:p>
        </w:tc>
        <w:tc>
          <w:tcPr>
            <w:shd w:val="clear" w:color="auto" w:fill="auto"/>
            <w:tcW w:w="159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6</w:t>
            </w:r>
            <w:r/>
          </w:p>
        </w:tc>
        <w:tc>
          <w:tcPr>
            <w:shd w:val="clear" w:color="auto" w:fill="auto"/>
            <w:tcW w:w="159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7</w:t>
            </w:r>
            <w:r/>
          </w:p>
        </w:tc>
        <w:tc>
          <w:tcPr>
            <w:shd w:val="clear" w:color="auto" w:fill="auto"/>
            <w:tcW w:w="1490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</w:t>
            </w:r>
            <w:r/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9</w:t>
            </w:r>
            <w:r/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10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11</w:t>
            </w:r>
            <w:r/>
          </w:p>
        </w:tc>
      </w:tr>
      <w:tr>
        <w:tblPrEx/>
        <w:trPr/>
        <w:tc>
          <w:tcPr>
            <w:shd w:val="clear" w:color="auto" w:fill="auto"/>
            <w:tcW w:w="568" w:type="dxa"/>
            <w:textDirection w:val="lrTb"/>
            <w:noWrap w:val="false"/>
          </w:tcPr>
          <w:p>
            <w:pPr>
              <w:jc w:val="both"/>
              <w:widowControl w:val="off"/>
            </w:pPr>
            <w:r/>
            <w:r/>
          </w:p>
        </w:tc>
        <w:tc>
          <w:tcPr>
            <w:shd w:val="clear" w:color="auto" w:fill="auto"/>
            <w:tcW w:w="1711" w:type="dxa"/>
            <w:textDirection w:val="lrTb"/>
            <w:noWrap w:val="false"/>
          </w:tcPr>
          <w:p>
            <w:pPr>
              <w:jc w:val="both"/>
              <w:widowControl w:val="off"/>
            </w:pPr>
            <w:r/>
            <w:r/>
          </w:p>
        </w:tc>
        <w:tc>
          <w:tcPr>
            <w:shd w:val="clear" w:color="auto" w:fill="auto"/>
            <w:tcW w:w="1493" w:type="dxa"/>
            <w:textDirection w:val="lrTb"/>
            <w:noWrap w:val="false"/>
          </w:tcPr>
          <w:p>
            <w:pPr>
              <w:jc w:val="both"/>
              <w:widowControl w:val="off"/>
            </w:pPr>
            <w:r/>
            <w:r/>
          </w:p>
        </w:tc>
        <w:tc>
          <w:tcPr>
            <w:shd w:val="clear" w:color="auto" w:fill="auto"/>
            <w:tcW w:w="1332" w:type="dxa"/>
            <w:textDirection w:val="lrTb"/>
            <w:noWrap w:val="false"/>
          </w:tcPr>
          <w:p>
            <w:pPr>
              <w:jc w:val="both"/>
              <w:widowControl w:val="off"/>
            </w:pPr>
            <w:r/>
            <w:r/>
          </w:p>
        </w:tc>
        <w:tc>
          <w:tcPr>
            <w:shd w:val="clear" w:color="auto" w:fill="auto"/>
            <w:tcW w:w="1551" w:type="dxa"/>
            <w:textDirection w:val="lrTb"/>
            <w:noWrap w:val="false"/>
          </w:tcPr>
          <w:p>
            <w:pPr>
              <w:jc w:val="both"/>
              <w:widowControl w:val="off"/>
            </w:pPr>
            <w:r/>
            <w:r/>
          </w:p>
        </w:tc>
        <w:tc>
          <w:tcPr>
            <w:shd w:val="clear" w:color="auto" w:fill="auto"/>
            <w:tcW w:w="1598" w:type="dxa"/>
            <w:textDirection w:val="lrTb"/>
            <w:noWrap w:val="false"/>
          </w:tcPr>
          <w:p>
            <w:pPr>
              <w:jc w:val="both"/>
              <w:widowControl w:val="off"/>
            </w:pPr>
            <w:r/>
            <w:r/>
          </w:p>
        </w:tc>
        <w:tc>
          <w:tcPr>
            <w:shd w:val="clear" w:color="auto" w:fill="auto"/>
            <w:tcW w:w="1598" w:type="dxa"/>
            <w:textDirection w:val="lrTb"/>
            <w:noWrap w:val="false"/>
          </w:tcPr>
          <w:p>
            <w:pPr>
              <w:jc w:val="both"/>
              <w:widowControl w:val="off"/>
            </w:pPr>
            <w:r/>
            <w:r/>
          </w:p>
        </w:tc>
        <w:tc>
          <w:tcPr>
            <w:shd w:val="clear" w:color="auto" w:fill="auto"/>
            <w:tcW w:w="1490" w:type="dxa"/>
            <w:textDirection w:val="lrTb"/>
            <w:noWrap w:val="false"/>
          </w:tcPr>
          <w:p>
            <w:pPr>
              <w:jc w:val="both"/>
              <w:widowControl w:val="off"/>
            </w:pPr>
            <w:r/>
            <w:r/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both"/>
              <w:widowControl w:val="off"/>
            </w:pPr>
            <w:r/>
            <w:r/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both"/>
              <w:widowControl w:val="off"/>
            </w:pPr>
            <w:r/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both"/>
              <w:widowControl w:val="off"/>
            </w:pPr>
            <w:r/>
            <w:r/>
          </w:p>
        </w:tc>
      </w:tr>
    </w:tbl>
    <w:p>
      <w:pPr>
        <w:jc w:val="both"/>
        <w:widowControl w:val="off"/>
        <w:rPr>
          <w:sz w:val="24"/>
          <w:szCs w:val="24"/>
        </w:rPr>
        <w:sectPr>
          <w:footnotePr/>
          <w:endnotePr/>
          <w:type w:val="nextPage"/>
          <w:pgSz w:w="16838" w:h="11906" w:orient="landscape"/>
          <w:pgMar w:top="1701" w:right="1134" w:bottom="851" w:left="1134" w:header="709" w:footer="709" w:gutter="0"/>
          <w:cols w:num="1" w:sep="0" w:space="708" w:equalWidth="1"/>
          <w:docGrid w:linePitch="360"/>
        </w:sect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line="274" w:lineRule="exact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6802120</wp:posOffset>
                </wp:positionH>
                <wp:positionV relativeFrom="paragraph">
                  <wp:posOffset>-235190</wp:posOffset>
                </wp:positionV>
                <wp:extent cx="2920365" cy="560717"/>
                <wp:effectExtent l="0" t="0" r="13335" b="10795"/>
                <wp:wrapNone/>
                <wp:docPr id="3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0365" cy="56071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pStyle w:val="626"/>
                              <w:spacing w:before="0" w:after="0"/>
                              <w:rPr>
                                <w:rFonts w:ascii="Times New Roman" w:hAnsi="Times New Roman"/>
                                <w:b w:val="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 w:val="0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/>
                                <w:b w:val="0"/>
                                <w:sz w:val="24"/>
                                <w:szCs w:val="24"/>
                              </w:rPr>
                              <w:t xml:space="preserve">№ </w:t>
                            </w:r>
                            <w:r>
                              <w:rPr>
                                <w:rFonts w:ascii="Times New Roman" w:hAnsi="Times New Roman"/>
                                <w:b w:val="0"/>
                                <w:sz w:val="24"/>
                                <w:szCs w:val="24"/>
                              </w:rPr>
                              <w:t xml:space="preserve">2</w:t>
                            </w:r>
                            <w:r>
                              <w:rPr>
                                <w:rFonts w:ascii="Times New Roman" w:hAnsi="Times New Roman"/>
                                <w:b w:val="0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pStyle w:val="626"/>
                              <w:spacing w:before="0" w:after="0"/>
                              <w:rPr>
                                <w:rFonts w:ascii="Times New Roman" w:hAnsi="Times New Roman"/>
                                <w:b w:val="0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 w:val="0"/>
                                <w:sz w:val="24"/>
                              </w:rPr>
                              <w:t xml:space="preserve">к </w:t>
                            </w:r>
                            <w:r>
                              <w:rPr>
                                <w:rFonts w:ascii="Times New Roman" w:hAnsi="Times New Roman"/>
                                <w:b w:val="0"/>
                                <w:sz w:val="24"/>
                              </w:rPr>
                              <w:t xml:space="preserve">Порядку</w:t>
                            </w:r>
                            <w:r>
                              <w:rPr>
                                <w:rFonts w:ascii="Times New Roman" w:hAnsi="Times New Roman"/>
                                <w:b w:val="0"/>
                                <w:sz w:val="24"/>
                              </w:rPr>
                            </w:r>
                          </w:p>
                          <w:p>
                            <w:pPr>
                              <w:pStyle w:val="626"/>
                              <w:spacing w:before="0" w:after="0"/>
                              <w:rPr>
                                <w:rFonts w:ascii="Times New Roman" w:hAnsi="Times New Roman"/>
                                <w:b w:val="0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 w:val="0"/>
                                <w:sz w:val="24"/>
                              </w:rPr>
                            </w:r>
                            <w:r>
                              <w:rPr>
                                <w:rFonts w:ascii="Times New Roman" w:hAnsi="Times New Roman"/>
                                <w:b w:val="0"/>
                                <w:sz w:val="24"/>
                              </w:rPr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2" o:spid="_x0000_s2" o:spt="202" type="#_x0000_t202" style="position:absolute;z-index:251661312;o:allowoverlap:true;o:allowincell:true;mso-position-horizontal-relative:text;margin-left:535.60pt;mso-position-horizontal:absolute;mso-position-vertical-relative:text;margin-top:-18.52pt;mso-position-vertical:absolute;width:229.95pt;height:44.15pt;mso-wrap-distance-left:9.00pt;mso-wrap-distance-top:0.00pt;mso-wrap-distance-right:9.00pt;mso-wrap-distance-bottom:0.00pt;v-text-anchor:top;visibility:visible;" fillcolor="#FFFFFF" strokecolor="#FFFFFF" strokeweight="0.75pt">
                <v:textbox inset="0,0,0,0">
                  <w:txbxContent>
                    <w:p>
                      <w:pPr>
                        <w:pStyle w:val="626"/>
                        <w:spacing w:before="0" w:after="0"/>
                        <w:rPr>
                          <w:rFonts w:ascii="Times New Roman" w:hAnsi="Times New Roman"/>
                          <w:b w:val="0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 w:val="0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/>
                          <w:b w:val="0"/>
                          <w:sz w:val="24"/>
                          <w:szCs w:val="24"/>
                        </w:rPr>
                        <w:t xml:space="preserve">№ </w:t>
                      </w:r>
                      <w:r>
                        <w:rPr>
                          <w:rFonts w:ascii="Times New Roman" w:hAnsi="Times New Roman"/>
                          <w:b w:val="0"/>
                          <w:sz w:val="24"/>
                          <w:szCs w:val="24"/>
                        </w:rPr>
                        <w:t xml:space="preserve">2</w:t>
                      </w:r>
                      <w:r>
                        <w:rPr>
                          <w:rFonts w:ascii="Times New Roman" w:hAnsi="Times New Roman"/>
                          <w:b w:val="0"/>
                          <w:sz w:val="24"/>
                          <w:szCs w:val="24"/>
                        </w:rPr>
                      </w:r>
                    </w:p>
                    <w:p>
                      <w:pPr>
                        <w:pStyle w:val="626"/>
                        <w:spacing w:before="0" w:after="0"/>
                        <w:rPr>
                          <w:rFonts w:ascii="Times New Roman" w:hAnsi="Times New Roman"/>
                          <w:b w:val="0"/>
                          <w:sz w:val="24"/>
                        </w:rPr>
                      </w:pPr>
                      <w:r>
                        <w:rPr>
                          <w:rFonts w:ascii="Times New Roman" w:hAnsi="Times New Roman"/>
                          <w:b w:val="0"/>
                          <w:sz w:val="24"/>
                        </w:rPr>
                        <w:t xml:space="preserve">к </w:t>
                      </w:r>
                      <w:r>
                        <w:rPr>
                          <w:rFonts w:ascii="Times New Roman" w:hAnsi="Times New Roman"/>
                          <w:b w:val="0"/>
                          <w:sz w:val="24"/>
                        </w:rPr>
                        <w:t xml:space="preserve">Порядку</w:t>
                      </w:r>
                      <w:r>
                        <w:rPr>
                          <w:rFonts w:ascii="Times New Roman" w:hAnsi="Times New Roman"/>
                          <w:b w:val="0"/>
                          <w:sz w:val="24"/>
                        </w:rPr>
                      </w:r>
                    </w:p>
                    <w:p>
                      <w:pPr>
                        <w:pStyle w:val="626"/>
                        <w:spacing w:before="0" w:after="0"/>
                        <w:rPr>
                          <w:rFonts w:ascii="Times New Roman" w:hAnsi="Times New Roman"/>
                          <w:b w:val="0"/>
                          <w:sz w:val="24"/>
                        </w:rPr>
                      </w:pPr>
                      <w:r>
                        <w:rPr>
                          <w:rFonts w:ascii="Times New Roman" w:hAnsi="Times New Roman"/>
                          <w:b w:val="0"/>
                          <w:sz w:val="24"/>
                        </w:rPr>
                      </w:r>
                      <w:r>
                        <w:rPr>
                          <w:rFonts w:ascii="Times New Roman" w:hAnsi="Times New Roman"/>
                          <w:b w:val="0"/>
                          <w:sz w:val="24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auto"/>
          <w:sz w:val="24"/>
          <w:szCs w:val="24"/>
        </w:rPr>
      </w:r>
    </w:p>
    <w:p>
      <w:pPr>
        <w:widowControl w:val="off"/>
        <w:rPr>
          <w:rFonts w:eastAsia="Courier New"/>
          <w:b/>
          <w:sz w:val="24"/>
          <w:szCs w:val="24"/>
        </w:rPr>
      </w:pPr>
      <w:r>
        <w:rPr>
          <w:rFonts w:eastAsia="Courier New"/>
          <w:b/>
          <w:sz w:val="24"/>
          <w:szCs w:val="24"/>
        </w:rPr>
      </w:r>
      <w:r>
        <w:rPr>
          <w:rFonts w:eastAsia="Courier New"/>
          <w:b/>
          <w:sz w:val="24"/>
          <w:szCs w:val="24"/>
        </w:rPr>
      </w:r>
    </w:p>
    <w:p>
      <w:pPr>
        <w:jc w:val="center"/>
        <w:widowControl w:val="off"/>
        <w:rPr>
          <w:rFonts w:eastAsia="Courier New"/>
          <w:b/>
          <w:sz w:val="24"/>
          <w:szCs w:val="24"/>
        </w:rPr>
      </w:pPr>
      <w:r>
        <w:rPr>
          <w:rFonts w:eastAsia="Courier New"/>
          <w:b/>
          <w:sz w:val="24"/>
          <w:szCs w:val="24"/>
        </w:rPr>
      </w:r>
      <w:r>
        <w:rPr>
          <w:rFonts w:eastAsia="Courier New"/>
          <w:b/>
          <w:sz w:val="24"/>
          <w:szCs w:val="24"/>
        </w:rPr>
      </w:r>
    </w:p>
    <w:p>
      <w:pPr>
        <w:jc w:val="center"/>
        <w:widowControl w:val="off"/>
        <w:rPr>
          <w:rFonts w:eastAsia="Courier New"/>
          <w:b/>
          <w:sz w:val="24"/>
          <w:szCs w:val="24"/>
        </w:rPr>
      </w:pPr>
      <w:r>
        <w:rPr>
          <w:rFonts w:eastAsia="Courier New"/>
          <w:b/>
          <w:sz w:val="24"/>
          <w:szCs w:val="24"/>
        </w:rPr>
        <w:t xml:space="preserve">ПЕРЕЧЕНЬ</w:t>
      </w:r>
      <w:r>
        <w:rPr>
          <w:rFonts w:eastAsia="Courier New"/>
          <w:b/>
          <w:sz w:val="24"/>
          <w:szCs w:val="24"/>
        </w:rPr>
      </w:r>
    </w:p>
    <w:p>
      <w:pPr>
        <w:jc w:val="center"/>
        <w:widowControl w:val="off"/>
        <w:rPr>
          <w:rFonts w:eastAsia="Courier New"/>
          <w:sz w:val="24"/>
          <w:szCs w:val="24"/>
        </w:rPr>
      </w:pPr>
      <w:r>
        <w:rPr>
          <w:rFonts w:eastAsia="Courier New"/>
          <w:sz w:val="24"/>
          <w:szCs w:val="24"/>
        </w:rPr>
        <w:t xml:space="preserve">подлежащего списанию движимого имущества, закрепленного за муниципальными предприяти</w:t>
      </w:r>
      <w:r>
        <w:rPr>
          <w:rFonts w:eastAsia="Courier New"/>
          <w:sz w:val="24"/>
          <w:szCs w:val="24"/>
        </w:rPr>
        <w:t xml:space="preserve">ями</w:t>
      </w:r>
      <w:r>
        <w:rPr>
          <w:rFonts w:eastAsia="Courier New"/>
          <w:sz w:val="24"/>
          <w:szCs w:val="24"/>
        </w:rPr>
        <w:t xml:space="preserve"> </w:t>
      </w:r>
      <w:r>
        <w:rPr>
          <w:rFonts w:eastAsia="Courier New"/>
          <w:sz w:val="24"/>
          <w:szCs w:val="24"/>
        </w:rPr>
        <w:t xml:space="preserve">(учреждениями</w:t>
      </w:r>
      <w:r>
        <w:rPr>
          <w:rFonts w:eastAsia="Courier New"/>
          <w:sz w:val="24"/>
          <w:szCs w:val="24"/>
        </w:rPr>
        <w:t xml:space="preserve">) на праве хозяйственного ведения (оперативного управления)</w:t>
      </w:r>
      <w:r>
        <w:rPr>
          <w:rFonts w:eastAsia="Courier New"/>
          <w:sz w:val="24"/>
          <w:szCs w:val="24"/>
        </w:rPr>
      </w:r>
    </w:p>
    <w:p>
      <w:pPr>
        <w:jc w:val="center"/>
        <w:widowControl w:val="off"/>
        <w:rPr>
          <w:rFonts w:eastAsia="Courier New"/>
          <w:b/>
          <w:sz w:val="24"/>
          <w:szCs w:val="24"/>
        </w:rPr>
      </w:pPr>
      <w:r>
        <w:rPr>
          <w:rFonts w:eastAsia="Courier New"/>
          <w:b/>
          <w:sz w:val="24"/>
          <w:szCs w:val="24"/>
        </w:rPr>
        <w:t xml:space="preserve">_________________________________________________</w:t>
      </w:r>
      <w:r>
        <w:rPr>
          <w:rFonts w:eastAsia="Courier New"/>
          <w:b/>
          <w:sz w:val="24"/>
          <w:szCs w:val="24"/>
        </w:rPr>
      </w:r>
    </w:p>
    <w:p>
      <w:pPr>
        <w:jc w:val="center"/>
        <w:widowControl w:val="off"/>
        <w:rPr>
          <w:rFonts w:eastAsia="Courier New"/>
        </w:rPr>
      </w:pPr>
      <w:r>
        <w:rPr>
          <w:rFonts w:eastAsia="Courier New"/>
        </w:rPr>
        <w:t xml:space="preserve">(наименование предприятия (учреждения)</w:t>
      </w:r>
      <w:r>
        <w:rPr>
          <w:rFonts w:eastAsia="Courier New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tbl>
      <w:tblPr>
        <w:tblW w:w="15452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689"/>
        <w:gridCol w:w="1590"/>
        <w:gridCol w:w="1493"/>
        <w:gridCol w:w="1474"/>
        <w:gridCol w:w="1559"/>
        <w:gridCol w:w="1559"/>
        <w:gridCol w:w="1701"/>
        <w:gridCol w:w="1276"/>
        <w:gridCol w:w="1417"/>
        <w:gridCol w:w="1418"/>
        <w:gridCol w:w="1276"/>
      </w:tblGrid>
      <w:tr>
        <w:tblPrEx/>
        <w:trPr/>
        <w:tc>
          <w:tcPr>
            <w:shd w:val="clear" w:color="auto" w:fill="auto"/>
            <w:tcW w:w="689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ourier New"/>
              </w:rPr>
            </w:pPr>
            <w:r>
              <w:rPr>
                <w:rFonts w:eastAsia="Courier New"/>
              </w:rPr>
              <w:t xml:space="preserve">№ </w:t>
            </w:r>
            <w:r>
              <w:rPr>
                <w:rFonts w:eastAsia="Courier New"/>
              </w:rPr>
              <w:t xml:space="preserve">п</w:t>
            </w:r>
            <w:r>
              <w:rPr>
                <w:rFonts w:eastAsia="Courier New"/>
              </w:rPr>
              <w:t xml:space="preserve">/п</w:t>
            </w:r>
            <w:r>
              <w:rPr>
                <w:rFonts w:eastAsia="Courier New"/>
              </w:rPr>
            </w:r>
          </w:p>
        </w:tc>
        <w:tc>
          <w:tcPr>
            <w:shd w:val="clear" w:color="auto" w:fill="auto"/>
            <w:tcW w:w="159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ourier New"/>
              </w:rPr>
            </w:pPr>
            <w:r>
              <w:rPr>
                <w:rFonts w:eastAsia="Courier New"/>
              </w:rPr>
              <w:t xml:space="preserve">Наименование объекта </w:t>
            </w:r>
            <w:r>
              <w:rPr>
                <w:rFonts w:eastAsia="Courier New"/>
              </w:rPr>
              <w:t xml:space="preserve">движимого имущества</w:t>
            </w:r>
            <w:r>
              <w:rPr>
                <w:rFonts w:eastAsia="Courier New"/>
              </w:rPr>
            </w:r>
          </w:p>
        </w:tc>
        <w:tc>
          <w:tcPr>
            <w:shd w:val="clear" w:color="auto" w:fill="auto"/>
            <w:tcW w:w="149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ourier New"/>
              </w:rPr>
            </w:pPr>
            <w:r>
              <w:rPr>
                <w:rFonts w:eastAsia="Courier New"/>
              </w:rPr>
              <w:t xml:space="preserve">Инвентарный номер</w:t>
            </w:r>
            <w:r>
              <w:rPr>
                <w:rFonts w:eastAsia="Courier New"/>
              </w:rPr>
            </w:r>
          </w:p>
        </w:tc>
        <w:tc>
          <w:tcPr>
            <w:shd w:val="clear" w:color="auto" w:fill="auto"/>
            <w:tcW w:w="147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ourier New"/>
              </w:rPr>
            </w:pPr>
            <w:r>
              <w:rPr>
                <w:rFonts w:eastAsia="Courier New"/>
              </w:rPr>
              <w:t xml:space="preserve">Место нахождения</w:t>
            </w:r>
            <w:r>
              <w:rPr>
                <w:rFonts w:eastAsia="Courier New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ourier New"/>
              </w:rPr>
            </w:pPr>
            <w:r>
              <w:rPr>
                <w:rFonts w:eastAsia="Courier New"/>
              </w:rPr>
              <w:t xml:space="preserve">Год ввода в эксплуатацию</w:t>
            </w:r>
            <w:r>
              <w:rPr>
                <w:rFonts w:eastAsia="Courier New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ourier New"/>
              </w:rPr>
            </w:pPr>
            <w:r>
              <w:rPr>
                <w:rFonts w:eastAsia="Courier New"/>
              </w:rPr>
              <w:t xml:space="preserve">Срок полезного использования</w:t>
            </w:r>
            <w:r>
              <w:rPr>
                <w:rFonts w:eastAsia="Courier New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ourier New"/>
              </w:rPr>
            </w:pPr>
            <w:r>
              <w:rPr>
                <w:rFonts w:eastAsia="Courier New"/>
              </w:rPr>
              <w:t xml:space="preserve">Фактический срок использования</w:t>
            </w:r>
            <w:r>
              <w:rPr>
                <w:rFonts w:eastAsia="Courier New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ourier New"/>
              </w:rPr>
            </w:pPr>
            <w:r>
              <w:rPr>
                <w:rFonts w:eastAsia="Courier New"/>
              </w:rPr>
              <w:t xml:space="preserve">Балансовая стоимость (руб.)</w:t>
            </w:r>
            <w:r>
              <w:rPr>
                <w:rFonts w:eastAsia="Courier New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ourier New"/>
              </w:rPr>
            </w:pPr>
            <w:r>
              <w:rPr>
                <w:rFonts w:eastAsia="Courier New"/>
              </w:rPr>
              <w:t xml:space="preserve">Амортизация (руб.)</w:t>
            </w:r>
            <w:r>
              <w:rPr>
                <w:rFonts w:eastAsia="Courier New"/>
              </w:rPr>
            </w:r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ourier New"/>
              </w:rPr>
            </w:pPr>
            <w:r>
              <w:rPr>
                <w:rFonts w:eastAsia="Courier New"/>
              </w:rPr>
              <w:t xml:space="preserve">Остаточная стоимость (руб.)</w:t>
            </w:r>
            <w:r>
              <w:rPr>
                <w:rFonts w:eastAsia="Courier New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ourier New"/>
              </w:rPr>
            </w:pPr>
            <w:r>
              <w:rPr>
                <w:rFonts w:eastAsia="Courier New"/>
              </w:rPr>
              <w:t xml:space="preserve">Причина списания</w:t>
            </w:r>
            <w:r>
              <w:rPr>
                <w:rFonts w:eastAsia="Courier New"/>
              </w:rPr>
            </w:r>
          </w:p>
        </w:tc>
      </w:tr>
      <w:tr>
        <w:tblPrEx/>
        <w:trPr/>
        <w:tc>
          <w:tcPr>
            <w:shd w:val="clear" w:color="auto" w:fill="auto"/>
            <w:tcW w:w="689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ourier New"/>
              </w:rPr>
            </w:pPr>
            <w:r>
              <w:rPr>
                <w:rFonts w:eastAsia="Courier New"/>
              </w:rPr>
              <w:t xml:space="preserve">1</w:t>
            </w:r>
            <w:r>
              <w:rPr>
                <w:rFonts w:eastAsia="Courier New"/>
              </w:rPr>
            </w:r>
          </w:p>
        </w:tc>
        <w:tc>
          <w:tcPr>
            <w:shd w:val="clear" w:color="auto" w:fill="auto"/>
            <w:tcW w:w="159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ourier New"/>
              </w:rPr>
            </w:pPr>
            <w:r>
              <w:rPr>
                <w:rFonts w:eastAsia="Courier New"/>
              </w:rPr>
              <w:t xml:space="preserve">2</w:t>
            </w:r>
            <w:r>
              <w:rPr>
                <w:rFonts w:eastAsia="Courier New"/>
              </w:rPr>
            </w:r>
          </w:p>
        </w:tc>
        <w:tc>
          <w:tcPr>
            <w:shd w:val="clear" w:color="auto" w:fill="auto"/>
            <w:tcW w:w="149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ourier New"/>
              </w:rPr>
            </w:pPr>
            <w:r>
              <w:rPr>
                <w:rFonts w:eastAsia="Courier New"/>
              </w:rPr>
              <w:t xml:space="preserve">3</w:t>
            </w:r>
            <w:r>
              <w:rPr>
                <w:rFonts w:eastAsia="Courier New"/>
              </w:rPr>
            </w:r>
          </w:p>
        </w:tc>
        <w:tc>
          <w:tcPr>
            <w:shd w:val="clear" w:color="auto" w:fill="auto"/>
            <w:tcW w:w="147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ourier New"/>
              </w:rPr>
            </w:pPr>
            <w:r>
              <w:rPr>
                <w:rFonts w:eastAsia="Courier New"/>
              </w:rPr>
              <w:t xml:space="preserve">4</w:t>
            </w:r>
            <w:r>
              <w:rPr>
                <w:rFonts w:eastAsia="Courier New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ourier New"/>
              </w:rPr>
            </w:pPr>
            <w:r>
              <w:rPr>
                <w:rFonts w:eastAsia="Courier New"/>
              </w:rPr>
              <w:t xml:space="preserve">5</w:t>
            </w:r>
            <w:r>
              <w:rPr>
                <w:rFonts w:eastAsia="Courier New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ourier New"/>
              </w:rPr>
            </w:pPr>
            <w:r>
              <w:rPr>
                <w:rFonts w:eastAsia="Courier New"/>
              </w:rPr>
              <w:t xml:space="preserve">6</w:t>
            </w:r>
            <w:r>
              <w:rPr>
                <w:rFonts w:eastAsia="Courier New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ourier New"/>
              </w:rPr>
            </w:pPr>
            <w:r>
              <w:rPr>
                <w:rFonts w:eastAsia="Courier New"/>
              </w:rPr>
              <w:t xml:space="preserve">7</w:t>
            </w:r>
            <w:r>
              <w:rPr>
                <w:rFonts w:eastAsia="Courier New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ourier New"/>
              </w:rPr>
            </w:pPr>
            <w:r>
              <w:rPr>
                <w:rFonts w:eastAsia="Courier New"/>
              </w:rPr>
              <w:t xml:space="preserve">8</w:t>
            </w:r>
            <w:r>
              <w:rPr>
                <w:rFonts w:eastAsia="Courier New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ourier New"/>
              </w:rPr>
            </w:pPr>
            <w:r>
              <w:rPr>
                <w:rFonts w:eastAsia="Courier New"/>
              </w:rPr>
              <w:t xml:space="preserve">9</w:t>
            </w:r>
            <w:r>
              <w:rPr>
                <w:rFonts w:eastAsia="Courier New"/>
              </w:rPr>
            </w:r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ourier New"/>
              </w:rPr>
            </w:pPr>
            <w:r>
              <w:rPr>
                <w:rFonts w:eastAsia="Courier New"/>
              </w:rPr>
              <w:t xml:space="preserve">10</w:t>
            </w:r>
            <w:r>
              <w:rPr>
                <w:rFonts w:eastAsia="Courier New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ourier New"/>
              </w:rPr>
            </w:pPr>
            <w:r>
              <w:rPr>
                <w:rFonts w:eastAsia="Courier New"/>
              </w:rPr>
              <w:t xml:space="preserve">11</w:t>
            </w:r>
            <w:r>
              <w:rPr>
                <w:rFonts w:eastAsia="Courier New"/>
              </w:rPr>
            </w:r>
          </w:p>
        </w:tc>
      </w:tr>
      <w:tr>
        <w:tblPrEx/>
        <w:trPr/>
        <w:tc>
          <w:tcPr>
            <w:shd w:val="clear" w:color="auto" w:fill="auto"/>
            <w:tcW w:w="689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ourier New"/>
              </w:rPr>
            </w:pPr>
            <w:r>
              <w:rPr>
                <w:rFonts w:eastAsia="Courier New"/>
              </w:rPr>
            </w:r>
            <w:r>
              <w:rPr>
                <w:rFonts w:eastAsia="Courier New"/>
              </w:rPr>
            </w:r>
          </w:p>
        </w:tc>
        <w:tc>
          <w:tcPr>
            <w:shd w:val="clear" w:color="auto" w:fill="auto"/>
            <w:tcW w:w="159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ourier New"/>
              </w:rPr>
            </w:pPr>
            <w:r>
              <w:rPr>
                <w:rFonts w:eastAsia="Courier New"/>
              </w:rPr>
            </w:r>
            <w:r>
              <w:rPr>
                <w:rFonts w:eastAsia="Courier New"/>
              </w:rPr>
            </w:r>
          </w:p>
        </w:tc>
        <w:tc>
          <w:tcPr>
            <w:shd w:val="clear" w:color="auto" w:fill="auto"/>
            <w:tcW w:w="149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ourier New"/>
              </w:rPr>
            </w:pPr>
            <w:r>
              <w:rPr>
                <w:rFonts w:eastAsia="Courier New"/>
              </w:rPr>
            </w:r>
            <w:r>
              <w:rPr>
                <w:rFonts w:eastAsia="Courier New"/>
              </w:rPr>
            </w:r>
          </w:p>
        </w:tc>
        <w:tc>
          <w:tcPr>
            <w:shd w:val="clear" w:color="auto" w:fill="auto"/>
            <w:tcW w:w="147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ourier New"/>
              </w:rPr>
            </w:pPr>
            <w:r>
              <w:rPr>
                <w:rFonts w:eastAsia="Courier New"/>
              </w:rPr>
            </w:r>
            <w:r>
              <w:rPr>
                <w:rFonts w:eastAsia="Courier New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ourier New"/>
              </w:rPr>
            </w:pPr>
            <w:r>
              <w:rPr>
                <w:rFonts w:eastAsia="Courier New"/>
              </w:rPr>
            </w:r>
            <w:r>
              <w:rPr>
                <w:rFonts w:eastAsia="Courier New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ourier New"/>
              </w:rPr>
            </w:pPr>
            <w:r>
              <w:rPr>
                <w:rFonts w:eastAsia="Courier New"/>
              </w:rPr>
            </w:r>
            <w:r>
              <w:rPr>
                <w:rFonts w:eastAsia="Courier New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ourier New"/>
              </w:rPr>
            </w:pPr>
            <w:r>
              <w:rPr>
                <w:rFonts w:eastAsia="Courier New"/>
              </w:rPr>
            </w:r>
            <w:r>
              <w:rPr>
                <w:rFonts w:eastAsia="Courier New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ourier New"/>
              </w:rPr>
            </w:pPr>
            <w:r>
              <w:rPr>
                <w:rFonts w:eastAsia="Courier New"/>
              </w:rPr>
            </w:r>
            <w:r>
              <w:rPr>
                <w:rFonts w:eastAsia="Courier New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ourier New"/>
              </w:rPr>
            </w:pPr>
            <w:r>
              <w:rPr>
                <w:rFonts w:eastAsia="Courier New"/>
              </w:rPr>
            </w:r>
            <w:r>
              <w:rPr>
                <w:rFonts w:eastAsia="Courier New"/>
              </w:rPr>
            </w:r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ourier New"/>
              </w:rPr>
            </w:pPr>
            <w:r>
              <w:rPr>
                <w:rFonts w:eastAsia="Courier New"/>
              </w:rPr>
            </w:r>
            <w:r>
              <w:rPr>
                <w:rFonts w:eastAsia="Courier New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ourier New"/>
              </w:rPr>
            </w:pPr>
            <w:r>
              <w:rPr>
                <w:rFonts w:eastAsia="Courier New"/>
              </w:rPr>
            </w:r>
            <w:r>
              <w:rPr>
                <w:rFonts w:eastAsia="Courier New"/>
              </w:rPr>
            </w:r>
          </w:p>
        </w:tc>
      </w:tr>
    </w:tbl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  <w:sectPr>
          <w:footnotePr/>
          <w:endnotePr/>
          <w:type w:val="nextPage"/>
          <w:pgSz w:w="16838" w:h="11906" w:orient="landscape"/>
          <w:pgMar w:top="1701" w:right="1134" w:bottom="851" w:left="1134" w:header="709" w:footer="709" w:gutter="0"/>
          <w:cols w:num="1" w:sep="0" w:space="708" w:equalWidth="1"/>
          <w:docGrid w:linePitch="360"/>
        </w:sectPr>
      </w:pPr>
      <w:r/>
      <w:r/>
    </w:p>
    <w:p>
      <w:pPr>
        <w:jc w:val="both"/>
        <w:widowControl w:val="off"/>
        <w:tabs>
          <w:tab w:val="left" w:pos="10773" w:leader="none"/>
        </w:tabs>
      </w:pPr>
      <w:r>
        <w:rPr>
          <w:color w:val="auto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6784891</wp:posOffset>
                </wp:positionH>
                <wp:positionV relativeFrom="paragraph">
                  <wp:posOffset>-174361</wp:posOffset>
                </wp:positionV>
                <wp:extent cx="2570672" cy="534837"/>
                <wp:effectExtent l="0" t="0" r="20320" b="17780"/>
                <wp:wrapNone/>
                <wp:docPr id="4" name="Пол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0672" cy="53483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pStyle w:val="626"/>
                              <w:spacing w:before="0" w:after="0"/>
                              <w:rPr>
                                <w:rFonts w:ascii="Times New Roman" w:hAnsi="Times New Roman"/>
                                <w:b w:val="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 w:val="0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/>
                                <w:b w:val="0"/>
                                <w:sz w:val="24"/>
                                <w:szCs w:val="24"/>
                              </w:rPr>
                              <w:t xml:space="preserve">№ </w:t>
                            </w:r>
                            <w:r>
                              <w:rPr>
                                <w:rFonts w:ascii="Times New Roman" w:hAnsi="Times New Roman"/>
                                <w:b w:val="0"/>
                                <w:sz w:val="24"/>
                                <w:szCs w:val="24"/>
                              </w:rPr>
                              <w:t xml:space="preserve">3</w:t>
                            </w:r>
                            <w:r>
                              <w:rPr>
                                <w:rFonts w:ascii="Times New Roman" w:hAnsi="Times New Roman"/>
                                <w:b w:val="0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pStyle w:val="626"/>
                              <w:spacing w:before="0" w:after="0"/>
                              <w:rPr>
                                <w:rFonts w:ascii="Times New Roman" w:hAnsi="Times New Roman"/>
                                <w:b w:val="0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 w:val="0"/>
                                <w:sz w:val="24"/>
                              </w:rPr>
                              <w:t xml:space="preserve">к </w:t>
                            </w:r>
                            <w:r>
                              <w:rPr>
                                <w:rFonts w:ascii="Times New Roman" w:hAnsi="Times New Roman"/>
                                <w:b w:val="0"/>
                                <w:sz w:val="24"/>
                              </w:rPr>
                              <w:t xml:space="preserve">Порядку</w:t>
                            </w:r>
                            <w:r>
                              <w:rPr>
                                <w:rFonts w:ascii="Times New Roman" w:hAnsi="Times New Roman"/>
                                <w:b w:val="0"/>
                                <w:sz w:val="24"/>
                              </w:rPr>
                            </w:r>
                          </w:p>
                          <w:p>
                            <w:pPr>
                              <w:pStyle w:val="626"/>
                              <w:spacing w:before="0" w:after="0"/>
                              <w:rPr>
                                <w:rFonts w:ascii="Times New Roman" w:hAnsi="Times New Roman"/>
                                <w:b w:val="0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 w:val="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 w:val="0"/>
                                <w:sz w:val="24"/>
                              </w:rPr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3" o:spid="_x0000_s3" o:spt="202" type="#_x0000_t202" style="position:absolute;z-index:251665408;o:allowoverlap:true;o:allowincell:true;mso-position-horizontal-relative:text;margin-left:534.24pt;mso-position-horizontal:absolute;mso-position-vertical-relative:text;margin-top:-13.73pt;mso-position-vertical:absolute;width:202.42pt;height:42.11pt;mso-wrap-distance-left:9.00pt;mso-wrap-distance-top:0.00pt;mso-wrap-distance-right:9.00pt;mso-wrap-distance-bottom:0.00pt;v-text-anchor:top;visibility:visible;" fillcolor="#FFFFFF" strokecolor="#FFFFFF" strokeweight="0.75pt">
                <v:textbox inset="0,0,0,0">
                  <w:txbxContent>
                    <w:p>
                      <w:pPr>
                        <w:pStyle w:val="626"/>
                        <w:spacing w:before="0" w:after="0"/>
                        <w:rPr>
                          <w:rFonts w:ascii="Times New Roman" w:hAnsi="Times New Roman"/>
                          <w:b w:val="0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 w:val="0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/>
                          <w:b w:val="0"/>
                          <w:sz w:val="24"/>
                          <w:szCs w:val="24"/>
                        </w:rPr>
                        <w:t xml:space="preserve">№ </w:t>
                      </w:r>
                      <w:r>
                        <w:rPr>
                          <w:rFonts w:ascii="Times New Roman" w:hAnsi="Times New Roman"/>
                          <w:b w:val="0"/>
                          <w:sz w:val="24"/>
                          <w:szCs w:val="24"/>
                        </w:rPr>
                        <w:t xml:space="preserve">3</w:t>
                      </w:r>
                      <w:r>
                        <w:rPr>
                          <w:rFonts w:ascii="Times New Roman" w:hAnsi="Times New Roman"/>
                          <w:b w:val="0"/>
                          <w:sz w:val="24"/>
                          <w:szCs w:val="24"/>
                        </w:rPr>
                      </w:r>
                    </w:p>
                    <w:p>
                      <w:pPr>
                        <w:pStyle w:val="626"/>
                        <w:spacing w:before="0" w:after="0"/>
                        <w:rPr>
                          <w:rFonts w:ascii="Times New Roman" w:hAnsi="Times New Roman"/>
                          <w:b w:val="0"/>
                          <w:sz w:val="24"/>
                        </w:rPr>
                      </w:pPr>
                      <w:r>
                        <w:rPr>
                          <w:rFonts w:ascii="Times New Roman" w:hAnsi="Times New Roman"/>
                          <w:b w:val="0"/>
                          <w:sz w:val="24"/>
                        </w:rPr>
                        <w:t xml:space="preserve">к </w:t>
                      </w:r>
                      <w:r>
                        <w:rPr>
                          <w:rFonts w:ascii="Times New Roman" w:hAnsi="Times New Roman"/>
                          <w:b w:val="0"/>
                          <w:sz w:val="24"/>
                        </w:rPr>
                        <w:t xml:space="preserve">Порядку</w:t>
                      </w:r>
                      <w:r>
                        <w:rPr>
                          <w:rFonts w:ascii="Times New Roman" w:hAnsi="Times New Roman"/>
                          <w:b w:val="0"/>
                          <w:sz w:val="24"/>
                        </w:rPr>
                      </w:r>
                    </w:p>
                    <w:p>
                      <w:pPr>
                        <w:pStyle w:val="626"/>
                        <w:spacing w:before="0" w:after="0"/>
                        <w:rPr>
                          <w:rFonts w:ascii="Times New Roman" w:hAnsi="Times New Roman"/>
                          <w:b w:val="0"/>
                          <w:sz w:val="24"/>
                        </w:rPr>
                      </w:pPr>
                      <w:r>
                        <w:rPr>
                          <w:rFonts w:ascii="Times New Roman" w:hAnsi="Times New Roman"/>
                          <w:b w:val="0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 w:val="0"/>
                          <w:sz w:val="24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ПЕРЕЧЕНЬ</w:t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подлежащих списанию автотранспортных средств муниципальной собственности, закрепленных за </w:t>
      </w:r>
      <w:r>
        <w:rPr>
          <w:sz w:val="24"/>
          <w:szCs w:val="24"/>
        </w:rPr>
        <w:t xml:space="preserve">муниципальным</w:t>
      </w:r>
      <w:r>
        <w:rPr>
          <w:sz w:val="24"/>
          <w:szCs w:val="24"/>
        </w:rPr>
        <w:t xml:space="preserve"> предприяти</w:t>
      </w:r>
      <w:r>
        <w:rPr>
          <w:sz w:val="24"/>
          <w:szCs w:val="24"/>
        </w:rPr>
        <w:t xml:space="preserve">ями</w:t>
      </w:r>
      <w:r>
        <w:rPr>
          <w:sz w:val="24"/>
          <w:szCs w:val="24"/>
        </w:rPr>
        <w:t xml:space="preserve"> (учреждени</w:t>
      </w:r>
      <w:r>
        <w:rPr>
          <w:sz w:val="24"/>
          <w:szCs w:val="24"/>
        </w:rPr>
        <w:t xml:space="preserve">ями</w:t>
      </w:r>
      <w:r>
        <w:rPr>
          <w:sz w:val="24"/>
          <w:szCs w:val="24"/>
        </w:rPr>
        <w:t xml:space="preserve">) на праве хозяйственного ведения (оперативного управления)</w:t>
      </w:r>
      <w:r>
        <w:rPr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_________________________________________________</w:t>
      </w:r>
      <w:r>
        <w:rPr>
          <w:b/>
          <w:sz w:val="24"/>
          <w:szCs w:val="24"/>
        </w:rPr>
      </w:r>
    </w:p>
    <w:p>
      <w:pPr>
        <w:jc w:val="center"/>
        <w:widowControl w:val="off"/>
      </w:pPr>
      <w:r>
        <w:t xml:space="preserve">(наименование предприятия (учреждения</w:t>
      </w:r>
      <w:r>
        <w:t xml:space="preserve">)</w:t>
      </w:r>
      <w:r/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15026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689"/>
        <w:gridCol w:w="2005"/>
        <w:gridCol w:w="1276"/>
        <w:gridCol w:w="1417"/>
        <w:gridCol w:w="1418"/>
        <w:gridCol w:w="1701"/>
        <w:gridCol w:w="1417"/>
        <w:gridCol w:w="1701"/>
        <w:gridCol w:w="1701"/>
        <w:gridCol w:w="1701"/>
      </w:tblGrid>
      <w:tr>
        <w:tblPrEx/>
        <w:trPr/>
        <w:tc>
          <w:tcPr>
            <w:shd w:val="clear" w:color="auto" w:fill="auto"/>
            <w:tcW w:w="689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№ </w:t>
            </w:r>
            <w:r>
              <w:t xml:space="preserve">п</w:t>
            </w:r>
            <w:r>
              <w:t xml:space="preserve">/п</w:t>
            </w:r>
            <w:r/>
          </w:p>
        </w:tc>
        <w:tc>
          <w:tcPr>
            <w:shd w:val="clear" w:color="auto" w:fill="auto"/>
            <w:tcW w:w="2005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Тип транспортного средства</w:t>
            </w:r>
            <w:r/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Марка</w:t>
            </w:r>
            <w:r/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Гос. номер</w:t>
            </w:r>
            <w:r/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Год выпуска</w:t>
            </w:r>
            <w:r/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№ двигателя, шасси</w:t>
            </w:r>
            <w:r/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№ кузова</w:t>
            </w:r>
            <w:r/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Балансовая стоимость (руб.)</w:t>
            </w:r>
            <w:r/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Амортизация</w:t>
            </w:r>
            <w:r>
              <w:t xml:space="preserve"> </w:t>
            </w:r>
            <w:r>
              <w:t xml:space="preserve">(%)</w:t>
            </w:r>
            <w:r/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Остаточ</w:t>
            </w:r>
            <w:r>
              <w:t xml:space="preserve">ная стоимость</w:t>
            </w:r>
            <w:r/>
          </w:p>
        </w:tc>
      </w:tr>
      <w:tr>
        <w:tblPrEx/>
        <w:trPr/>
        <w:tc>
          <w:tcPr>
            <w:shd w:val="clear" w:color="auto" w:fill="auto"/>
            <w:tcW w:w="689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</w:t>
            </w:r>
            <w:r/>
          </w:p>
        </w:tc>
        <w:tc>
          <w:tcPr>
            <w:shd w:val="clear" w:color="auto" w:fill="auto"/>
            <w:tcW w:w="2005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</w:t>
            </w:r>
            <w:r/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3</w:t>
            </w:r>
            <w:r/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4</w:t>
            </w:r>
            <w:r/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5</w:t>
            </w:r>
            <w:r/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6</w:t>
            </w:r>
            <w:r/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7</w:t>
            </w:r>
            <w:r/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</w:t>
            </w:r>
            <w:r/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9</w:t>
            </w:r>
            <w:r/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</w:t>
            </w:r>
            <w:r>
              <w:t xml:space="preserve">0</w:t>
            </w:r>
            <w:r/>
          </w:p>
        </w:tc>
      </w:tr>
      <w:tr>
        <w:tblPrEx/>
        <w:trPr/>
        <w:tc>
          <w:tcPr>
            <w:shd w:val="clear" w:color="auto" w:fill="auto"/>
            <w:tcW w:w="689" w:type="dxa"/>
            <w:textDirection w:val="lrTb"/>
            <w:noWrap w:val="false"/>
          </w:tcPr>
          <w:p>
            <w:pPr>
              <w:jc w:val="both"/>
              <w:widowControl w:val="off"/>
            </w:pPr>
            <w:r/>
            <w:r/>
          </w:p>
        </w:tc>
        <w:tc>
          <w:tcPr>
            <w:shd w:val="clear" w:color="auto" w:fill="auto"/>
            <w:tcW w:w="2005" w:type="dxa"/>
            <w:textDirection w:val="lrTb"/>
            <w:noWrap w:val="false"/>
          </w:tcPr>
          <w:p>
            <w:pPr>
              <w:jc w:val="both"/>
              <w:widowControl w:val="off"/>
            </w:pPr>
            <w:r/>
            <w:r/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both"/>
              <w:widowControl w:val="off"/>
            </w:pPr>
            <w:r/>
            <w:r/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both"/>
              <w:widowControl w:val="off"/>
            </w:pPr>
            <w:r/>
            <w:r/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both"/>
              <w:widowControl w:val="off"/>
            </w:pPr>
            <w:r/>
            <w:r/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both"/>
              <w:widowControl w:val="off"/>
            </w:pPr>
            <w:r/>
            <w:r/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both"/>
              <w:widowControl w:val="off"/>
            </w:pPr>
            <w:r/>
            <w:r/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both"/>
              <w:widowControl w:val="off"/>
            </w:pPr>
            <w:r/>
            <w:r/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both"/>
              <w:widowControl w:val="off"/>
            </w:pPr>
            <w:r/>
            <w:r/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both"/>
              <w:widowControl w:val="off"/>
            </w:pPr>
            <w:r/>
            <w:r/>
          </w:p>
        </w:tc>
      </w:tr>
    </w:tbl>
    <w:p>
      <w:pPr>
        <w:jc w:val="both"/>
        <w:widowControl w:val="off"/>
      </w:pPr>
      <w:r/>
      <w:r/>
    </w:p>
    <w:p>
      <w:pPr>
        <w:spacing w:after="200" w:line="276" w:lineRule="auto"/>
      </w:pPr>
      <w:r>
        <w:br w:type="page" w:clear="all"/>
      </w:r>
      <w:r/>
    </w:p>
    <w:p>
      <w:pPr>
        <w:jc w:val="both"/>
        <w:widowControl w:val="off"/>
        <w:sectPr>
          <w:footnotePr/>
          <w:endnotePr/>
          <w:type w:val="nextPage"/>
          <w:pgSz w:w="16838" w:h="11906" w:orient="landscape"/>
          <w:pgMar w:top="1701" w:right="1134" w:bottom="851" w:left="1134" w:header="709" w:footer="709" w:gutter="0"/>
          <w:cols w:num="1" w:sep="0" w:space="708" w:equalWidth="1"/>
          <w:docGrid w:linePitch="360"/>
        </w:sectPr>
      </w:pPr>
      <w:r/>
      <w:bookmarkStart w:id="0" w:name="_GoBack"/>
      <w:r/>
      <w:bookmarkEnd w:id="0"/>
      <w:r/>
      <w:r/>
    </w:p>
    <w:p>
      <w:r/>
    </w:p>
    <w:sectPr>
      <w:footnotePr/>
      <w:endnotePr/>
      <w:type w:val="nextPage"/>
      <w:pgSz w:w="11906" w:h="16838" w:orient="portrait"/>
      <w:pgMar w:top="1134" w:right="851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Tahoma">
    <w:panose1 w:val="020B0604030504040204"/>
  </w:font>
  <w:font w:name="Verdana">
    <w:panose1 w:val="020B0604030504040204"/>
  </w:font>
  <w:font w:name="Cambria">
    <w:panose1 w:val="0204050305040603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b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b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-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25"/>
    <w:next w:val="625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28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25"/>
    <w:next w:val="625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28"/>
    <w:link w:val="15"/>
    <w:uiPriority w:val="9"/>
    <w:rPr>
      <w:rFonts w:ascii="Arial" w:hAnsi="Arial" w:eastAsia="Arial" w:cs="Arial"/>
      <w:sz w:val="34"/>
    </w:rPr>
  </w:style>
  <w:style w:type="character" w:styleId="18">
    <w:name w:val="Heading 3 Char"/>
    <w:basedOn w:val="628"/>
    <w:link w:val="626"/>
    <w:uiPriority w:val="9"/>
    <w:rPr>
      <w:rFonts w:ascii="Arial" w:hAnsi="Arial" w:eastAsia="Arial" w:cs="Arial"/>
      <w:sz w:val="30"/>
      <w:szCs w:val="30"/>
    </w:rPr>
  </w:style>
  <w:style w:type="character" w:styleId="20">
    <w:name w:val="Heading 4 Char"/>
    <w:basedOn w:val="628"/>
    <w:link w:val="627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25"/>
    <w:next w:val="625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28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25"/>
    <w:next w:val="625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28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25"/>
    <w:next w:val="625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28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25"/>
    <w:next w:val="625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28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25"/>
    <w:next w:val="625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28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25"/>
    <w:next w:val="625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28"/>
    <w:link w:val="34"/>
    <w:uiPriority w:val="10"/>
    <w:rPr>
      <w:sz w:val="48"/>
      <w:szCs w:val="48"/>
    </w:rPr>
  </w:style>
  <w:style w:type="paragraph" w:styleId="36">
    <w:name w:val="Subtitle"/>
    <w:basedOn w:val="625"/>
    <w:next w:val="625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28"/>
    <w:link w:val="36"/>
    <w:uiPriority w:val="11"/>
    <w:rPr>
      <w:sz w:val="24"/>
      <w:szCs w:val="24"/>
    </w:rPr>
  </w:style>
  <w:style w:type="paragraph" w:styleId="38">
    <w:name w:val="Quote"/>
    <w:basedOn w:val="625"/>
    <w:next w:val="625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25"/>
    <w:next w:val="625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25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628"/>
    <w:link w:val="42"/>
    <w:uiPriority w:val="99"/>
  </w:style>
  <w:style w:type="paragraph" w:styleId="44">
    <w:name w:val="Footer"/>
    <w:basedOn w:val="625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628"/>
    <w:link w:val="44"/>
    <w:uiPriority w:val="99"/>
  </w:style>
  <w:style w:type="paragraph" w:styleId="46">
    <w:name w:val="Caption"/>
    <w:basedOn w:val="625"/>
    <w:next w:val="62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8">
    <w:name w:val="Table Grid"/>
    <w:basedOn w:val="62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2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2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2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25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28"/>
    <w:uiPriority w:val="99"/>
    <w:unhideWhenUsed/>
    <w:rPr>
      <w:vertAlign w:val="superscript"/>
    </w:rPr>
  </w:style>
  <w:style w:type="paragraph" w:styleId="178">
    <w:name w:val="endnote text"/>
    <w:basedOn w:val="625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28"/>
    <w:uiPriority w:val="99"/>
    <w:semiHidden/>
    <w:unhideWhenUsed/>
    <w:rPr>
      <w:vertAlign w:val="superscript"/>
    </w:rPr>
  </w:style>
  <w:style w:type="paragraph" w:styleId="181">
    <w:name w:val="toc 1"/>
    <w:basedOn w:val="625"/>
    <w:next w:val="625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25"/>
    <w:next w:val="625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25"/>
    <w:next w:val="625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25"/>
    <w:next w:val="625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25"/>
    <w:next w:val="625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25"/>
    <w:next w:val="625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25"/>
    <w:next w:val="625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25"/>
    <w:next w:val="625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25"/>
    <w:next w:val="625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25"/>
    <w:next w:val="625"/>
    <w:uiPriority w:val="99"/>
    <w:unhideWhenUsed/>
    <w:pPr>
      <w:spacing w:after="0" w:afterAutospacing="0"/>
    </w:pPr>
  </w:style>
  <w:style w:type="paragraph" w:styleId="625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626">
    <w:name w:val="Heading 3"/>
    <w:basedOn w:val="625"/>
    <w:next w:val="625"/>
    <w:link w:val="637"/>
    <w:qFormat/>
    <w:pPr>
      <w:keepNext/>
      <w:spacing w:before="240" w:after="60"/>
      <w:widowControl w:val="off"/>
      <w:outlineLvl w:val="2"/>
    </w:pPr>
    <w:rPr>
      <w:rFonts w:ascii="Cambria" w:hAnsi="Cambria"/>
      <w:b/>
      <w:bCs/>
      <w:sz w:val="26"/>
      <w:szCs w:val="26"/>
    </w:rPr>
  </w:style>
  <w:style w:type="paragraph" w:styleId="627">
    <w:name w:val="Heading 4"/>
    <w:basedOn w:val="625"/>
    <w:next w:val="625"/>
    <w:link w:val="631"/>
    <w:qFormat/>
    <w:pPr>
      <w:ind w:firstLine="709"/>
      <w:keepNext/>
      <w:outlineLvl w:val="3"/>
    </w:pPr>
    <w:rPr>
      <w:sz w:val="28"/>
    </w:rPr>
  </w:style>
  <w:style w:type="character" w:styleId="628" w:default="1">
    <w:name w:val="Default Paragraph Font"/>
    <w:uiPriority w:val="1"/>
    <w:semiHidden/>
    <w:unhideWhenUsed/>
  </w:style>
  <w:style w:type="table" w:styleId="62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30" w:default="1">
    <w:name w:val="No List"/>
    <w:uiPriority w:val="99"/>
    <w:semiHidden/>
    <w:unhideWhenUsed/>
  </w:style>
  <w:style w:type="character" w:styleId="631" w:customStyle="1">
    <w:name w:val="Заголовок 4 Знак"/>
    <w:basedOn w:val="628"/>
    <w:link w:val="627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632">
    <w:name w:val="List Paragraph"/>
    <w:basedOn w:val="625"/>
    <w:uiPriority w:val="34"/>
    <w:qFormat/>
    <w:pPr>
      <w:contextualSpacing/>
      <w:ind w:left="720"/>
    </w:pPr>
  </w:style>
  <w:style w:type="paragraph" w:styleId="633" w:customStyle="1">
    <w:name w:val="Знак Знак1 Знак Знак Знак Знак"/>
    <w:basedOn w:val="625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  <w:style w:type="paragraph" w:styleId="634">
    <w:name w:val="Normal (Web)"/>
    <w:basedOn w:val="625"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635" w:customStyle="1">
    <w:name w:val="Основной текст_"/>
    <w:link w:val="636"/>
    <w:rPr>
      <w:rFonts w:ascii="Times New Roman" w:hAnsi="Times New Roman" w:eastAsia="Times New Roman" w:cs="Times New Roman"/>
      <w:sz w:val="23"/>
      <w:szCs w:val="23"/>
      <w:shd w:val="clear" w:color="auto" w:fill="ffffff"/>
    </w:rPr>
  </w:style>
  <w:style w:type="paragraph" w:styleId="636" w:customStyle="1">
    <w:name w:val="Основной текст3"/>
    <w:basedOn w:val="625"/>
    <w:link w:val="635"/>
    <w:pPr>
      <w:jc w:val="both"/>
      <w:spacing w:line="274" w:lineRule="exact"/>
      <w:shd w:val="clear" w:color="auto" w:fill="ffffff"/>
      <w:widowControl w:val="off"/>
    </w:pPr>
    <w:rPr>
      <w:color w:val="auto"/>
      <w:sz w:val="23"/>
      <w:szCs w:val="23"/>
      <w:lang w:eastAsia="en-US"/>
    </w:rPr>
  </w:style>
  <w:style w:type="character" w:styleId="637" w:customStyle="1">
    <w:name w:val="Заголовок 3 Знак"/>
    <w:basedOn w:val="628"/>
    <w:link w:val="626"/>
    <w:rPr>
      <w:rFonts w:ascii="Cambria" w:hAnsi="Cambria" w:eastAsia="Times New Roman" w:cs="Times New Roman"/>
      <w:b/>
      <w:bCs/>
      <w:color w:val="000000"/>
      <w:sz w:val="26"/>
      <w:szCs w:val="26"/>
      <w:lang w:eastAsia="ru-RU"/>
    </w:rPr>
  </w:style>
  <w:style w:type="paragraph" w:styleId="638">
    <w:name w:val="Balloon Text"/>
    <w:basedOn w:val="625"/>
    <w:link w:val="639"/>
    <w:uiPriority w:val="99"/>
    <w:semiHidden/>
    <w:unhideWhenUsed/>
    <w:rPr>
      <w:rFonts w:ascii="Tahoma" w:hAnsi="Tahoma" w:cs="Tahoma"/>
      <w:sz w:val="16"/>
      <w:szCs w:val="16"/>
    </w:rPr>
  </w:style>
  <w:style w:type="character" w:styleId="639" w:customStyle="1">
    <w:name w:val="Текст выноски Знак"/>
    <w:basedOn w:val="628"/>
    <w:link w:val="638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paragraph" w:styleId="640" w:customStyle="1">
    <w:name w:val="Знак Знак1 Знак Знак Знак Знак"/>
    <w:basedOn w:val="625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  <w:style w:type="paragraph" w:styleId="641" w:customStyle="1">
    <w:name w:val="Знак Знак1 Знак Знак Знак Знак"/>
    <w:basedOn w:val="625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  <w:style w:type="character" w:styleId="642">
    <w:name w:val="Subtle Emphasis"/>
    <w:basedOn w:val="628"/>
    <w:uiPriority w:val="19"/>
    <w:qFormat/>
    <w:rPr>
      <w:i/>
      <w:iCs/>
      <w:color w:val="808080" w:themeColor="text1" w:themeTint="7F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EABF71-CD32-4B05-A689-9D204B2B9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3</cp:revision>
  <dcterms:created xsi:type="dcterms:W3CDTF">2024-03-21T11:26:00Z</dcterms:created>
  <dcterms:modified xsi:type="dcterms:W3CDTF">2024-04-03T06:31:18Z</dcterms:modified>
</cp:coreProperties>
</file>