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от </w:t>
      </w:r>
      <w:r>
        <w:rPr>
          <w:rFonts w:ascii="Times New Roman" w:hAnsi="Times New Roman" w:cs="Times New Roman"/>
          <w:b/>
          <w:color w:val="000000"/>
          <w:szCs w:val="20"/>
          <w:lang w:val="en-US"/>
        </w:rPr>
        <w:t xml:space="preserve">22</w:t>
      </w:r>
      <w:r>
        <w:rPr>
          <w:rFonts w:ascii="Times New Roman" w:hAnsi="Times New Roman" w:cs="Times New Roman"/>
          <w:b/>
          <w:color w:val="000000"/>
          <w:szCs w:val="20"/>
          <w:lang w:val="ru-RU"/>
        </w:rPr>
        <w:t xml:space="preserve">.</w:t>
      </w:r>
      <w:r>
        <w:rPr>
          <w:rFonts w:ascii="Times New Roman" w:hAnsi="Times New Roman" w:cs="Times New Roman"/>
          <w:b/>
          <w:color w:val="000000"/>
          <w:szCs w:val="20"/>
          <w:lang w:val="en-US"/>
        </w:rPr>
        <w:t xml:space="preserve">03</w:t>
      </w:r>
      <w:r>
        <w:rPr>
          <w:rFonts w:ascii="Times New Roman" w:hAnsi="Times New Roman" w:cs="Times New Roman"/>
          <w:b/>
          <w:color w:val="000000"/>
          <w:szCs w:val="20"/>
          <w:lang w:val="ru-RU"/>
        </w:rPr>
        <w:t xml:space="preserve">.</w:t>
      </w:r>
      <w:r>
        <w:rPr>
          <w:rFonts w:ascii="Times New Roman" w:hAnsi="Times New Roman" w:cs="Times New Roman"/>
          <w:b/>
          <w:color w:val="000000"/>
          <w:szCs w:val="20"/>
          <w:lang w:val="en-US"/>
        </w:rPr>
        <w:t xml:space="preserve">2024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№ 412</w:t>
      </w:r>
      <w:r>
        <w:rPr>
          <w:rFonts w:ascii="Times New Roman" w:hAnsi="Times New Roman" w:cs="Times New Roman"/>
          <w:b/>
          <w:color w:val="000000"/>
          <w:szCs w:val="20"/>
        </w:rPr>
      </w:r>
      <w:r>
        <w:rPr>
          <w:rFonts w:ascii="Times New Roman" w:hAnsi="Times New Roman" w:cs="Times New Roman"/>
          <w:b/>
          <w:color w:val="000000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п.г.т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постановление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администрации Печенгского муниципального округа 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 xml:space="preserve">от 14.04.2021 № 309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«Об утверждении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Положени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о премиях Главы Печенгского муниципального округа одаре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нным детям и учащейся молодежи»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актуализацией нормативного</w:t>
      </w:r>
      <w:r>
        <w:rPr>
          <w:rFonts w:ascii="Times New Roman" w:hAnsi="Times New Roman" w:cs="Times New Roman"/>
        </w:rPr>
        <w:t xml:space="preserve"> правового</w:t>
      </w:r>
      <w:r>
        <w:rPr>
          <w:rFonts w:ascii="Times New Roman" w:hAnsi="Times New Roman" w:cs="Times New Roman"/>
        </w:rPr>
        <w:t xml:space="preserve"> акта,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ПОСТАНОВЛЯЮ: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Внести в </w:t>
      </w:r>
      <w:r>
        <w:rPr>
          <w:rFonts w:ascii="Times New Roman" w:hAnsi="Times New Roman" w:cs="Times New Roman"/>
        </w:rPr>
        <w:t xml:space="preserve">постановление администрации Печенгского муниципального округа от 14.04.2021 № 309 «Об утверждении Положения о премиях Главы Печенгского муниципального округа одаренным детям и учащейся молодежи» </w:t>
      </w:r>
      <w:r>
        <w:rPr>
          <w:rFonts w:ascii="Times New Roman" w:hAnsi="Times New Roman" w:cs="Times New Roman"/>
        </w:rPr>
        <w:t xml:space="preserve">(в редакции </w:t>
      </w:r>
      <w:r>
        <w:rPr>
          <w:rFonts w:ascii="Times New Roman" w:hAnsi="Times New Roman" w:cs="Times New Roman"/>
        </w:rPr>
        <w:t xml:space="preserve">постановления администрации Печенгского муниципального округа </w:t>
      </w:r>
      <w:r>
        <w:rPr>
          <w:rFonts w:ascii="Times New Roman" w:hAnsi="Times New Roman" w:cs="Times New Roman"/>
        </w:rPr>
        <w:t xml:space="preserve">от 13.03.2023 № 401)</w:t>
      </w:r>
      <w:r>
        <w:rPr>
          <w:rFonts w:ascii="Times New Roman" w:hAnsi="Times New Roman" w:cs="Times New Roman"/>
        </w:rPr>
        <w:t xml:space="preserve"> (далее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</w:rPr>
        <w:t xml:space="preserve"> постановление</w:t>
      </w:r>
      <w:r>
        <w:rPr>
          <w:rFonts w:ascii="Times New Roman" w:hAnsi="Times New Roman" w:cs="Times New Roman"/>
        </w:rPr>
        <w:t xml:space="preserve">),</w:t>
      </w:r>
      <w:r>
        <w:rPr>
          <w:rFonts w:ascii="Times New Roman" w:hAnsi="Times New Roman" w:cs="Times New Roman"/>
        </w:rPr>
        <w:t xml:space="preserve"> следующие изменения: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1.1. В преамбуле </w:t>
      </w:r>
      <w:r>
        <w:rPr>
          <w:rFonts w:ascii="Times New Roman" w:hAnsi="Times New Roman" w:cs="Times New Roman"/>
          <w:bCs/>
        </w:rPr>
        <w:t xml:space="preserve">постановления </w:t>
      </w:r>
      <w:r>
        <w:rPr>
          <w:rFonts w:ascii="Times New Roman" w:hAnsi="Times New Roman" w:cs="Times New Roman"/>
          <w:bCs/>
        </w:rPr>
        <w:t xml:space="preserve">слова «</w:t>
      </w:r>
      <w:r>
        <w:rPr>
          <w:rFonts w:ascii="Times New Roman" w:hAnsi="Times New Roman" w:cs="Times New Roman"/>
          <w:bCs/>
        </w:rPr>
        <w:t xml:space="preserve">муниципальной программы «Развитие молодежной политики и взаимодействие с общественными организациями в Печенгском муниципальном округе»</w:t>
      </w:r>
      <w:r>
        <w:rPr>
          <w:rFonts w:ascii="Times New Roman" w:hAnsi="Times New Roman" w:cs="Times New Roman"/>
          <w:bCs/>
        </w:rPr>
        <w:t xml:space="preserve">» заменить словами «</w:t>
      </w:r>
      <w:r>
        <w:rPr>
          <w:rFonts w:ascii="Times New Roman" w:hAnsi="Times New Roman" w:cs="Times New Roman"/>
          <w:bCs/>
        </w:rPr>
        <w:t xml:space="preserve">муниципальной программ</w:t>
      </w:r>
      <w:r>
        <w:rPr>
          <w:rFonts w:ascii="Times New Roman" w:hAnsi="Times New Roman" w:cs="Times New Roman"/>
          <w:bCs/>
        </w:rPr>
        <w:t xml:space="preserve">ы</w:t>
      </w:r>
      <w:r>
        <w:rPr>
          <w:rFonts w:ascii="Times New Roman" w:hAnsi="Times New Roman" w:cs="Times New Roman"/>
          <w:bCs/>
        </w:rPr>
        <w:t xml:space="preserve"> Печенгского муниципального округа «Молодёжная политика»</w:t>
      </w:r>
      <w:r>
        <w:rPr>
          <w:rFonts w:ascii="Times New Roman" w:hAnsi="Times New Roman" w:cs="Times New Roman"/>
          <w:bCs/>
        </w:rPr>
        <w:t xml:space="preserve">».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875"/>
        <w:ind w:left="0" w:firstLine="709"/>
        <w:jc w:val="both"/>
        <w:widowControl/>
        <w:tabs>
          <w:tab w:val="left" w:pos="0" w:leader="none"/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</w:t>
      </w: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Положени</w:t>
      </w:r>
      <w:r>
        <w:rPr>
          <w:rFonts w:ascii="Times New Roman" w:hAnsi="Times New Roman" w:cs="Times New Roman"/>
        </w:rPr>
        <w:t xml:space="preserve">и</w:t>
      </w:r>
      <w:r>
        <w:rPr>
          <w:rFonts w:ascii="Times New Roman" w:hAnsi="Times New Roman" w:cs="Times New Roman"/>
        </w:rPr>
        <w:t xml:space="preserve"> о премиях Главы Печенгского муниципального округа одаренным детям и учащейся молодежи</w:t>
      </w:r>
      <w:r>
        <w:rPr>
          <w:rFonts w:ascii="Times New Roman" w:hAnsi="Times New Roman" w:cs="Times New Roman"/>
        </w:rPr>
        <w:t xml:space="preserve">, утвержденном вышеназванным постановлением</w:t>
      </w:r>
      <w:r>
        <w:rPr>
          <w:rFonts w:ascii="Times New Roman" w:hAnsi="Times New Roman" w:cs="Times New Roman"/>
        </w:rPr>
        <w:t xml:space="preserve"> (далее – Положение):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ункт</w:t>
      </w:r>
      <w:r>
        <w:rPr>
          <w:rFonts w:ascii="Times New Roman" w:hAnsi="Times New Roman" w:cs="Times New Roman"/>
        </w:rPr>
        <w:t xml:space="preserve">е </w:t>
      </w:r>
      <w:r>
        <w:rPr>
          <w:rFonts w:ascii="Times New Roman" w:hAnsi="Times New Roman" w:cs="Times New Roman"/>
        </w:rPr>
        <w:t xml:space="preserve">5.1</w:t>
      </w:r>
      <w:r>
        <w:rPr>
          <w:rFonts w:ascii="Times New Roman" w:hAnsi="Times New Roman" w:cs="Times New Roman"/>
        </w:rPr>
        <w:t xml:space="preserve"> раздела </w:t>
      </w:r>
      <w:r>
        <w:rPr>
          <w:rFonts w:ascii="Times New Roman" w:hAnsi="Times New Roman" w:cs="Times New Roman"/>
        </w:rPr>
        <w:t xml:space="preserve">5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оложения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слова «на 202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-202</w:t>
      </w:r>
      <w:r>
        <w:rPr>
          <w:rFonts w:ascii="Times New Roman" w:hAnsi="Times New Roman" w:cs="Times New Roman"/>
        </w:rPr>
        <w:t xml:space="preserve">4</w:t>
      </w:r>
      <w:r>
        <w:rPr>
          <w:rFonts w:ascii="Times New Roman" w:hAnsi="Times New Roman" w:cs="Times New Roman"/>
        </w:rPr>
        <w:t xml:space="preserve"> годы</w:t>
      </w:r>
      <w:r>
        <w:rPr>
          <w:rFonts w:ascii="Times New Roman" w:hAnsi="Times New Roman" w:cs="Times New Roman"/>
        </w:rPr>
        <w:t xml:space="preserve">»</w:t>
      </w:r>
      <w:r>
        <w:rPr>
          <w:rFonts w:ascii="Times New Roman" w:hAnsi="Times New Roman" w:cs="Times New Roman"/>
        </w:rPr>
        <w:t xml:space="preserve">»</w:t>
      </w:r>
      <w:r>
        <w:rPr>
          <w:rFonts w:ascii="Times New Roman" w:hAnsi="Times New Roman" w:cs="Times New Roman"/>
        </w:rPr>
        <w:t xml:space="preserve"> исключить;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</w:t>
      </w:r>
      <w:r>
        <w:rPr>
          <w:rFonts w:ascii="Times New Roman" w:hAnsi="Times New Roman" w:cs="Times New Roman"/>
        </w:rPr>
        <w:t xml:space="preserve"> приложении 2 к Положению с</w:t>
      </w:r>
      <w:r>
        <w:rPr>
          <w:rFonts w:ascii="Times New Roman" w:hAnsi="Times New Roman" w:cs="Times New Roman"/>
        </w:rPr>
        <w:t xml:space="preserve">лова «с 1 мая предыдущего года по 1 мая текущего года» </w:t>
      </w:r>
      <w:r>
        <w:rPr>
          <w:rFonts w:ascii="Times New Roman" w:hAnsi="Times New Roman" w:cs="Times New Roman"/>
        </w:rPr>
        <w:t xml:space="preserve">заменить словами «с 1 апреля предыдущего года по 1 апреля текущего года».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5"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Настоящее постановление вступ</w:t>
      </w:r>
      <w:r>
        <w:rPr>
          <w:rFonts w:ascii="Times New Roman" w:hAnsi="Times New Roman" w:cs="Times New Roman"/>
        </w:rPr>
        <w:t xml:space="preserve">ает в силу после его опубликования в газете «Печенга».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widowControl/>
        <w:tabs>
          <w:tab w:val="left" w:pos="567" w:leader="none"/>
          <w:tab w:val="left" w:pos="993" w:leader="none"/>
        </w:tabs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3. </w:t>
      </w:r>
      <w:r>
        <w:rPr>
          <w:rFonts w:ascii="Times New Roman" w:hAnsi="Times New Roman" w:cs="Times New Roman"/>
          <w:bCs/>
          <w:iCs/>
        </w:rPr>
        <w:t xml:space="preserve">Настоящее постановление подлежит размещению </w:t>
      </w:r>
      <w:r>
        <w:rPr>
          <w:rFonts w:ascii="Times New Roman" w:hAnsi="Times New Roman" w:cs="Times New Roman"/>
        </w:rPr>
        <w:t xml:space="preserve">на</w:t>
      </w:r>
      <w:r>
        <w:rPr>
          <w:rFonts w:ascii="Times New Roman" w:hAnsi="Times New Roman" w:cs="Times New Roman"/>
        </w:rPr>
        <w:t xml:space="preserve"> официальном</w:t>
      </w:r>
      <w:r>
        <w:rPr>
          <w:rFonts w:ascii="Times New Roman" w:hAnsi="Times New Roman" w:cs="Times New Roman"/>
        </w:rPr>
        <w:t xml:space="preserve"> сайте</w:t>
      </w:r>
      <w:r>
        <w:rPr>
          <w:rFonts w:ascii="Times New Roman" w:hAnsi="Times New Roman" w:cs="Times New Roman"/>
        </w:rPr>
        <w:t xml:space="preserve"> Печенгского муниципального округа </w:t>
      </w:r>
      <w:hyperlink r:id="rId10" w:tooltip="http://pechengamr.gov-murman.ru/" w:history="1">
        <w:r>
          <w:rPr>
            <w:rStyle w:val="877"/>
            <w:rFonts w:ascii="Times New Roman" w:hAnsi="Times New Roman" w:cs="Times New Roman"/>
            <w:color w:val="auto"/>
          </w:rPr>
          <w:t xml:space="preserve">http://pechengamr.gov-murman.ru/</w:t>
        </w:r>
      </w:hyperlink>
      <w:r>
        <w:rPr>
          <w:rFonts w:ascii="Times New Roman" w:hAnsi="Times New Roman" w:cs="Times New Roman"/>
          <w:bCs/>
          <w:iCs/>
        </w:rPr>
        <w:t xml:space="preserve">.</w:t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</w:p>
    <w:p>
      <w:pPr>
        <w:pStyle w:val="875"/>
        <w:ind w:left="426"/>
        <w:jc w:val="both"/>
        <w:widowControl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</w:t>
      </w:r>
      <w:r>
        <w:rPr>
          <w:rFonts w:ascii="Times New Roman" w:hAnsi="Times New Roman" w:cs="Times New Roman"/>
        </w:rPr>
        <w:t xml:space="preserve">лав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Печенгского </w:t>
      </w:r>
      <w:r>
        <w:rPr>
          <w:rFonts w:ascii="Times New Roman" w:hAnsi="Times New Roman" w:cs="Times New Roman"/>
        </w:rPr>
        <w:t xml:space="preserve">муниципального округа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А.В. Кузнецов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Style w:val="867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7"/>
          <w:rFonts w:ascii="Times New Roman" w:hAnsi="Times New Roman" w:cs="Times New Roman"/>
          <w:b w:val="0"/>
          <w:sz w:val="20"/>
          <w:szCs w:val="20"/>
        </w:rPr>
      </w:r>
      <w:r>
        <w:rPr>
          <w:rStyle w:val="867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7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7"/>
          <w:rFonts w:ascii="Times New Roman" w:hAnsi="Times New Roman" w:cs="Times New Roman"/>
          <w:b w:val="0"/>
          <w:sz w:val="20"/>
          <w:szCs w:val="20"/>
        </w:rPr>
      </w:r>
      <w:r>
        <w:rPr>
          <w:rStyle w:val="867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7"/>
          <w:rFonts w:ascii="Times New Roman" w:hAnsi="Times New Roman" w:cs="Times New Roman"/>
          <w:b w:val="0"/>
          <w:sz w:val="20"/>
          <w:szCs w:val="20"/>
        </w:rPr>
      </w:pPr>
      <w:r/>
      <w:bookmarkStart w:id="0" w:name="_GoBack"/>
      <w:r/>
      <w:bookmarkEnd w:id="0"/>
      <w:r>
        <w:rPr>
          <w:rStyle w:val="867"/>
          <w:rFonts w:ascii="Times New Roman" w:hAnsi="Times New Roman" w:cs="Times New Roman"/>
          <w:b w:val="0"/>
          <w:sz w:val="20"/>
          <w:szCs w:val="20"/>
        </w:rPr>
      </w:r>
      <w:r>
        <w:rPr>
          <w:rStyle w:val="867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7"/>
          <w:rFonts w:ascii="Times New Roman" w:hAnsi="Times New Roman" w:cs="Times New Roman"/>
          <w:b w:val="0"/>
          <w:sz w:val="20"/>
          <w:szCs w:val="20"/>
        </w:rPr>
      </w:pPr>
      <w:r>
        <w:rPr>
          <w:rStyle w:val="867"/>
          <w:rFonts w:ascii="Times New Roman" w:hAnsi="Times New Roman" w:cs="Times New Roman"/>
          <w:b w:val="0"/>
          <w:sz w:val="20"/>
          <w:szCs w:val="20"/>
        </w:rPr>
        <w:t xml:space="preserve">Большакова О.В.5-27-25</w:t>
      </w:r>
      <w:r>
        <w:rPr>
          <w:rStyle w:val="867"/>
          <w:rFonts w:ascii="Times New Roman" w:hAnsi="Times New Roman" w:cs="Times New Roman"/>
          <w:b w:val="0"/>
          <w:sz w:val="20"/>
          <w:szCs w:val="20"/>
        </w:rPr>
      </w:r>
      <w:r>
        <w:rPr>
          <w:rStyle w:val="867"/>
          <w:rFonts w:ascii="Times New Roman" w:hAnsi="Times New Roman" w:cs="Times New Roman"/>
          <w:b w:val="0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7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6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620" w:hanging="360"/>
      </w:pPr>
      <w:rPr>
        <w:rFonts w:hint="default" w:cs="Times New Roman"/>
        <w:b w:val="0"/>
        <w:bCs w:val="0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>
      <w:start w:val="7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 w:eastAsia="Times New Roman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7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9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1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3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5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7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9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1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30" w:hanging="360"/>
      </w:pPr>
      <w:rPr>
        <w:rFonts w:hint="default" w:ascii="Wingdings" w:hAnsi="Wingdings"/>
      </w:r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10"/>
  </w:num>
  <w:num w:numId="5">
    <w:abstractNumId w:val="2"/>
  </w:num>
  <w:num w:numId="6">
    <w:abstractNumId w:val="8"/>
  </w:num>
  <w:num w:numId="7">
    <w:abstractNumId w:val="9"/>
  </w:num>
  <w:num w:numId="8">
    <w:abstractNumId w:val="16"/>
  </w:num>
  <w:num w:numId="9">
    <w:abstractNumId w:val="7"/>
  </w:num>
  <w:num w:numId="10">
    <w:abstractNumId w:val="6"/>
  </w:num>
  <w:num w:numId="11">
    <w:abstractNumId w:val="12"/>
  </w:num>
  <w:num w:numId="12">
    <w:abstractNumId w:val="5"/>
  </w:num>
  <w:num w:numId="13">
    <w:abstractNumId w:val="14"/>
  </w:num>
  <w:num w:numId="14">
    <w:abstractNumId w:val="3"/>
  </w:num>
  <w:num w:numId="15">
    <w:abstractNumId w:val="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2"/>
    <w:next w:val="862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basedOn w:val="863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2"/>
    <w:next w:val="862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basedOn w:val="863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2"/>
    <w:next w:val="862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basedOn w:val="863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2"/>
    <w:next w:val="862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basedOn w:val="863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2"/>
    <w:next w:val="862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basedOn w:val="863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2"/>
    <w:next w:val="862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basedOn w:val="863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2"/>
    <w:next w:val="862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basedOn w:val="863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2"/>
    <w:next w:val="862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basedOn w:val="863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2"/>
    <w:next w:val="862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basedOn w:val="863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  <w:pPr>
      <w:spacing w:before="0" w:after="0" w:line="240" w:lineRule="auto"/>
    </w:pPr>
  </w:style>
  <w:style w:type="paragraph" w:styleId="707">
    <w:name w:val="Title"/>
    <w:basedOn w:val="862"/>
    <w:next w:val="862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3"/>
    <w:link w:val="707"/>
    <w:uiPriority w:val="10"/>
    <w:rPr>
      <w:sz w:val="48"/>
      <w:szCs w:val="48"/>
    </w:rPr>
  </w:style>
  <w:style w:type="paragraph" w:styleId="709">
    <w:name w:val="Subtitle"/>
    <w:basedOn w:val="862"/>
    <w:next w:val="862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3"/>
    <w:link w:val="709"/>
    <w:uiPriority w:val="11"/>
    <w:rPr>
      <w:sz w:val="24"/>
      <w:szCs w:val="24"/>
    </w:rPr>
  </w:style>
  <w:style w:type="paragraph" w:styleId="711">
    <w:name w:val="Quote"/>
    <w:basedOn w:val="862"/>
    <w:next w:val="862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2"/>
    <w:next w:val="862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character" w:styleId="715">
    <w:name w:val="Header Char"/>
    <w:basedOn w:val="863"/>
    <w:link w:val="878"/>
    <w:uiPriority w:val="99"/>
  </w:style>
  <w:style w:type="character" w:styleId="716">
    <w:name w:val="Footer Char"/>
    <w:basedOn w:val="863"/>
    <w:link w:val="880"/>
    <w:uiPriority w:val="99"/>
  </w:style>
  <w:style w:type="paragraph" w:styleId="717">
    <w:name w:val="Caption"/>
    <w:basedOn w:val="862"/>
    <w:next w:val="8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880"/>
    <w:uiPriority w:val="99"/>
  </w:style>
  <w:style w:type="table" w:styleId="719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9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0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1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2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3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4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1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2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3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4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5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6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3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4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5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6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7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8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1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2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3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4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5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6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7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8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9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0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1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2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3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4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6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7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8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9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9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0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1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2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3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4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5">
    <w:name w:val="footnote text"/>
    <w:basedOn w:val="862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>
    <w:name w:val="Footnote Text Char"/>
    <w:link w:val="845"/>
    <w:uiPriority w:val="99"/>
    <w:rPr>
      <w:sz w:val="18"/>
    </w:rPr>
  </w:style>
  <w:style w:type="character" w:styleId="847">
    <w:name w:val="footnote reference"/>
    <w:basedOn w:val="863"/>
    <w:uiPriority w:val="99"/>
    <w:unhideWhenUsed/>
    <w:rPr>
      <w:vertAlign w:val="superscript"/>
    </w:rPr>
  </w:style>
  <w:style w:type="paragraph" w:styleId="848">
    <w:name w:val="endnote text"/>
    <w:basedOn w:val="862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>
    <w:name w:val="Endnote Text Char"/>
    <w:link w:val="848"/>
    <w:uiPriority w:val="99"/>
    <w:rPr>
      <w:sz w:val="20"/>
    </w:rPr>
  </w:style>
  <w:style w:type="character" w:styleId="850">
    <w:name w:val="endnote reference"/>
    <w:basedOn w:val="863"/>
    <w:uiPriority w:val="99"/>
    <w:semiHidden/>
    <w:unhideWhenUsed/>
    <w:rPr>
      <w:vertAlign w:val="superscript"/>
    </w:rPr>
  </w:style>
  <w:style w:type="paragraph" w:styleId="851">
    <w:name w:val="toc 1"/>
    <w:basedOn w:val="862"/>
    <w:next w:val="862"/>
    <w:uiPriority w:val="39"/>
    <w:unhideWhenUsed/>
    <w:pPr>
      <w:ind w:left="0" w:right="0" w:firstLine="0"/>
      <w:spacing w:after="57"/>
    </w:pPr>
  </w:style>
  <w:style w:type="paragraph" w:styleId="852">
    <w:name w:val="toc 2"/>
    <w:basedOn w:val="862"/>
    <w:next w:val="862"/>
    <w:uiPriority w:val="39"/>
    <w:unhideWhenUsed/>
    <w:pPr>
      <w:ind w:left="283" w:right="0" w:firstLine="0"/>
      <w:spacing w:after="57"/>
    </w:pPr>
  </w:style>
  <w:style w:type="paragraph" w:styleId="853">
    <w:name w:val="toc 3"/>
    <w:basedOn w:val="862"/>
    <w:next w:val="862"/>
    <w:uiPriority w:val="39"/>
    <w:unhideWhenUsed/>
    <w:pPr>
      <w:ind w:left="567" w:right="0" w:firstLine="0"/>
      <w:spacing w:after="57"/>
    </w:pPr>
  </w:style>
  <w:style w:type="paragraph" w:styleId="854">
    <w:name w:val="toc 4"/>
    <w:basedOn w:val="862"/>
    <w:next w:val="862"/>
    <w:uiPriority w:val="39"/>
    <w:unhideWhenUsed/>
    <w:pPr>
      <w:ind w:left="850" w:right="0" w:firstLine="0"/>
      <w:spacing w:after="57"/>
    </w:pPr>
  </w:style>
  <w:style w:type="paragraph" w:styleId="855">
    <w:name w:val="toc 5"/>
    <w:basedOn w:val="862"/>
    <w:next w:val="862"/>
    <w:uiPriority w:val="39"/>
    <w:unhideWhenUsed/>
    <w:pPr>
      <w:ind w:left="1134" w:right="0" w:firstLine="0"/>
      <w:spacing w:after="57"/>
    </w:pPr>
  </w:style>
  <w:style w:type="paragraph" w:styleId="856">
    <w:name w:val="toc 6"/>
    <w:basedOn w:val="862"/>
    <w:next w:val="862"/>
    <w:uiPriority w:val="39"/>
    <w:unhideWhenUsed/>
    <w:pPr>
      <w:ind w:left="1417" w:right="0" w:firstLine="0"/>
      <w:spacing w:after="57"/>
    </w:pPr>
  </w:style>
  <w:style w:type="paragraph" w:styleId="857">
    <w:name w:val="toc 7"/>
    <w:basedOn w:val="862"/>
    <w:next w:val="862"/>
    <w:uiPriority w:val="39"/>
    <w:unhideWhenUsed/>
    <w:pPr>
      <w:ind w:left="1701" w:right="0" w:firstLine="0"/>
      <w:spacing w:after="57"/>
    </w:pPr>
  </w:style>
  <w:style w:type="paragraph" w:styleId="858">
    <w:name w:val="toc 8"/>
    <w:basedOn w:val="862"/>
    <w:next w:val="862"/>
    <w:uiPriority w:val="39"/>
    <w:unhideWhenUsed/>
    <w:pPr>
      <w:ind w:left="1984" w:right="0" w:firstLine="0"/>
      <w:spacing w:after="57"/>
    </w:pPr>
  </w:style>
  <w:style w:type="paragraph" w:styleId="859">
    <w:name w:val="toc 9"/>
    <w:basedOn w:val="862"/>
    <w:next w:val="862"/>
    <w:uiPriority w:val="39"/>
    <w:unhideWhenUsed/>
    <w:pPr>
      <w:ind w:left="2268" w:right="0" w:firstLine="0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862"/>
    <w:next w:val="862"/>
    <w:uiPriority w:val="99"/>
    <w:unhideWhenUsed/>
    <w:pPr>
      <w:spacing w:after="0" w:afterAutospacing="0"/>
    </w:pPr>
  </w:style>
  <w:style w:type="paragraph" w:styleId="862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paragraph" w:styleId="866" w:customStyle="1">
    <w:name w:val="Style3"/>
    <w:basedOn w:val="862"/>
    <w:pPr>
      <w:jc w:val="center"/>
      <w:spacing w:line="278" w:lineRule="exact"/>
    </w:pPr>
  </w:style>
  <w:style w:type="character" w:styleId="867" w:customStyle="1">
    <w:name w:val="Font Style14"/>
    <w:rPr>
      <w:rFonts w:ascii="Bookman Old Style" w:hAnsi="Bookman Old Style"/>
      <w:b/>
      <w:sz w:val="22"/>
    </w:rPr>
  </w:style>
  <w:style w:type="paragraph" w:styleId="868">
    <w:name w:val="Balloon Text"/>
    <w:basedOn w:val="862"/>
    <w:link w:val="869"/>
    <w:uiPriority w:val="99"/>
    <w:semiHidden/>
    <w:unhideWhenUsed/>
    <w:rPr>
      <w:rFonts w:ascii="Tahoma" w:hAnsi="Tahoma" w:cs="Tahoma"/>
      <w:sz w:val="16"/>
      <w:szCs w:val="16"/>
    </w:rPr>
  </w:style>
  <w:style w:type="character" w:styleId="869" w:customStyle="1">
    <w:name w:val="Текст выноски Знак"/>
    <w:basedOn w:val="863"/>
    <w:link w:val="86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70" w:customStyle="1">
    <w:name w:val="Font Style13"/>
    <w:rPr>
      <w:rFonts w:ascii="Bookman Old Style" w:hAnsi="Bookman Old Style"/>
      <w:sz w:val="22"/>
    </w:rPr>
  </w:style>
  <w:style w:type="paragraph" w:styleId="871" w:customStyle="1">
    <w:name w:val="Style7"/>
    <w:basedOn w:val="862"/>
    <w:pPr>
      <w:ind w:firstLine="739"/>
      <w:jc w:val="both"/>
      <w:spacing w:line="281" w:lineRule="exact"/>
    </w:pPr>
  </w:style>
  <w:style w:type="paragraph" w:styleId="872" w:customStyle="1">
    <w:name w:val="Style8"/>
    <w:basedOn w:val="862"/>
    <w:pPr>
      <w:ind w:firstLine="739"/>
      <w:jc w:val="both"/>
      <w:spacing w:line="288" w:lineRule="exact"/>
    </w:pPr>
  </w:style>
  <w:style w:type="paragraph" w:styleId="873" w:customStyle="1">
    <w:name w:val="Style6"/>
    <w:basedOn w:val="862"/>
    <w:pPr>
      <w:ind w:firstLine="110"/>
      <w:spacing w:line="288" w:lineRule="exact"/>
    </w:pPr>
  </w:style>
  <w:style w:type="paragraph" w:styleId="874" w:customStyle="1">
    <w:name w:val="Абзац списка1"/>
    <w:basedOn w:val="862"/>
    <w:pPr>
      <w:ind w:left="720"/>
    </w:pPr>
  </w:style>
  <w:style w:type="paragraph" w:styleId="875">
    <w:name w:val="List Paragraph"/>
    <w:basedOn w:val="862"/>
    <w:uiPriority w:val="34"/>
    <w:qFormat/>
    <w:pPr>
      <w:contextualSpacing/>
      <w:ind w:left="720"/>
    </w:pPr>
  </w:style>
  <w:style w:type="paragraph" w:styleId="876" w:customStyle="1">
    <w:name w:val="Абзац списка2"/>
    <w:basedOn w:val="862"/>
    <w:pPr>
      <w:ind w:left="720"/>
      <w:spacing w:after="200" w:line="276" w:lineRule="auto"/>
      <w:widowControl/>
    </w:pPr>
    <w:rPr>
      <w:rFonts w:ascii="Calibri" w:hAnsi="Calibri" w:cs="Times New Roman"/>
      <w:sz w:val="22"/>
      <w:szCs w:val="22"/>
      <w:lang w:eastAsia="en-US"/>
    </w:rPr>
  </w:style>
  <w:style w:type="character" w:styleId="877">
    <w:name w:val="Hyperlink"/>
    <w:uiPriority w:val="99"/>
    <w:unhideWhenUsed/>
    <w:rPr>
      <w:color w:val="0000ff"/>
      <w:u w:val="single"/>
    </w:rPr>
  </w:style>
  <w:style w:type="paragraph" w:styleId="878">
    <w:name w:val="Header"/>
    <w:basedOn w:val="862"/>
    <w:link w:val="87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9" w:customStyle="1">
    <w:name w:val="Верхний колонтитул Знак"/>
    <w:basedOn w:val="863"/>
    <w:link w:val="878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paragraph" w:styleId="880">
    <w:name w:val="Footer"/>
    <w:basedOn w:val="862"/>
    <w:link w:val="88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1" w:customStyle="1">
    <w:name w:val="Нижний колонтитул Знак"/>
    <w:basedOn w:val="863"/>
    <w:link w:val="880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revision>18</cp:revision>
  <dcterms:created xsi:type="dcterms:W3CDTF">2024-03-07T05:50:00Z</dcterms:created>
  <dcterms:modified xsi:type="dcterms:W3CDTF">2024-04-03T06:32:01Z</dcterms:modified>
</cp:coreProperties>
</file>