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</w:t>
      </w:r>
      <w:r>
        <w:rPr>
          <w:b/>
        </w:rPr>
        <w:t xml:space="preserve">т</w:t>
      </w:r>
      <w:r>
        <w:rPr>
          <w:b/>
        </w:rPr>
        <w:t xml:space="preserve"> </w:t>
      </w:r>
      <w:r>
        <w:rPr>
          <w:b/>
        </w:rPr>
        <w:t xml:space="preserve">14.03.2024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 xml:space="preserve"> </w:t>
      </w:r>
      <w:r>
        <w:rPr>
          <w:b/>
        </w:rPr>
        <w:t xml:space="preserve"> № 385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</w:t>
      </w:r>
      <w:r>
        <w:rPr>
          <w:b/>
          <w:sz w:val="20"/>
          <w:szCs w:val="20"/>
        </w:rPr>
        <w:t xml:space="preserve"> внесении изменений в</w:t>
      </w:r>
      <w:r>
        <w:rPr>
          <w:b/>
          <w:sz w:val="20"/>
          <w:szCs w:val="20"/>
        </w:rPr>
        <w:t xml:space="preserve"> муниципальн</w:t>
      </w:r>
      <w:r>
        <w:rPr>
          <w:b/>
          <w:sz w:val="20"/>
          <w:szCs w:val="20"/>
        </w:rPr>
        <w:t xml:space="preserve">ую</w:t>
      </w:r>
      <w:r>
        <w:rPr>
          <w:b/>
          <w:sz w:val="20"/>
          <w:szCs w:val="20"/>
        </w:rPr>
        <w:t xml:space="preserve"> программ</w:t>
      </w:r>
      <w:r>
        <w:rPr>
          <w:b/>
          <w:sz w:val="20"/>
          <w:szCs w:val="20"/>
        </w:rPr>
        <w:t xml:space="preserve">у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Печенгского муниципального </w:t>
      </w:r>
      <w:r>
        <w:rPr>
          <w:b/>
          <w:sz w:val="20"/>
          <w:szCs w:val="20"/>
        </w:rPr>
        <w:t xml:space="preserve">округа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«Физическая культура</w:t>
      </w:r>
      <w:r>
        <w:rPr>
          <w:b/>
          <w:sz w:val="20"/>
          <w:szCs w:val="20"/>
        </w:rPr>
        <w:t xml:space="preserve"> и спорт» на 202</w:t>
      </w:r>
      <w:r>
        <w:rPr>
          <w:b/>
          <w:sz w:val="20"/>
          <w:szCs w:val="20"/>
        </w:rPr>
        <w:t xml:space="preserve">4</w:t>
      </w:r>
      <w:r>
        <w:rPr>
          <w:b/>
          <w:sz w:val="20"/>
          <w:szCs w:val="20"/>
        </w:rPr>
        <w:t xml:space="preserve">-202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администрации Печенгского мун</w:t>
      </w:r>
      <w:r>
        <w:rPr>
          <w:b/>
          <w:sz w:val="20"/>
          <w:szCs w:val="20"/>
        </w:rPr>
        <w:t xml:space="preserve">иципального округа от 03.11.202</w:t>
      </w:r>
      <w:r>
        <w:rPr>
          <w:b/>
          <w:sz w:val="20"/>
          <w:szCs w:val="20"/>
        </w:rPr>
        <w:t xml:space="preserve">3</w:t>
      </w:r>
      <w:r>
        <w:rPr>
          <w:b/>
          <w:sz w:val="20"/>
          <w:szCs w:val="20"/>
        </w:rPr>
        <w:t xml:space="preserve"> №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1</w:t>
      </w:r>
      <w:r>
        <w:rPr>
          <w:b/>
          <w:sz w:val="20"/>
          <w:szCs w:val="20"/>
        </w:rPr>
        <w:t xml:space="preserve">626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spacing w:val="1"/>
          <w:sz w:val="20"/>
        </w:rPr>
      </w:pPr>
      <w:r>
        <w:rPr>
          <w:spacing w:val="1"/>
          <w:sz w:val="20"/>
        </w:rPr>
      </w:r>
      <w:r>
        <w:rPr>
          <w:spacing w:val="1"/>
          <w:sz w:val="20"/>
        </w:rPr>
      </w:r>
      <w:r>
        <w:rPr>
          <w:spacing w:val="1"/>
          <w:sz w:val="20"/>
        </w:rPr>
      </w:r>
    </w:p>
    <w:p>
      <w:pPr>
        <w:jc w:val="center"/>
        <w:tabs>
          <w:tab w:val="left" w:pos="709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Руководствуясь статьей 179 Бюджетного </w:t>
      </w:r>
      <w:r>
        <w:rPr>
          <w:color w:val="000000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2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</w:pPr>
      <w:r/>
      <w:r/>
    </w:p>
    <w:p>
      <w:pPr>
        <w:pStyle w:val="922"/>
        <w:numPr>
          <w:ilvl w:val="0"/>
          <w:numId w:val="25"/>
        </w:numPr>
        <w:ind w:left="0" w:right="-5" w:firstLine="705"/>
        <w:jc w:val="both"/>
        <w:widowControl w:val="off"/>
        <w:rPr>
          <w:rFonts w:eastAsia="Calibri"/>
        </w:rPr>
      </w:pPr>
      <w:r>
        <w:rPr>
          <w:rFonts w:eastAsia="Calibri"/>
        </w:rPr>
        <w:t xml:space="preserve">Внести в муниципальную программу Печенгского муниципального округа </w:t>
      </w:r>
      <w:r>
        <w:rPr>
          <w:rFonts w:eastAsia="Calibri"/>
        </w:rPr>
        <w:t xml:space="preserve">«Физическая культура и спорт» </w:t>
      </w:r>
      <w:r>
        <w:rPr>
          <w:rFonts w:eastAsia="Calibri"/>
        </w:rPr>
        <w:t xml:space="preserve">на 202</w:t>
      </w:r>
      <w:r>
        <w:rPr>
          <w:rFonts w:eastAsia="Calibri"/>
        </w:rPr>
        <w:t xml:space="preserve">4</w:t>
      </w:r>
      <w:r>
        <w:rPr>
          <w:rFonts w:eastAsia="Calibri"/>
        </w:rPr>
        <w:t xml:space="preserve">-202</w:t>
      </w:r>
      <w:r>
        <w:rPr>
          <w:rFonts w:eastAsia="Calibri"/>
        </w:rPr>
        <w:t xml:space="preserve">6</w:t>
      </w:r>
      <w:r>
        <w:rPr>
          <w:rFonts w:eastAsia="Calibri"/>
        </w:rPr>
        <w:t xml:space="preserve"> годы, утвержденную постановлением </w:t>
      </w:r>
      <w:r>
        <w:rPr>
          <w:rFonts w:eastAsia="Calibri"/>
          <w:bCs/>
        </w:rPr>
        <w:t xml:space="preserve">администрации Печенгс</w:t>
      </w:r>
      <w:r>
        <w:rPr>
          <w:rFonts w:eastAsia="Calibri"/>
          <w:bCs/>
        </w:rPr>
        <w:t xml:space="preserve">кого муниципального округа от 03.11.202</w:t>
      </w:r>
      <w:r>
        <w:rPr>
          <w:rFonts w:eastAsia="Calibri"/>
          <w:bCs/>
        </w:rPr>
        <w:t xml:space="preserve">3</w:t>
      </w:r>
      <w:r>
        <w:rPr>
          <w:rFonts w:eastAsia="Calibri"/>
          <w:bCs/>
        </w:rPr>
        <w:t xml:space="preserve"> </w:t>
      </w:r>
      <w:r>
        <w:rPr>
          <w:rFonts w:eastAsia="Calibri"/>
          <w:bCs/>
        </w:rPr>
        <w:t xml:space="preserve">№ 1</w:t>
      </w:r>
      <w:r>
        <w:rPr>
          <w:rFonts w:eastAsia="Calibri"/>
          <w:bCs/>
        </w:rPr>
        <w:t xml:space="preserve">626</w:t>
      </w:r>
      <w:r>
        <w:rPr>
          <w:rFonts w:eastAsia="Calibri"/>
          <w:bCs/>
        </w:rPr>
        <w:t xml:space="preserve"> (в редакции постановления администрации Печенгского муниципального округа от 20.02.2024 № 272) </w:t>
      </w:r>
      <w:r>
        <w:rPr>
          <w:rFonts w:eastAsia="Calibri"/>
          <w:bCs/>
        </w:rPr>
        <w:t xml:space="preserve"> (далее – Программа)</w:t>
      </w:r>
      <w:r>
        <w:rPr>
          <w:rFonts w:eastAsia="Calibri"/>
        </w:rPr>
        <w:t xml:space="preserve">, следующие изменения:</w:t>
      </w:r>
      <w:r>
        <w:rPr>
          <w:rFonts w:eastAsia="Calibri"/>
        </w:rPr>
      </w:r>
      <w:r>
        <w:rPr>
          <w:rFonts w:eastAsia="Calibri"/>
        </w:rPr>
      </w:r>
    </w:p>
    <w:p>
      <w:pPr>
        <w:ind w:right="-5"/>
        <w:jc w:val="both"/>
        <w:widowControl w:val="off"/>
        <w:tabs>
          <w:tab w:val="left" w:pos="851" w:leader="none"/>
        </w:tabs>
        <w:rPr>
          <w:rFonts w:eastAsia="Calibri"/>
        </w:rPr>
      </w:pPr>
      <w:r>
        <w:rPr>
          <w:rFonts w:eastAsia="Calibri"/>
        </w:rPr>
        <w:t xml:space="preserve">           </w:t>
      </w:r>
      <w:r>
        <w:rPr>
          <w:rFonts w:eastAsia="Calibri"/>
        </w:rPr>
        <w:t xml:space="preserve">- строку «</w:t>
      </w:r>
      <w:r>
        <w:rPr>
          <w:rFonts w:eastAsia="Calibri"/>
        </w:rPr>
        <w:t xml:space="preserve">Показатели</w:t>
      </w:r>
      <w:r>
        <w:rPr>
          <w:rFonts w:eastAsia="Calibri"/>
        </w:rPr>
        <w:t xml:space="preserve"> программы» в паспорте Программы </w:t>
      </w:r>
      <w:r>
        <w:rPr>
          <w:rFonts w:eastAsia="Calibri"/>
        </w:rPr>
        <w:t xml:space="preserve">дополнить пунктом 12</w:t>
      </w:r>
      <w:r>
        <w:rPr>
          <w:rFonts w:eastAsia="Calibri"/>
        </w:rPr>
        <w:t xml:space="preserve"> следующ</w:t>
      </w:r>
      <w:r>
        <w:rPr>
          <w:rFonts w:eastAsia="Calibri"/>
        </w:rPr>
        <w:t xml:space="preserve">его содержания</w:t>
      </w:r>
      <w:r>
        <w:rPr>
          <w:rFonts w:eastAsia="Calibri"/>
        </w:rPr>
        <w:t xml:space="preserve">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1"/>
        <w:gridCol w:w="6964"/>
      </w:tblGrid>
      <w:tr>
        <w:tblPrEx/>
        <w:trPr>
          <w:trHeight w:val="542"/>
        </w:trPr>
        <w:tc>
          <w:tcPr>
            <w:tcW w:w="1278" w:type="pct"/>
            <w:textDirection w:val="lrTb"/>
            <w:noWrap w:val="false"/>
          </w:tcPr>
          <w:p>
            <w:pPr>
              <w:widowControl w:val="off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3722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«12. </w:t>
            </w:r>
            <w:r>
              <w:rPr>
                <w:rFonts w:eastAsia="Calibri"/>
                <w:lang w:eastAsia="en-US"/>
              </w:rPr>
              <w:t xml:space="preserve">Количество объектов</w:t>
            </w:r>
            <w:r>
              <w:rPr>
                <w:rFonts w:eastAsia="Calibri"/>
                <w:lang w:eastAsia="en-US"/>
              </w:rPr>
              <w:t xml:space="preserve">, реализованных в рамках </w:t>
            </w:r>
            <w:r>
              <w:rPr>
                <w:rFonts w:eastAsia="Calibri"/>
                <w:lang w:eastAsia="en-US"/>
              </w:rPr>
              <w:t xml:space="preserve"> инициативного проекта «Откр</w:t>
            </w:r>
            <w:r>
              <w:rPr>
                <w:rFonts w:eastAsia="Calibri"/>
                <w:lang w:eastAsia="en-US"/>
              </w:rPr>
              <w:t xml:space="preserve">ытый лё</w:t>
            </w:r>
            <w:r>
              <w:rPr>
                <w:rFonts w:eastAsia="Calibri"/>
                <w:lang w:eastAsia="en-US"/>
              </w:rPr>
              <w:t xml:space="preserve">д»</w:t>
            </w:r>
            <w:r>
              <w:rPr>
                <w:rFonts w:eastAsia="Calibri"/>
                <w:lang w:eastAsia="en-US"/>
              </w:rPr>
              <w:t xml:space="preserve">.</w:t>
            </w:r>
            <w:r>
              <w:rPr>
                <w:rFonts w:eastAsia="Calibri"/>
                <w:lang w:eastAsia="en-US"/>
              </w:rPr>
              <w:t xml:space="preserve">»</w:t>
            </w:r>
            <w:r>
              <w:rPr>
                <w:rFonts w:eastAsia="Calibri"/>
                <w:lang w:eastAsia="en-US"/>
              </w:rPr>
              <w:t xml:space="preserve">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ind w:right="-5"/>
        <w:jc w:val="both"/>
        <w:widowControl w:val="off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строку «Финансовое обеспечение программы» в паспорте П</w:t>
      </w:r>
      <w:r>
        <w:rPr>
          <w:rFonts w:eastAsia="Calibri"/>
        </w:rPr>
        <w:t xml:space="preserve">рограммы изложить в следующей ре</w:t>
      </w:r>
      <w:r>
        <w:rPr>
          <w:rFonts w:eastAsia="Calibri"/>
        </w:rPr>
        <w:t xml:space="preserve">дакции: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1"/>
        <w:gridCol w:w="6964"/>
      </w:tblGrid>
      <w:tr>
        <w:tblPrEx/>
        <w:trPr>
          <w:trHeight w:val="542"/>
        </w:trPr>
        <w:tc>
          <w:tcPr>
            <w:tcW w:w="1278" w:type="pct"/>
            <w:textDirection w:val="lrTb"/>
            <w:noWrap w:val="false"/>
          </w:tcPr>
          <w:p>
            <w:pPr>
              <w:widowControl w:val="off"/>
              <w:rPr>
                <w:highlight w:val="yellow"/>
              </w:rPr>
            </w:pPr>
            <w:r>
              <w:t xml:space="preserve">«</w:t>
            </w:r>
            <w:r>
              <w:t xml:space="preserve">Финансовое обеспечение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3722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Всего по программе: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 xml:space="preserve">328</w:t>
            </w:r>
            <w:r>
              <w:rPr>
                <w:rFonts w:eastAsia="Calibri"/>
                <w:b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 xml:space="preserve">598,8</w:t>
            </w:r>
            <w:r>
              <w:rPr>
                <w:rFonts w:eastAsia="Calibri"/>
                <w:b/>
                <w:lang w:eastAsia="en-US"/>
              </w:rPr>
              <w:t xml:space="preserve"> тыс. рублей, 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ФБ: 0,0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</w:t>
            </w:r>
            <w:r>
              <w:rPr>
                <w:rFonts w:eastAsia="Calibri"/>
                <w:lang w:eastAsia="en-US"/>
              </w:rPr>
              <w:t xml:space="preserve">4</w:t>
            </w:r>
            <w:r>
              <w:rPr>
                <w:rFonts w:eastAsia="Calibri"/>
                <w:lang w:eastAsia="en-US"/>
              </w:rPr>
              <w:t xml:space="preserve"> год: 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0,0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ОБ: </w:t>
            </w:r>
            <w:r>
              <w:rPr>
                <w:rFonts w:eastAsia="Calibri"/>
                <w:lang w:eastAsia="en-US"/>
              </w:rPr>
              <w:t xml:space="preserve">87331,0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35431,2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25438,2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26461,6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МБ: </w:t>
            </w:r>
            <w:r>
              <w:rPr>
                <w:rFonts w:eastAsia="Calibri"/>
                <w:lang w:eastAsia="en-US"/>
              </w:rPr>
              <w:t xml:space="preserve">203867,3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72483,8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65371,1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6</w:t>
            </w:r>
            <w:r>
              <w:rPr>
                <w:rFonts w:eastAsia="Calibri"/>
                <w:lang w:eastAsia="en-US"/>
              </w:rPr>
              <w:t xml:space="preserve">6012,4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ВБС: </w:t>
            </w:r>
            <w:r>
              <w:rPr>
                <w:rFonts w:eastAsia="Calibri"/>
                <w:lang w:eastAsia="en-US"/>
              </w:rPr>
              <w:t xml:space="preserve">37400,5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</w:t>
            </w:r>
            <w:r>
              <w:rPr>
                <w:rFonts w:eastAsia="Calibri"/>
                <w:lang w:eastAsia="en-US"/>
              </w:rPr>
              <w:t xml:space="preserve"> год: 1</w:t>
            </w:r>
            <w:r>
              <w:rPr>
                <w:rFonts w:eastAsia="Calibri"/>
                <w:lang w:eastAsia="en-US"/>
              </w:rPr>
              <w:t xml:space="preserve">3000,5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1</w:t>
            </w:r>
            <w:r>
              <w:rPr>
                <w:rFonts w:eastAsia="Calibri"/>
                <w:lang w:eastAsia="en-US"/>
              </w:rPr>
              <w:t xml:space="preserve">22</w:t>
            </w:r>
            <w:r>
              <w:rPr>
                <w:rFonts w:eastAsia="Calibri"/>
                <w:lang w:eastAsia="en-US"/>
              </w:rPr>
              <w:t xml:space="preserve">00,0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1</w:t>
            </w:r>
            <w:r>
              <w:rPr>
                <w:rFonts w:eastAsia="Calibri"/>
                <w:lang w:eastAsia="en-US"/>
              </w:rPr>
              <w:t xml:space="preserve">22</w:t>
            </w:r>
            <w:r>
              <w:rPr>
                <w:rFonts w:eastAsia="Calibri"/>
                <w:lang w:eastAsia="en-US"/>
              </w:rPr>
              <w:t xml:space="preserve">00,0 тыс. рублей.</w:t>
            </w:r>
            <w:r>
              <w:rPr>
                <w:rFonts w:eastAsia="Calibri"/>
                <w:lang w:eastAsia="en-US"/>
              </w:rPr>
              <w:t xml:space="preserve">»;</w:t>
            </w:r>
            <w:r>
              <w:rPr>
                <w:rFonts w:eastAsia="Calibri"/>
                <w:highlight w:val="yellow"/>
                <w:lang w:eastAsia="en-US"/>
              </w:rPr>
            </w:r>
            <w:r>
              <w:rPr>
                <w:rFonts w:eastAsia="Calibri"/>
                <w:highlight w:val="yellow"/>
                <w:lang w:eastAsia="en-US"/>
              </w:rPr>
            </w:r>
          </w:p>
        </w:tc>
      </w:tr>
    </w:tbl>
    <w:p>
      <w:pPr>
        <w:jc w:val="both"/>
        <w:tabs>
          <w:tab w:val="left" w:pos="2149" w:leader="none"/>
        </w:tabs>
      </w:pPr>
      <w:r>
        <w:t xml:space="preserve"> </w:t>
      </w:r>
      <w:r/>
    </w:p>
    <w:p>
      <w:pPr>
        <w:jc w:val="both"/>
        <w:tabs>
          <w:tab w:val="left" w:pos="2149" w:leader="none"/>
        </w:tabs>
      </w:pPr>
      <w:r>
        <w:t xml:space="preserve">        </w:t>
      </w:r>
      <w:r>
        <w:t xml:space="preserve">- строки </w:t>
      </w:r>
      <w:r>
        <w:t xml:space="preserve">2.2, </w:t>
      </w:r>
      <w:r>
        <w:t xml:space="preserve">2.3</w:t>
      </w:r>
      <w:r>
        <w:t xml:space="preserve"> и 2.7</w:t>
      </w:r>
      <w:r>
        <w:t xml:space="preserve">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</w:t>
      </w:r>
      <w:r>
        <w:t xml:space="preserve">(далее - таблица раздела 2) </w:t>
      </w:r>
      <w:r>
        <w:t xml:space="preserve">Программы изложить в следующей редакции: </w:t>
      </w:r>
      <w:r/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552"/>
        <w:gridCol w:w="567"/>
        <w:gridCol w:w="850"/>
        <w:gridCol w:w="851"/>
        <w:gridCol w:w="850"/>
        <w:gridCol w:w="851"/>
        <w:gridCol w:w="850"/>
        <w:gridCol w:w="1276"/>
      </w:tblGrid>
      <w:tr>
        <w:tblPrEx/>
        <w:trPr>
          <w:trHeight w:val="49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Число посещений МБУ «СК «Металлург»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38809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42935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43744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43764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43764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Отчеты учреждений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3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Число посещений МБУ «СК «Дельфин»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45159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48328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64986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64998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64998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населения, регулярно занимающегося физической культурой и спортом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47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48,7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64,3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64,5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64,5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Стат. форма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1–ФК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2.7.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физкультурных и спортивных мероприятий направленных на популяризацию здорового образа жизни среди различных слоев населения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70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70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70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Стат. форма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1-ФК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tabs>
          <w:tab w:val="left" w:pos="2149" w:leader="none"/>
        </w:tabs>
      </w:pPr>
      <w:r/>
      <w:r/>
    </w:p>
    <w:p>
      <w:pPr>
        <w:jc w:val="both"/>
        <w:tabs>
          <w:tab w:val="left" w:pos="2149" w:leader="none"/>
        </w:tabs>
      </w:pPr>
      <w:r>
        <w:t xml:space="preserve"> </w:t>
      </w:r>
      <w:r>
        <w:t xml:space="preserve">           </w:t>
      </w:r>
      <w:r>
        <w:t xml:space="preserve"> - таблицу раздела 2 </w:t>
      </w:r>
      <w:r>
        <w:t xml:space="preserve">Программы дополнить пунктом 2.11</w:t>
      </w:r>
      <w:r>
        <w:t xml:space="preserve"> следующего содержания: </w:t>
      </w:r>
      <w:r/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552"/>
        <w:gridCol w:w="567"/>
        <w:gridCol w:w="850"/>
        <w:gridCol w:w="851"/>
        <w:gridCol w:w="850"/>
        <w:gridCol w:w="851"/>
        <w:gridCol w:w="850"/>
        <w:gridCol w:w="1276"/>
      </w:tblGrid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«2.11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объектов</w:t>
            </w:r>
            <w:r>
              <w:rPr>
                <w:sz w:val="20"/>
                <w:szCs w:val="20"/>
              </w:rPr>
              <w:t xml:space="preserve">, реализованных в рамках </w:t>
            </w:r>
            <w:r>
              <w:rPr>
                <w:sz w:val="20"/>
                <w:szCs w:val="20"/>
              </w:rPr>
              <w:t xml:space="preserve"> ин</w:t>
            </w:r>
            <w:r>
              <w:rPr>
                <w:sz w:val="20"/>
                <w:szCs w:val="20"/>
              </w:rPr>
              <w:t xml:space="preserve">ициативного проекта «Открытый лё</w:t>
            </w:r>
            <w:r>
              <w:rPr>
                <w:sz w:val="20"/>
                <w:szCs w:val="20"/>
              </w:rPr>
              <w:t xml:space="preserve">д»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8"/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строки 3.1, </w:t>
      </w:r>
      <w:r>
        <w:rPr>
          <w:rFonts w:eastAsia="Calibri"/>
        </w:rPr>
        <w:t xml:space="preserve">3.2</w:t>
      </w:r>
      <w:r>
        <w:rPr>
          <w:rFonts w:eastAsia="Calibri"/>
        </w:rPr>
        <w:t xml:space="preserve"> и</w:t>
      </w:r>
      <w:r>
        <w:rPr>
          <w:rFonts w:eastAsia="Calibri"/>
        </w:rPr>
        <w:t xml:space="preserve"> 3.3</w:t>
      </w:r>
      <w:r>
        <w:rPr>
          <w:rFonts w:eastAsia="Calibri"/>
        </w:rPr>
        <w:t xml:space="preserve"> При</w:t>
      </w:r>
      <w:r>
        <w:rPr>
          <w:rFonts w:eastAsia="Calibri"/>
        </w:rPr>
        <w:t xml:space="preserve">ложения 1 «Перечень мероприятий программы с объемом финансирования» </w:t>
      </w:r>
      <w:r>
        <w:rPr>
          <w:rFonts w:eastAsia="Calibri"/>
        </w:rPr>
        <w:t xml:space="preserve">(далее – Приложение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1) </w:t>
      </w:r>
      <w:r>
        <w:rPr>
          <w:rFonts w:eastAsia="Calibri"/>
        </w:rPr>
        <w:t xml:space="preserve">к Программе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962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268"/>
        <w:gridCol w:w="709"/>
        <w:gridCol w:w="992"/>
        <w:gridCol w:w="993"/>
        <w:gridCol w:w="992"/>
        <w:gridCol w:w="992"/>
        <w:gridCol w:w="995"/>
        <w:gridCol w:w="990"/>
      </w:tblGrid>
      <w:tr>
        <w:tblPrEx/>
        <w:trPr>
          <w:trHeight w:val="55"/>
        </w:trPr>
        <w:tc>
          <w:tcPr>
            <w:shd w:val="clear" w:color="auto" w:fill="auto"/>
            <w:tcW w:w="29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3.1.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и проведение соревнований, спортивно-массовых мероприятий, обеспечение участия спортсменов Печенгского муниципального округа в областных, общероссийских и международных соревнованиях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КСиМП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3"/>
        </w:trPr>
        <w:tc>
          <w:tcPr>
            <w:shd w:val="clear" w:color="auto" w:fill="auto"/>
            <w:tcW w:w="29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9100,9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3050,9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9100,9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3050,9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Создание спортивного пространства для молодежи «Сопки.</w:t>
            </w:r>
            <w:r>
              <w:rPr>
                <w:sz w:val="20"/>
                <w:szCs w:val="20"/>
                <w:lang w:val="en-US"/>
              </w:rPr>
              <w:t xml:space="preserve">Sport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КСиМП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000,0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000,0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</w:t>
            </w:r>
            <w:r>
              <w:rPr>
                <w:b/>
                <w:sz w:val="20"/>
                <w:szCs w:val="20"/>
              </w:rPr>
              <w:t xml:space="preserve">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</w:t>
            </w:r>
            <w:r>
              <w:rPr>
                <w:b/>
                <w:sz w:val="20"/>
                <w:szCs w:val="20"/>
              </w:rPr>
              <w:t xml:space="preserve">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Восстановление </w:t>
            </w:r>
            <w:r>
              <w:rPr>
                <w:sz w:val="20"/>
                <w:szCs w:val="20"/>
              </w:rPr>
              <w:t xml:space="preserve">покрытия футбольного поля, оборудование беговых дорожек на стадионе МБОУ «СОШ № 7»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 xml:space="preserve">образования, СОШ № 7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3999,0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3999,0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</w:t>
      </w:r>
      <w:r>
        <w:rPr>
          <w:rFonts w:eastAsia="Calibri"/>
        </w:rPr>
        <w:t xml:space="preserve">Приложение 1</w:t>
      </w:r>
      <w:r>
        <w:rPr>
          <w:rFonts w:eastAsia="Calibri"/>
        </w:rPr>
        <w:t xml:space="preserve"> к Программе дополнить строкой 3.4 следующего содержания: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962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8"/>
        <w:gridCol w:w="709"/>
        <w:gridCol w:w="992"/>
        <w:gridCol w:w="993"/>
        <w:gridCol w:w="992"/>
        <w:gridCol w:w="992"/>
        <w:gridCol w:w="851"/>
        <w:gridCol w:w="1134"/>
      </w:tblGrid>
      <w:tr>
        <w:tblPrEx/>
        <w:trPr>
          <w:trHeight w:val="230"/>
        </w:trPr>
        <w:tc>
          <w:tcPr>
            <w:shd w:val="clear" w:color="auto" w:fill="auto"/>
            <w:tcW w:w="298" w:type="pct"/>
            <w:vMerge w:val="restart"/>
            <w:textDirection w:val="lrTb"/>
            <w:noWrap w:val="false"/>
          </w:tcPr>
          <w:p>
            <w:pPr>
              <w:ind w:left="-108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3.4.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</w:t>
            </w:r>
            <w:r>
              <w:rPr>
                <w:sz w:val="20"/>
                <w:szCs w:val="20"/>
              </w:rPr>
              <w:t xml:space="preserve">нициативн</w:t>
            </w:r>
            <w:r>
              <w:rPr>
                <w:sz w:val="20"/>
                <w:szCs w:val="20"/>
              </w:rPr>
              <w:t xml:space="preserve">ый проект</w:t>
            </w:r>
            <w:r>
              <w:rPr>
                <w:sz w:val="20"/>
                <w:szCs w:val="20"/>
              </w:rPr>
              <w:t xml:space="preserve"> «Открытый лед»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restart"/>
            <w:textDirection w:val="lrTb"/>
            <w:noWrap w:val="false"/>
          </w:tcPr>
          <w:p>
            <w:pPr>
              <w:ind w:left="-107" w:right="-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9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1107,4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1107,4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9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231,0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231,0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9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200,0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200,0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9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1538,4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1538,4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строки «Итого по основному мероприятию 3» и «Вс</w:t>
      </w:r>
      <w:r>
        <w:rPr>
          <w:rFonts w:eastAsia="Calibri"/>
        </w:rPr>
        <w:t xml:space="preserve">его по программе»  Приложения 1</w:t>
      </w:r>
      <w:r>
        <w:rPr>
          <w:rFonts w:eastAsia="Calibri"/>
        </w:rPr>
        <w:t xml:space="preserve"> к Программе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962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992"/>
        <w:gridCol w:w="993"/>
        <w:gridCol w:w="992"/>
        <w:gridCol w:w="992"/>
        <w:gridCol w:w="995"/>
        <w:gridCol w:w="990"/>
      </w:tblGrid>
      <w:tr>
        <w:tblPrEx/>
        <w:trPr>
          <w:trHeight w:val="55"/>
        </w:trPr>
        <w:tc>
          <w:tcPr>
            <w:shd w:val="clear" w:color="auto" w:fill="auto"/>
            <w:tcW w:w="18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«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мероприятию 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186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11106,4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11106,4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186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11732,4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5681,5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3050,9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3"/>
        </w:trPr>
        <w:tc>
          <w:tcPr>
            <w:shd w:val="clear" w:color="auto" w:fill="auto"/>
            <w:tcW w:w="186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800,5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800,5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186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23639,3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17588,4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3050,9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8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программе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87331,0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35431,2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25438,2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26461,6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203867,3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72483,8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  <w:highlight w:val="yellow"/>
              </w:rPr>
            </w:pPr>
            <w:r>
              <w:rPr>
                <w:b/>
                <w:sz w:val="20"/>
                <w:szCs w:val="22"/>
              </w:rPr>
              <w:t xml:space="preserve">65371,1</w:t>
            </w:r>
            <w:r>
              <w:rPr>
                <w:b/>
                <w:sz w:val="20"/>
                <w:szCs w:val="22"/>
                <w:highlight w:val="yellow"/>
              </w:rPr>
            </w:r>
            <w:r>
              <w:rPr>
                <w:b/>
                <w:sz w:val="20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  <w:highlight w:val="yellow"/>
              </w:rPr>
            </w:pPr>
            <w:r>
              <w:rPr>
                <w:b/>
                <w:sz w:val="20"/>
                <w:szCs w:val="22"/>
              </w:rPr>
              <w:t xml:space="preserve">660</w:t>
            </w:r>
            <w:r>
              <w:rPr>
                <w:b/>
                <w:sz w:val="20"/>
                <w:szCs w:val="22"/>
              </w:rPr>
              <w:t xml:space="preserve">12,4</w:t>
            </w:r>
            <w:r>
              <w:rPr>
                <w:b/>
                <w:sz w:val="20"/>
                <w:szCs w:val="22"/>
                <w:highlight w:val="yellow"/>
              </w:rPr>
            </w:r>
            <w:r>
              <w:rPr>
                <w:b/>
                <w:sz w:val="20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5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37400,5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13000,5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  <w:highlight w:val="yellow"/>
              </w:rPr>
            </w:pPr>
            <w:r>
              <w:rPr>
                <w:b/>
                <w:bCs/>
                <w:sz w:val="20"/>
                <w:szCs w:val="22"/>
              </w:rPr>
              <w:t xml:space="preserve">12200,0</w:t>
            </w:r>
            <w:r>
              <w:rPr>
                <w:b/>
                <w:bCs/>
                <w:sz w:val="20"/>
                <w:szCs w:val="22"/>
                <w:highlight w:val="yellow"/>
              </w:rPr>
            </w:r>
            <w:r>
              <w:rPr>
                <w:b/>
                <w:bCs/>
                <w:sz w:val="20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  <w:highlight w:val="yellow"/>
              </w:rPr>
            </w:pPr>
            <w:r>
              <w:rPr>
                <w:b/>
                <w:bCs/>
                <w:sz w:val="20"/>
                <w:szCs w:val="22"/>
              </w:rPr>
              <w:t xml:space="preserve">12200,0</w:t>
            </w:r>
            <w:r>
              <w:rPr>
                <w:b/>
                <w:bCs/>
                <w:sz w:val="20"/>
                <w:szCs w:val="22"/>
                <w:highlight w:val="yellow"/>
              </w:rPr>
            </w:r>
            <w:r>
              <w:rPr>
                <w:b/>
                <w:bCs/>
                <w:sz w:val="20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5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328598,8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120915,5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  <w:highlight w:val="yellow"/>
              </w:rPr>
            </w:pPr>
            <w:r>
              <w:rPr>
                <w:b/>
                <w:bCs/>
                <w:sz w:val="20"/>
                <w:szCs w:val="22"/>
              </w:rPr>
              <w:t xml:space="preserve">103009,3</w:t>
            </w:r>
            <w:r>
              <w:rPr>
                <w:b/>
                <w:bCs/>
                <w:sz w:val="20"/>
                <w:szCs w:val="22"/>
                <w:highlight w:val="yellow"/>
              </w:rPr>
            </w:r>
            <w:r>
              <w:rPr>
                <w:b/>
                <w:bCs/>
                <w:sz w:val="20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104674,0</w:t>
            </w:r>
            <w:r>
              <w:rPr>
                <w:b/>
                <w:bCs/>
                <w:sz w:val="20"/>
                <w:szCs w:val="22"/>
              </w:rPr>
              <w:t xml:space="preserve">»;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</w:r>
      <w:r>
        <w:rPr>
          <w:rFonts w:eastAsia="Calibri"/>
        </w:rPr>
      </w:r>
    </w:p>
    <w:p>
      <w:pPr>
        <w:jc w:val="both"/>
        <w:rPr>
          <w:rFonts w:eastAsia="Calibri"/>
        </w:rPr>
      </w:pPr>
      <w:r>
        <w:rPr>
          <w:rFonts w:eastAsia="Calibri"/>
        </w:rPr>
        <w:tab/>
        <w:t xml:space="preserve">- строки</w:t>
      </w:r>
      <w:r>
        <w:rPr>
          <w:rFonts w:eastAsia="Calibri"/>
        </w:rPr>
        <w:t xml:space="preserve"> 1.1</w:t>
      </w:r>
      <w:r>
        <w:rPr>
          <w:rFonts w:eastAsia="Calibri"/>
        </w:rPr>
        <w:t xml:space="preserve"> и 3.1</w:t>
      </w:r>
      <w:r>
        <w:rPr>
          <w:rFonts w:eastAsia="Calibri"/>
        </w:rPr>
        <w:t xml:space="preserve"> Приложения 2 «Перечень мероприятий программы с показателями результативности выполнения мероприятий» </w:t>
      </w:r>
      <w:r>
        <w:rPr>
          <w:rFonts w:eastAsia="Calibri"/>
        </w:rPr>
        <w:t xml:space="preserve">(далее – Приложение 2) </w:t>
      </w:r>
      <w:r>
        <w:rPr>
          <w:rFonts w:eastAsia="Calibri"/>
        </w:rPr>
        <w:t xml:space="preserve">к Программе изложить в следующей редакции: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709"/>
        <w:gridCol w:w="1843"/>
        <w:gridCol w:w="709"/>
        <w:gridCol w:w="708"/>
        <w:gridCol w:w="709"/>
        <w:gridCol w:w="851"/>
        <w:gridCol w:w="1134"/>
      </w:tblGrid>
      <w:tr>
        <w:tblPrEx/>
        <w:trPr/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муниципальных услуг (работ) в сфере физической культуры и спорта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2024-2026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pStyle w:val="900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Выполнение муниципального задания учреждениями спорта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pStyle w:val="900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color w:val="000000"/>
                <w:sz w:val="20"/>
                <w:szCs w:val="20"/>
              </w:rPr>
              <w:t xml:space="preserve">Число посещений МБУ «СК «Металлург»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посещений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43744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43764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43764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pStyle w:val="900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color w:val="000000"/>
                <w:sz w:val="20"/>
                <w:szCs w:val="20"/>
              </w:rPr>
              <w:t xml:space="preserve">Число посещений МБУ «СК «Дельфин»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посещений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64986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64998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64998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населения регулярно занимающегося физической культурой и спортом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64,3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64,5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64,5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  <w:t xml:space="preserve">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и проведение соревнований, спортивно-массовых мероприятий, обеспечение участия спортсменов Печенгского муниципального округа в областных, общероссийских и международных соревнованиях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Количество физкультурных и спортивных мероприятий, направленных на популяризацию здорового образа жизни среди различных слоев населения </w:t>
            </w:r>
            <w:r>
              <w:rPr>
                <w:b/>
                <w:sz w:val="20"/>
                <w:szCs w:val="20"/>
                <w:highlight w:val="yellow"/>
              </w:rPr>
            </w:r>
            <w:r>
              <w:rPr>
                <w:b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70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70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70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КСиМП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rPr>
          <w:rFonts w:eastAsia="Calibri"/>
        </w:rPr>
      </w:pPr>
      <w:r>
        <w:rPr>
          <w:rFonts w:eastAsia="Calibri"/>
        </w:rPr>
        <w:t xml:space="preserve">- Приложение 2  к Программе дополнить строкой </w:t>
      </w:r>
      <w:r>
        <w:rPr>
          <w:rFonts w:eastAsia="Calibri"/>
        </w:rPr>
        <w:t xml:space="preserve">3.4</w:t>
      </w:r>
      <w:r>
        <w:rPr>
          <w:rFonts w:eastAsia="Calibri"/>
        </w:rPr>
        <w:t xml:space="preserve"> следующего содержания:</w:t>
      </w:r>
      <w:r>
        <w:rPr>
          <w:rFonts w:eastAsia="Calibri"/>
        </w:rPr>
      </w:r>
      <w:r>
        <w:rPr>
          <w:rFonts w:eastAsia="Calibri"/>
        </w:rPr>
      </w:r>
    </w:p>
    <w:tbl>
      <w:tblPr>
        <w:tblStyle w:val="917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709"/>
        <w:gridCol w:w="1843"/>
        <w:gridCol w:w="709"/>
        <w:gridCol w:w="708"/>
        <w:gridCol w:w="709"/>
        <w:gridCol w:w="709"/>
        <w:gridCol w:w="1276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«</w:t>
            </w:r>
            <w:r>
              <w:rPr>
                <w:rFonts w:eastAsia="Calibri"/>
                <w:sz w:val="20"/>
                <w:szCs w:val="20"/>
              </w:rPr>
              <w:t xml:space="preserve">3.</w:t>
            </w:r>
            <w:r>
              <w:rPr>
                <w:rFonts w:eastAsia="Calibri"/>
                <w:sz w:val="20"/>
                <w:szCs w:val="20"/>
              </w:rPr>
              <w:t xml:space="preserve">4</w:t>
            </w:r>
            <w:r>
              <w:rPr>
                <w:rFonts w:eastAsia="Calibri"/>
                <w:sz w:val="20"/>
                <w:szCs w:val="20"/>
              </w:rPr>
              <w:t xml:space="preserve">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Инициативный проект</w:t>
            </w:r>
            <w:r>
              <w:rPr>
                <w:sz w:val="20"/>
                <w:szCs w:val="20"/>
              </w:rPr>
              <w:t xml:space="preserve"> «Открытый лед»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2024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объектов</w:t>
            </w:r>
            <w:r>
              <w:rPr>
                <w:sz w:val="20"/>
                <w:szCs w:val="20"/>
              </w:rPr>
              <w:t xml:space="preserve">, реализованных в рамках</w:t>
            </w:r>
            <w:r>
              <w:rPr>
                <w:sz w:val="20"/>
                <w:szCs w:val="20"/>
              </w:rPr>
              <w:t xml:space="preserve"> инициативного проекта «Открытый л</w:t>
            </w:r>
            <w:r>
              <w:rPr>
                <w:sz w:val="20"/>
                <w:szCs w:val="20"/>
              </w:rPr>
              <w:t xml:space="preserve">ё</w:t>
            </w:r>
            <w:r>
              <w:rPr>
                <w:sz w:val="20"/>
                <w:szCs w:val="20"/>
              </w:rPr>
              <w:t xml:space="preserve">д»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шт.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1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МБУ «СК «Дельфин</w:t>
            </w:r>
            <w:r>
              <w:rPr>
                <w:rFonts w:eastAsia="Calibri"/>
                <w:sz w:val="20"/>
                <w:szCs w:val="20"/>
              </w:rPr>
              <w:t xml:space="preserve">».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</w:tr>
    </w:tbl>
    <w:p>
      <w:pPr>
        <w:jc w:val="both"/>
        <w:widowControl w:val="off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</w:r>
      <w:r>
        <w:rPr>
          <w:rFonts w:eastAsia="Calibri"/>
          <w:sz w:val="18"/>
          <w:szCs w:val="18"/>
        </w:rPr>
      </w:r>
      <w:r>
        <w:rPr>
          <w:rFonts w:eastAsia="Calibri"/>
          <w:sz w:val="18"/>
          <w:szCs w:val="18"/>
        </w:rPr>
      </w:r>
    </w:p>
    <w:p>
      <w:pPr>
        <w:jc w:val="both"/>
        <w:tabs>
          <w:tab w:val="left" w:pos="2149" w:leader="none"/>
        </w:tabs>
      </w:pPr>
      <w:r/>
      <w:r/>
    </w:p>
    <w:p>
      <w:pPr>
        <w:ind w:firstLine="709"/>
        <w:jc w:val="both"/>
        <w:widowControl w:val="off"/>
      </w:pPr>
      <w:r>
        <w:rPr>
          <w:rFonts w:eastAsia="Calibri"/>
          <w:lang w:eastAsia="en-US"/>
        </w:rPr>
        <w:t xml:space="preserve">2</w:t>
      </w:r>
      <w:r>
        <w:rPr>
          <w:rFonts w:eastAsia="Calibri"/>
          <w:lang w:eastAsia="en-US"/>
        </w:rPr>
        <w:t xml:space="preserve">. </w:t>
      </w:r>
      <w:r>
        <w:rPr>
          <w:lang w:eastAsia="en-US"/>
        </w:rPr>
        <w:t xml:space="preserve">Настоящее постановление вступает в силу после его подписания.</w:t>
      </w:r>
      <w:r/>
    </w:p>
    <w:p>
      <w:pPr>
        <w:ind w:firstLine="709"/>
        <w:jc w:val="both"/>
        <w:tabs>
          <w:tab w:val="left" w:pos="709" w:leader="none"/>
        </w:tabs>
      </w:pPr>
      <w:r>
        <w:t xml:space="preserve">3. </w:t>
      </w:r>
      <w:r>
        <w:rPr>
          <w:rFonts w:eastAsia="Calibri"/>
        </w:rPr>
        <w:t xml:space="preserve">Настоящее постановление опубликова</w:t>
      </w:r>
      <w:r>
        <w:rPr>
          <w:rFonts w:eastAsia="Calibri"/>
        </w:rPr>
        <w:t xml:space="preserve">ть</w:t>
      </w:r>
      <w:r>
        <w:rPr>
          <w:rFonts w:eastAsia="Calibri"/>
        </w:rPr>
        <w:t xml:space="preserve"> в</w:t>
      </w:r>
      <w:r>
        <w:rPr>
          <w:rFonts w:eastAsia="Calibri"/>
        </w:rPr>
        <w:t xml:space="preserve"> официальном издании</w:t>
      </w:r>
      <w:r>
        <w:rPr>
          <w:rFonts w:eastAsia="Calibri"/>
        </w:rPr>
        <w:t xml:space="preserve"> газет</w:t>
      </w:r>
      <w:r>
        <w:rPr>
          <w:rFonts w:eastAsia="Calibri"/>
        </w:rPr>
        <w:t xml:space="preserve">а</w:t>
      </w:r>
      <w:r>
        <w:rPr>
          <w:rFonts w:eastAsia="Calibri"/>
        </w:rPr>
        <w:t xml:space="preserve"> «Печенга» и разме</w:t>
      </w:r>
      <w:r>
        <w:rPr>
          <w:rFonts w:eastAsia="Calibri"/>
        </w:rPr>
        <w:t xml:space="preserve">стить</w:t>
      </w:r>
      <w:r>
        <w:rPr>
          <w:rFonts w:eastAsia="Calibri"/>
        </w:rPr>
        <w:t xml:space="preserve"> </w:t>
      </w:r>
      <w:r>
        <w:t xml:space="preserve">на сайте Печенгского муниципального округа</w:t>
      </w:r>
      <w:r>
        <w:t xml:space="preserve"> в сети Интернет.</w:t>
      </w:r>
      <w:r/>
    </w:p>
    <w:p>
      <w:r/>
      <w:r/>
    </w:p>
    <w:p>
      <w:r/>
      <w:r/>
    </w:p>
    <w:p>
      <w:pPr>
        <w:jc w:val="both"/>
      </w:pPr>
      <w:r>
        <w:t xml:space="preserve">Глав</w:t>
      </w:r>
      <w:r>
        <w:t xml:space="preserve">а</w:t>
      </w:r>
      <w:r>
        <w:t xml:space="preserve"> Печенгского муниципального округа </w:t>
      </w:r>
      <w:r>
        <w:tab/>
      </w:r>
      <w:r>
        <w:tab/>
      </w:r>
      <w:r>
        <w:tab/>
        <w:tab/>
        <w:tab/>
      </w:r>
      <w:r>
        <w:t xml:space="preserve"> </w:t>
      </w:r>
      <w:r>
        <w:t xml:space="preserve">А.В. </w:t>
      </w:r>
      <w:r>
        <w:t xml:space="preserve">Кузнецов</w:t>
      </w:r>
      <w:r/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/>
      <w:bookmarkStart w:id="0" w:name="_GoBack"/>
      <w:r/>
      <w:bookmarkEnd w:id="0"/>
      <w:r>
        <w:rPr>
          <w:b/>
          <w:bCs/>
        </w:rPr>
      </w:r>
      <w:r>
        <w:rPr>
          <w:b/>
          <w:bCs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Большакова О.В.</w:t>
      </w:r>
      <w:r>
        <w:rPr>
          <w:bCs/>
          <w:sz w:val="20"/>
          <w:szCs w:val="20"/>
        </w:rPr>
        <w:t xml:space="preserve">,</w:t>
      </w:r>
      <w:r>
        <w:rPr>
          <w:bCs/>
          <w:sz w:val="20"/>
          <w:szCs w:val="20"/>
        </w:rPr>
        <w:t xml:space="preserve"> 52725</w:t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 w:val="0"/>
        </w:rPr>
      </w:r>
      <w:r>
        <w:rPr>
          <w:b w:val="0"/>
        </w:rPr>
      </w:r>
      <w:r>
        <w:rPr>
          <w:b w:val="0"/>
        </w:rPr>
      </w:r>
      <w:r>
        <w:rPr>
          <w:bCs/>
          <w:sz w:val="20"/>
          <w:szCs w:val="20"/>
        </w:rPr>
      </w:r>
    </w:p>
    <w:sectPr>
      <w:headerReference w:type="first" r:id="rId9"/>
      <w:footerReference w:type="default" r:id="rId10"/>
      <w:footnotePr/>
      <w:endnotePr/>
      <w:type w:val="nextPage"/>
      <w:pgSz w:w="11906" w:h="16838" w:orient="portrait"/>
      <w:pgMar w:top="993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</w:pPr>
    <w:r>
      <w:rPr>
        <w:rStyle w:val="906"/>
      </w:rPr>
      <w:t xml:space="preserve">                                                                                 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21"/>
  </w:num>
  <w:num w:numId="4">
    <w:abstractNumId w:val="23"/>
  </w:num>
  <w:num w:numId="5">
    <w:abstractNumId w:val="22"/>
  </w:num>
  <w:num w:numId="6">
    <w:abstractNumId w:val="20"/>
  </w:num>
  <w:num w:numId="7">
    <w:abstractNumId w:val="6"/>
  </w:num>
  <w:num w:numId="8">
    <w:abstractNumId w:val="15"/>
  </w:num>
  <w:num w:numId="9">
    <w:abstractNumId w:val="7"/>
  </w:num>
  <w:num w:numId="10">
    <w:abstractNumId w:val="24"/>
  </w:num>
  <w:num w:numId="11">
    <w:abstractNumId w:val="2"/>
  </w:num>
  <w:num w:numId="12">
    <w:abstractNumId w:val="9"/>
  </w:num>
  <w:num w:numId="13">
    <w:abstractNumId w:val="16"/>
  </w:num>
  <w:num w:numId="14">
    <w:abstractNumId w:val="11"/>
  </w:num>
  <w:num w:numId="15">
    <w:abstractNumId w:val="10"/>
  </w:num>
  <w:num w:numId="16">
    <w:abstractNumId w:val="17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4"/>
  </w:num>
  <w:num w:numId="20">
    <w:abstractNumId w:val="3"/>
  </w:num>
  <w:num w:numId="21">
    <w:abstractNumId w:val="19"/>
  </w:num>
  <w:num w:numId="22">
    <w:abstractNumId w:val="5"/>
  </w:num>
  <w:num w:numId="23">
    <w:abstractNumId w:val="12"/>
  </w:num>
  <w:num w:numId="24">
    <w:abstractNumId w:val="0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4">
    <w:name w:val="Heading 1"/>
    <w:basedOn w:val="894"/>
    <w:next w:val="894"/>
    <w:link w:val="72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5">
    <w:name w:val="Heading 1 Char"/>
    <w:basedOn w:val="896"/>
    <w:link w:val="724"/>
    <w:uiPriority w:val="9"/>
    <w:rPr>
      <w:rFonts w:ascii="Arial" w:hAnsi="Arial" w:eastAsia="Arial" w:cs="Arial"/>
      <w:sz w:val="40"/>
      <w:szCs w:val="40"/>
    </w:rPr>
  </w:style>
  <w:style w:type="character" w:styleId="726">
    <w:name w:val="Heading 2 Char"/>
    <w:basedOn w:val="896"/>
    <w:link w:val="895"/>
    <w:uiPriority w:val="9"/>
    <w:rPr>
      <w:rFonts w:ascii="Arial" w:hAnsi="Arial" w:eastAsia="Arial" w:cs="Arial"/>
      <w:sz w:val="34"/>
    </w:rPr>
  </w:style>
  <w:style w:type="paragraph" w:styleId="727">
    <w:name w:val="Heading 3"/>
    <w:basedOn w:val="894"/>
    <w:next w:val="894"/>
    <w:link w:val="72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8">
    <w:name w:val="Heading 3 Char"/>
    <w:basedOn w:val="896"/>
    <w:link w:val="727"/>
    <w:uiPriority w:val="9"/>
    <w:rPr>
      <w:rFonts w:ascii="Arial" w:hAnsi="Arial" w:eastAsia="Arial" w:cs="Arial"/>
      <w:sz w:val="30"/>
      <w:szCs w:val="30"/>
    </w:rPr>
  </w:style>
  <w:style w:type="paragraph" w:styleId="729">
    <w:name w:val="Heading 4"/>
    <w:basedOn w:val="894"/>
    <w:next w:val="894"/>
    <w:link w:val="73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0">
    <w:name w:val="Heading 4 Char"/>
    <w:basedOn w:val="896"/>
    <w:link w:val="729"/>
    <w:uiPriority w:val="9"/>
    <w:rPr>
      <w:rFonts w:ascii="Arial" w:hAnsi="Arial" w:eastAsia="Arial" w:cs="Arial"/>
      <w:b/>
      <w:bCs/>
      <w:sz w:val="26"/>
      <w:szCs w:val="26"/>
    </w:rPr>
  </w:style>
  <w:style w:type="paragraph" w:styleId="731">
    <w:name w:val="Heading 5"/>
    <w:basedOn w:val="894"/>
    <w:next w:val="894"/>
    <w:link w:val="73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2">
    <w:name w:val="Heading 5 Char"/>
    <w:basedOn w:val="896"/>
    <w:link w:val="731"/>
    <w:uiPriority w:val="9"/>
    <w:rPr>
      <w:rFonts w:ascii="Arial" w:hAnsi="Arial" w:eastAsia="Arial" w:cs="Arial"/>
      <w:b/>
      <w:bCs/>
      <w:sz w:val="24"/>
      <w:szCs w:val="24"/>
    </w:rPr>
  </w:style>
  <w:style w:type="paragraph" w:styleId="733">
    <w:name w:val="Heading 6"/>
    <w:basedOn w:val="894"/>
    <w:next w:val="894"/>
    <w:link w:val="73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4">
    <w:name w:val="Heading 6 Char"/>
    <w:basedOn w:val="896"/>
    <w:link w:val="733"/>
    <w:uiPriority w:val="9"/>
    <w:rPr>
      <w:rFonts w:ascii="Arial" w:hAnsi="Arial" w:eastAsia="Arial" w:cs="Arial"/>
      <w:b/>
      <w:bCs/>
      <w:sz w:val="22"/>
      <w:szCs w:val="22"/>
    </w:rPr>
  </w:style>
  <w:style w:type="paragraph" w:styleId="735">
    <w:name w:val="Heading 7"/>
    <w:basedOn w:val="894"/>
    <w:next w:val="894"/>
    <w:link w:val="73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6">
    <w:name w:val="Heading 7 Char"/>
    <w:basedOn w:val="896"/>
    <w:link w:val="7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7">
    <w:name w:val="Heading 8"/>
    <w:basedOn w:val="894"/>
    <w:next w:val="894"/>
    <w:link w:val="73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8">
    <w:name w:val="Heading 8 Char"/>
    <w:basedOn w:val="896"/>
    <w:link w:val="737"/>
    <w:uiPriority w:val="9"/>
    <w:rPr>
      <w:rFonts w:ascii="Arial" w:hAnsi="Arial" w:eastAsia="Arial" w:cs="Arial"/>
      <w:i/>
      <w:iCs/>
      <w:sz w:val="22"/>
      <w:szCs w:val="22"/>
    </w:rPr>
  </w:style>
  <w:style w:type="paragraph" w:styleId="739">
    <w:name w:val="Heading 9"/>
    <w:basedOn w:val="894"/>
    <w:next w:val="894"/>
    <w:link w:val="74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0">
    <w:name w:val="Heading 9 Char"/>
    <w:basedOn w:val="896"/>
    <w:link w:val="739"/>
    <w:uiPriority w:val="9"/>
    <w:rPr>
      <w:rFonts w:ascii="Arial" w:hAnsi="Arial" w:eastAsia="Arial" w:cs="Arial"/>
      <w:i/>
      <w:iCs/>
      <w:sz w:val="21"/>
      <w:szCs w:val="21"/>
    </w:rPr>
  </w:style>
  <w:style w:type="character" w:styleId="741">
    <w:name w:val="Title Char"/>
    <w:basedOn w:val="896"/>
    <w:link w:val="914"/>
    <w:uiPriority w:val="10"/>
    <w:rPr>
      <w:sz w:val="48"/>
      <w:szCs w:val="48"/>
    </w:rPr>
  </w:style>
  <w:style w:type="paragraph" w:styleId="742">
    <w:name w:val="Subtitle"/>
    <w:basedOn w:val="894"/>
    <w:next w:val="894"/>
    <w:link w:val="743"/>
    <w:uiPriority w:val="11"/>
    <w:qFormat/>
    <w:pPr>
      <w:spacing w:before="200" w:after="200"/>
    </w:pPr>
    <w:rPr>
      <w:sz w:val="24"/>
      <w:szCs w:val="24"/>
    </w:rPr>
  </w:style>
  <w:style w:type="character" w:styleId="743">
    <w:name w:val="Subtitle Char"/>
    <w:basedOn w:val="896"/>
    <w:link w:val="742"/>
    <w:uiPriority w:val="11"/>
    <w:rPr>
      <w:sz w:val="24"/>
      <w:szCs w:val="24"/>
    </w:rPr>
  </w:style>
  <w:style w:type="paragraph" w:styleId="744">
    <w:name w:val="Quote"/>
    <w:basedOn w:val="894"/>
    <w:next w:val="894"/>
    <w:link w:val="745"/>
    <w:uiPriority w:val="29"/>
    <w:qFormat/>
    <w:pPr>
      <w:ind w:left="720" w:right="720"/>
    </w:pPr>
    <w:rPr>
      <w:i/>
    </w:rPr>
  </w:style>
  <w:style w:type="character" w:styleId="745">
    <w:name w:val="Quote Char"/>
    <w:link w:val="744"/>
    <w:uiPriority w:val="29"/>
    <w:rPr>
      <w:i/>
    </w:rPr>
  </w:style>
  <w:style w:type="paragraph" w:styleId="746">
    <w:name w:val="Intense Quote"/>
    <w:basedOn w:val="894"/>
    <w:next w:val="894"/>
    <w:link w:val="74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7">
    <w:name w:val="Intense Quote Char"/>
    <w:link w:val="746"/>
    <w:uiPriority w:val="30"/>
    <w:rPr>
      <w:i/>
    </w:rPr>
  </w:style>
  <w:style w:type="character" w:styleId="748">
    <w:name w:val="Header Char"/>
    <w:basedOn w:val="896"/>
    <w:link w:val="907"/>
    <w:uiPriority w:val="99"/>
  </w:style>
  <w:style w:type="character" w:styleId="749">
    <w:name w:val="Footer Char"/>
    <w:basedOn w:val="896"/>
    <w:link w:val="904"/>
    <w:uiPriority w:val="99"/>
  </w:style>
  <w:style w:type="paragraph" w:styleId="750">
    <w:name w:val="Caption"/>
    <w:basedOn w:val="894"/>
    <w:next w:val="89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1">
    <w:name w:val="Caption Char"/>
    <w:basedOn w:val="750"/>
    <w:link w:val="904"/>
    <w:uiPriority w:val="99"/>
  </w:style>
  <w:style w:type="table" w:styleId="752">
    <w:name w:val="Table Grid Light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3">
    <w:name w:val="Plain Table 1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2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>
    <w:name w:val="Plain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>
    <w:name w:val="Plain Table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Plain Table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>
    <w:name w:val="Grid Table 1 Light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4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0">
    <w:name w:val="Grid Table 4 - Accent 1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1">
    <w:name w:val="Grid Table 4 - Accent 2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Grid Table 4 - Accent 3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3">
    <w:name w:val="Grid Table 4 - Accent 4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Grid Table 4 - Accent 5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5">
    <w:name w:val="Grid Table 4 - Accent 6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6">
    <w:name w:val="Grid Table 5 Dark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7">
    <w:name w:val="Grid Table 5 Dark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3">
    <w:name w:val="Grid Table 6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4">
    <w:name w:val="Grid Table 6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5">
    <w:name w:val="Grid Table 6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6">
    <w:name w:val="Grid Table 6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7">
    <w:name w:val="Grid Table 6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8">
    <w:name w:val="Grid Table 6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9">
    <w:name w:val="Grid Table 6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0">
    <w:name w:val="Grid Table 7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5">
    <w:name w:val="List Table 2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6">
    <w:name w:val="List Table 2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7">
    <w:name w:val="List Table 2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8">
    <w:name w:val="List Table 2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9">
    <w:name w:val="List Table 2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0">
    <w:name w:val="List Table 2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1">
    <w:name w:val="List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5 Dark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6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3">
    <w:name w:val="List Table 6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4">
    <w:name w:val="List Table 6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5">
    <w:name w:val="List Table 6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6">
    <w:name w:val="List Table 6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7">
    <w:name w:val="List Table 6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8">
    <w:name w:val="List Table 6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9">
    <w:name w:val="List Table 7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0">
    <w:name w:val="List Table 7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1">
    <w:name w:val="List Table 7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2">
    <w:name w:val="List Table 7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3">
    <w:name w:val="List Table 7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4">
    <w:name w:val="List Table 7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5">
    <w:name w:val="List Table 7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6">
    <w:name w:val="Lined - Accent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7">
    <w:name w:val="Lined - Accent 1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8">
    <w:name w:val="Lined - Accent 2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9">
    <w:name w:val="Lined - Accent 3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0">
    <w:name w:val="Lined - Accent 4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1">
    <w:name w:val="Lined - Accent 5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2">
    <w:name w:val="Lined - Accent 6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3">
    <w:name w:val="Bordered &amp; Lined - Accent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Bordered &amp; Lined - Accent 1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5">
    <w:name w:val="Bordered &amp; Lined - Accent 2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6">
    <w:name w:val="Bordered &amp; Lined - Accent 3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7">
    <w:name w:val="Bordered &amp; Lined - Accent 4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8">
    <w:name w:val="Bordered &amp; Lined - Accent 5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9">
    <w:name w:val="Bordered &amp; Lined - Accent 6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0">
    <w:name w:val="Bordered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1">
    <w:name w:val="Bordered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2">
    <w:name w:val="Bordered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3">
    <w:name w:val="Bordered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4">
    <w:name w:val="Bordered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5">
    <w:name w:val="Bordered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6">
    <w:name w:val="Bordered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7">
    <w:name w:val="footnote text"/>
    <w:basedOn w:val="894"/>
    <w:link w:val="878"/>
    <w:uiPriority w:val="99"/>
    <w:semiHidden/>
    <w:unhideWhenUsed/>
    <w:pPr>
      <w:spacing w:after="40" w:line="240" w:lineRule="auto"/>
    </w:pPr>
    <w:rPr>
      <w:sz w:val="18"/>
    </w:rPr>
  </w:style>
  <w:style w:type="character" w:styleId="878">
    <w:name w:val="Footnote Text Char"/>
    <w:link w:val="877"/>
    <w:uiPriority w:val="99"/>
    <w:rPr>
      <w:sz w:val="18"/>
    </w:rPr>
  </w:style>
  <w:style w:type="character" w:styleId="879">
    <w:name w:val="footnote reference"/>
    <w:basedOn w:val="896"/>
    <w:uiPriority w:val="99"/>
    <w:unhideWhenUsed/>
    <w:rPr>
      <w:vertAlign w:val="superscript"/>
    </w:rPr>
  </w:style>
  <w:style w:type="paragraph" w:styleId="880">
    <w:name w:val="endnote text"/>
    <w:basedOn w:val="894"/>
    <w:link w:val="881"/>
    <w:uiPriority w:val="99"/>
    <w:semiHidden/>
    <w:unhideWhenUsed/>
    <w:pPr>
      <w:spacing w:after="0" w:line="240" w:lineRule="auto"/>
    </w:pPr>
    <w:rPr>
      <w:sz w:val="20"/>
    </w:rPr>
  </w:style>
  <w:style w:type="character" w:styleId="881">
    <w:name w:val="Endnote Text Char"/>
    <w:link w:val="880"/>
    <w:uiPriority w:val="99"/>
    <w:rPr>
      <w:sz w:val="20"/>
    </w:rPr>
  </w:style>
  <w:style w:type="character" w:styleId="882">
    <w:name w:val="endnote reference"/>
    <w:basedOn w:val="896"/>
    <w:uiPriority w:val="99"/>
    <w:semiHidden/>
    <w:unhideWhenUsed/>
    <w:rPr>
      <w:vertAlign w:val="superscript"/>
    </w:rPr>
  </w:style>
  <w:style w:type="paragraph" w:styleId="883">
    <w:name w:val="toc 1"/>
    <w:basedOn w:val="894"/>
    <w:next w:val="894"/>
    <w:uiPriority w:val="39"/>
    <w:unhideWhenUsed/>
    <w:pPr>
      <w:ind w:left="0" w:right="0" w:firstLine="0"/>
      <w:spacing w:after="57"/>
    </w:pPr>
  </w:style>
  <w:style w:type="paragraph" w:styleId="884">
    <w:name w:val="toc 2"/>
    <w:basedOn w:val="894"/>
    <w:next w:val="894"/>
    <w:uiPriority w:val="39"/>
    <w:unhideWhenUsed/>
    <w:pPr>
      <w:ind w:left="283" w:right="0" w:firstLine="0"/>
      <w:spacing w:after="57"/>
    </w:pPr>
  </w:style>
  <w:style w:type="paragraph" w:styleId="885">
    <w:name w:val="toc 3"/>
    <w:basedOn w:val="894"/>
    <w:next w:val="894"/>
    <w:uiPriority w:val="39"/>
    <w:unhideWhenUsed/>
    <w:pPr>
      <w:ind w:left="567" w:right="0" w:firstLine="0"/>
      <w:spacing w:after="57"/>
    </w:pPr>
  </w:style>
  <w:style w:type="paragraph" w:styleId="886">
    <w:name w:val="toc 4"/>
    <w:basedOn w:val="894"/>
    <w:next w:val="894"/>
    <w:uiPriority w:val="39"/>
    <w:unhideWhenUsed/>
    <w:pPr>
      <w:ind w:left="850" w:right="0" w:firstLine="0"/>
      <w:spacing w:after="57"/>
    </w:pPr>
  </w:style>
  <w:style w:type="paragraph" w:styleId="887">
    <w:name w:val="toc 5"/>
    <w:basedOn w:val="894"/>
    <w:next w:val="894"/>
    <w:uiPriority w:val="39"/>
    <w:unhideWhenUsed/>
    <w:pPr>
      <w:ind w:left="1134" w:right="0" w:firstLine="0"/>
      <w:spacing w:after="57"/>
    </w:pPr>
  </w:style>
  <w:style w:type="paragraph" w:styleId="888">
    <w:name w:val="toc 6"/>
    <w:basedOn w:val="894"/>
    <w:next w:val="894"/>
    <w:uiPriority w:val="39"/>
    <w:unhideWhenUsed/>
    <w:pPr>
      <w:ind w:left="1417" w:right="0" w:firstLine="0"/>
      <w:spacing w:after="57"/>
    </w:pPr>
  </w:style>
  <w:style w:type="paragraph" w:styleId="889">
    <w:name w:val="toc 7"/>
    <w:basedOn w:val="894"/>
    <w:next w:val="894"/>
    <w:uiPriority w:val="39"/>
    <w:unhideWhenUsed/>
    <w:pPr>
      <w:ind w:left="1701" w:right="0" w:firstLine="0"/>
      <w:spacing w:after="57"/>
    </w:pPr>
  </w:style>
  <w:style w:type="paragraph" w:styleId="890">
    <w:name w:val="toc 8"/>
    <w:basedOn w:val="894"/>
    <w:next w:val="894"/>
    <w:uiPriority w:val="39"/>
    <w:unhideWhenUsed/>
    <w:pPr>
      <w:ind w:left="1984" w:right="0" w:firstLine="0"/>
      <w:spacing w:after="57"/>
    </w:pPr>
  </w:style>
  <w:style w:type="paragraph" w:styleId="891">
    <w:name w:val="toc 9"/>
    <w:basedOn w:val="894"/>
    <w:next w:val="894"/>
    <w:uiPriority w:val="39"/>
    <w:unhideWhenUsed/>
    <w:pPr>
      <w:ind w:left="2268" w:right="0" w:firstLine="0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894"/>
    <w:next w:val="894"/>
    <w:uiPriority w:val="99"/>
    <w:unhideWhenUsed/>
    <w:pPr>
      <w:spacing w:after="0" w:afterAutospacing="0"/>
    </w:pPr>
  </w:style>
  <w:style w:type="paragraph" w:styleId="894" w:default="1">
    <w:name w:val="Normal"/>
    <w:qFormat/>
    <w:rPr>
      <w:sz w:val="24"/>
      <w:szCs w:val="24"/>
    </w:rPr>
  </w:style>
  <w:style w:type="paragraph" w:styleId="895">
    <w:name w:val="Heading 2"/>
    <w:basedOn w:val="894"/>
    <w:next w:val="894"/>
    <w:link w:val="899"/>
    <w:uiPriority w:val="99"/>
    <w:qFormat/>
    <w:pPr>
      <w:jc w:val="both"/>
      <w:keepNext/>
      <w:spacing w:before="30" w:after="30"/>
      <w:outlineLvl w:val="1"/>
    </w:pPr>
    <w:rPr>
      <w:sz w:val="28"/>
      <w:szCs w:val="28"/>
    </w:rPr>
  </w:style>
  <w:style w:type="character" w:styleId="896" w:default="1">
    <w:name w:val="Default Paragraph Font"/>
    <w:uiPriority w:val="1"/>
    <w:semiHidden/>
    <w:unhideWhenUsed/>
  </w:style>
  <w:style w:type="table" w:styleId="8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8" w:default="1">
    <w:name w:val="No List"/>
    <w:uiPriority w:val="99"/>
    <w:semiHidden/>
    <w:unhideWhenUsed/>
  </w:style>
  <w:style w:type="character" w:styleId="899" w:customStyle="1">
    <w:name w:val="Заголовок 2 Знак"/>
    <w:link w:val="895"/>
    <w:uiPriority w:val="99"/>
    <w:semiHidden/>
    <w:rPr>
      <w:rFonts w:cs="Times New Roman"/>
      <w:sz w:val="28"/>
      <w:szCs w:val="28"/>
      <w:lang w:val="ru-RU" w:eastAsia="ru-RU"/>
    </w:rPr>
  </w:style>
  <w:style w:type="paragraph" w:styleId="900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01" w:customStyle="1">
    <w:name w:val="ConsPlusCell"/>
    <w:uiPriority w:val="99"/>
    <w:pPr>
      <w:widowControl w:val="off"/>
    </w:pPr>
    <w:rPr>
      <w:rFonts w:ascii="Arial" w:hAnsi="Arial" w:cs="Arial"/>
    </w:rPr>
  </w:style>
  <w:style w:type="paragraph" w:styleId="902">
    <w:name w:val="Body Text 3"/>
    <w:basedOn w:val="894"/>
    <w:link w:val="903"/>
    <w:uiPriority w:val="99"/>
    <w:pPr>
      <w:spacing w:after="120"/>
    </w:pPr>
    <w:rPr>
      <w:sz w:val="16"/>
      <w:szCs w:val="16"/>
    </w:rPr>
  </w:style>
  <w:style w:type="character" w:styleId="903" w:customStyle="1">
    <w:name w:val="Основной текст 3 Знак"/>
    <w:link w:val="902"/>
    <w:uiPriority w:val="99"/>
    <w:semiHidden/>
    <w:rPr>
      <w:rFonts w:cs="Times New Roman"/>
      <w:sz w:val="16"/>
      <w:szCs w:val="16"/>
    </w:rPr>
  </w:style>
  <w:style w:type="paragraph" w:styleId="904">
    <w:name w:val="Footer"/>
    <w:basedOn w:val="894"/>
    <w:link w:val="905"/>
    <w:uiPriority w:val="99"/>
    <w:pPr>
      <w:tabs>
        <w:tab w:val="center" w:pos="4677" w:leader="none"/>
        <w:tab w:val="right" w:pos="9355" w:leader="none"/>
      </w:tabs>
    </w:pPr>
  </w:style>
  <w:style w:type="character" w:styleId="905" w:customStyle="1">
    <w:name w:val="Нижний колонтитул Знак"/>
    <w:link w:val="904"/>
    <w:uiPriority w:val="99"/>
    <w:semiHidden/>
    <w:rPr>
      <w:rFonts w:cs="Times New Roman"/>
      <w:sz w:val="24"/>
      <w:szCs w:val="24"/>
    </w:rPr>
  </w:style>
  <w:style w:type="character" w:styleId="906">
    <w:name w:val="page number"/>
    <w:uiPriority w:val="99"/>
    <w:rPr>
      <w:rFonts w:cs="Times New Roman"/>
    </w:rPr>
  </w:style>
  <w:style w:type="paragraph" w:styleId="907">
    <w:name w:val="Header"/>
    <w:basedOn w:val="894"/>
    <w:link w:val="908"/>
    <w:uiPriority w:val="99"/>
    <w:pPr>
      <w:tabs>
        <w:tab w:val="center" w:pos="4677" w:leader="none"/>
        <w:tab w:val="right" w:pos="9355" w:leader="none"/>
      </w:tabs>
    </w:pPr>
  </w:style>
  <w:style w:type="character" w:styleId="908" w:customStyle="1">
    <w:name w:val="Верхний колонтитул Знак"/>
    <w:link w:val="907"/>
    <w:uiPriority w:val="99"/>
    <w:semiHidden/>
    <w:rPr>
      <w:rFonts w:cs="Times New Roman"/>
      <w:sz w:val="24"/>
      <w:szCs w:val="24"/>
    </w:rPr>
  </w:style>
  <w:style w:type="paragraph" w:styleId="909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10">
    <w:name w:val="Balloon Text"/>
    <w:basedOn w:val="894"/>
    <w:link w:val="911"/>
    <w:uiPriority w:val="99"/>
    <w:semiHidden/>
    <w:rPr>
      <w:rFonts w:ascii="Tahoma" w:hAnsi="Tahoma" w:cs="Tahoma"/>
      <w:sz w:val="16"/>
      <w:szCs w:val="16"/>
    </w:rPr>
  </w:style>
  <w:style w:type="character" w:styleId="911" w:customStyle="1">
    <w:name w:val="Текст выноски Знак"/>
    <w:link w:val="910"/>
    <w:uiPriority w:val="99"/>
    <w:semiHidden/>
    <w:rPr>
      <w:rFonts w:ascii="Tahoma" w:hAnsi="Tahoma" w:cs="Tahoma"/>
      <w:sz w:val="16"/>
      <w:szCs w:val="16"/>
    </w:rPr>
  </w:style>
  <w:style w:type="paragraph" w:styleId="912">
    <w:name w:val="Body Text Indent"/>
    <w:basedOn w:val="894"/>
    <w:link w:val="913"/>
    <w:uiPriority w:val="99"/>
    <w:semiHidden/>
    <w:pPr>
      <w:ind w:left="283"/>
      <w:spacing w:after="120"/>
    </w:pPr>
  </w:style>
  <w:style w:type="character" w:styleId="913" w:customStyle="1">
    <w:name w:val="Основной текст с отступом Знак"/>
    <w:link w:val="912"/>
    <w:uiPriority w:val="99"/>
    <w:semiHidden/>
    <w:rPr>
      <w:rFonts w:cs="Times New Roman"/>
      <w:sz w:val="24"/>
    </w:rPr>
  </w:style>
  <w:style w:type="paragraph" w:styleId="914">
    <w:name w:val="Title"/>
    <w:basedOn w:val="894"/>
    <w:link w:val="915"/>
    <w:uiPriority w:val="99"/>
    <w:qFormat/>
    <w:pPr>
      <w:jc w:val="center"/>
    </w:pPr>
    <w:rPr>
      <w:caps/>
    </w:rPr>
  </w:style>
  <w:style w:type="character" w:styleId="915" w:customStyle="1">
    <w:name w:val="Название Знак"/>
    <w:link w:val="914"/>
    <w:uiPriority w:val="99"/>
    <w:rPr>
      <w:rFonts w:cs="Times New Roman"/>
      <w:caps/>
      <w:sz w:val="24"/>
      <w:szCs w:val="24"/>
      <w:lang w:val="ru-RU" w:eastAsia="ru-RU"/>
    </w:rPr>
  </w:style>
  <w:style w:type="paragraph" w:styleId="916" w:customStyle="1">
    <w:name w:val="Знак1"/>
    <w:basedOn w:val="894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917">
    <w:name w:val="Table Grid"/>
    <w:basedOn w:val="89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8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19" w:customStyle="1">
    <w:name w:val="Знак Знак Знак Знак Знак Знак Знак Знак Знак Знак"/>
    <w:basedOn w:val="89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20">
    <w:name w:val="Emphasis"/>
    <w:qFormat/>
    <w:rPr>
      <w:i/>
      <w:iCs/>
    </w:rPr>
  </w:style>
  <w:style w:type="paragraph" w:styleId="921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22">
    <w:name w:val="List Paragraph"/>
    <w:basedOn w:val="894"/>
    <w:uiPriority w:val="34"/>
    <w:qFormat/>
    <w:pPr>
      <w:contextualSpacing/>
      <w:ind w:left="720"/>
    </w:pPr>
  </w:style>
  <w:style w:type="character" w:styleId="923">
    <w:name w:val="Hyperlink"/>
    <w:basedOn w:val="896"/>
    <w:uiPriority w:val="99"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70FA6-A25B-4722-B9E4-A5D597B4B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КИО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AnisimovaON</dc:creator>
  <cp:revision>5</cp:revision>
  <dcterms:created xsi:type="dcterms:W3CDTF">2024-03-27T09:01:00Z</dcterms:created>
  <dcterms:modified xsi:type="dcterms:W3CDTF">2024-04-10T08:49:51Z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-625126995</vt:i4>
  </property>
</Properties>
</file>