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  <w:r>
        <w:rPr>
          <w:rFonts w:eastAsia="Times New Roman"/>
          <w:color w:val="000000"/>
        </w:rPr>
      </w:r>
    </w:p>
    <w:p>
      <w:pPr>
        <w:jc w:val="both"/>
        <w:widowControl w:val="off"/>
        <w:rPr>
          <w:rFonts w:eastAsia="Times New Roman"/>
          <w:b/>
          <w:color w:val="000000"/>
        </w:rPr>
      </w:pPr>
      <w:r>
        <w:rPr>
          <w:rFonts w:eastAsia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eastAsia="Times New Roman"/>
          <w:b/>
          <w:color w:val="000000"/>
        </w:rPr>
      </w:r>
      <w:r>
        <w:rPr>
          <w:rFonts w:eastAsia="Times New Roman"/>
          <w:b/>
          <w:color w:val="00000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16"/>
          <w:szCs w:val="16"/>
        </w:rPr>
      </w:pP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  <w:r>
        <w:rPr>
          <w:rFonts w:eastAsia="Times New Roman"/>
          <w:b/>
          <w:color w:val="000000"/>
          <w:sz w:val="16"/>
          <w:szCs w:val="16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44"/>
          <w:szCs w:val="44"/>
        </w:rPr>
      </w:pPr>
      <w:r>
        <w:rPr>
          <w:rFonts w:eastAsia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eastAsia="Times New Roman"/>
          <w:b/>
          <w:color w:val="000000"/>
          <w:sz w:val="44"/>
          <w:szCs w:val="44"/>
        </w:rPr>
      </w:r>
      <w:r>
        <w:rPr>
          <w:rFonts w:eastAsia="Times New Roman"/>
          <w:b/>
          <w:color w:val="000000"/>
          <w:sz w:val="44"/>
          <w:szCs w:val="44"/>
        </w:rPr>
      </w:r>
    </w:p>
    <w:p>
      <w:pPr>
        <w:jc w:val="center"/>
        <w:widowControl w:val="off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</w:r>
      <w:r>
        <w:rPr>
          <w:rFonts w:eastAsia="Times New Roman"/>
          <w:color w:val="000000"/>
          <w:sz w:val="20"/>
          <w:szCs w:val="20"/>
        </w:rPr>
      </w:r>
      <w:r>
        <w:rPr>
          <w:rFonts w:eastAsia="Times New Roman"/>
          <w:color w:val="000000"/>
          <w:sz w:val="20"/>
          <w:szCs w:val="20"/>
        </w:rPr>
      </w:r>
    </w:p>
    <w:p>
      <w:pPr>
        <w:jc w:val="center"/>
        <w:widowControl w:val="off"/>
        <w:rPr>
          <w:rFonts w:eastAsia="Times New Roman"/>
          <w:color w:val="000000"/>
          <w:sz w:val="20"/>
          <w:szCs w:val="20"/>
        </w:rPr>
      </w:pPr>
      <w:r>
        <w:rPr>
          <w:rFonts w:eastAsia="Times New Roman"/>
          <w:color w:val="000000"/>
          <w:sz w:val="20"/>
          <w:szCs w:val="20"/>
        </w:rPr>
      </w:r>
      <w:r>
        <w:rPr>
          <w:rFonts w:eastAsia="Times New Roman"/>
          <w:color w:val="000000"/>
          <w:sz w:val="20"/>
          <w:szCs w:val="20"/>
        </w:rPr>
      </w:r>
      <w:r>
        <w:rPr>
          <w:rFonts w:eastAsia="Times New Roman"/>
          <w:color w:val="000000"/>
          <w:sz w:val="20"/>
          <w:szCs w:val="20"/>
        </w:rPr>
      </w:r>
    </w:p>
    <w:p>
      <w:pPr>
        <w:jc w:val="both"/>
        <w:widowControl w:val="off"/>
        <w:rPr>
          <w:rFonts w:eastAsia="Times New Roman"/>
          <w:b/>
          <w:color w:val="000000"/>
          <w:szCs w:val="20"/>
        </w:rPr>
      </w:pPr>
      <w:r>
        <w:rPr>
          <w:rFonts w:eastAsia="Times New Roman"/>
          <w:b/>
          <w:color w:val="000000"/>
          <w:szCs w:val="20"/>
        </w:rPr>
        <w:t xml:space="preserve">от</w:t>
      </w:r>
      <w:r>
        <w:rPr>
          <w:rFonts w:eastAsia="Times New Roman"/>
          <w:b/>
          <w:color w:val="000000"/>
          <w:szCs w:val="20"/>
        </w:rPr>
        <w:t xml:space="preserve"> 02.05.2024 </w:t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ab/>
      </w:r>
      <w:r>
        <w:rPr>
          <w:rFonts w:eastAsia="Times New Roman"/>
          <w:b/>
          <w:color w:val="000000"/>
          <w:szCs w:val="20"/>
        </w:rPr>
        <w:t xml:space="preserve"> </w:t>
      </w:r>
      <w:r>
        <w:rPr>
          <w:rFonts w:eastAsia="Times New Roman"/>
          <w:b/>
          <w:color w:val="000000"/>
          <w:szCs w:val="20"/>
        </w:rPr>
        <w:t xml:space="preserve">  № 705</w:t>
      </w:r>
      <w:r>
        <w:rPr>
          <w:rFonts w:eastAsia="Times New Roman"/>
          <w:b/>
          <w:color w:val="000000"/>
          <w:szCs w:val="20"/>
        </w:rPr>
      </w:r>
      <w:r>
        <w:rPr>
          <w:rFonts w:eastAsia="Times New Roman"/>
          <w:b/>
          <w:color w:val="000000"/>
          <w:szCs w:val="20"/>
        </w:rPr>
      </w:r>
    </w:p>
    <w:p>
      <w:pPr>
        <w:jc w:val="center"/>
        <w:widowControl w:val="off"/>
        <w:rPr>
          <w:rFonts w:eastAsia="Times New Roman"/>
          <w:b/>
          <w:color w:val="000000"/>
          <w:sz w:val="28"/>
          <w:szCs w:val="20"/>
        </w:rPr>
      </w:pPr>
      <w:r>
        <w:rPr>
          <w:rFonts w:eastAsia="Times New Roman"/>
          <w:b/>
          <w:color w:val="000000"/>
          <w:szCs w:val="20"/>
        </w:rPr>
        <w:t xml:space="preserve">п.г.т</w:t>
      </w:r>
      <w:r>
        <w:rPr>
          <w:rFonts w:eastAsia="Times New Roman"/>
          <w:b/>
          <w:color w:val="000000"/>
          <w:szCs w:val="20"/>
        </w:rPr>
        <w:t xml:space="preserve">. Никель</w:t>
      </w:r>
      <w:r>
        <w:rPr>
          <w:rFonts w:eastAsia="Times New Roman"/>
          <w:b/>
          <w:color w:val="000000"/>
          <w:sz w:val="28"/>
          <w:szCs w:val="20"/>
        </w:rPr>
      </w:r>
      <w:r>
        <w:rPr>
          <w:rFonts w:eastAsia="Times New Roman"/>
          <w:b/>
          <w:color w:val="000000"/>
          <w:sz w:val="28"/>
          <w:szCs w:val="20"/>
        </w:rPr>
      </w:r>
    </w:p>
    <w:p>
      <w:pPr>
        <w:widowControl w:val="off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 создании </w:t>
      </w:r>
      <w:r>
        <w:rPr>
          <w:b/>
          <w:bCs/>
          <w:sz w:val="20"/>
          <w:szCs w:val="20"/>
        </w:rPr>
        <w:t xml:space="preserve">к</w:t>
      </w:r>
      <w:r>
        <w:rPr>
          <w:b/>
          <w:bCs/>
          <w:sz w:val="20"/>
          <w:szCs w:val="20"/>
        </w:rPr>
        <w:t xml:space="preserve">омиссии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по отбору кандидатов на присуждение премий Главы Печенгского муниципального округа одаренным детям и учащейся молодежи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  <w:r>
        <w:rPr>
          <w:b/>
          <w:bCs/>
          <w:sz w:val="22"/>
          <w:szCs w:val="22"/>
        </w:rPr>
      </w:r>
    </w:p>
    <w:p>
      <w:pPr>
        <w:ind w:firstLine="708"/>
        <w:jc w:val="both"/>
        <w:rPr>
          <w:rFonts w:eastAsia="Times New Roman"/>
          <w:bCs/>
        </w:rPr>
      </w:pPr>
      <w:r>
        <w:t xml:space="preserve">Руководствуясь</w:t>
      </w:r>
      <w:r>
        <w:t xml:space="preserve"> </w:t>
      </w:r>
      <w:r>
        <w:t xml:space="preserve">Положением</w:t>
      </w:r>
      <w:r>
        <w:t xml:space="preserve"> </w:t>
      </w:r>
      <w:r>
        <w:rPr>
          <w:rFonts w:eastAsia="Times New Roman"/>
          <w:bCs/>
        </w:rPr>
        <w:t xml:space="preserve">о премиях Главы Печенгского муниципального округа одаренным детям </w:t>
      </w:r>
      <w:r>
        <w:rPr>
          <w:rFonts w:eastAsia="Times New Roman"/>
          <w:bCs/>
        </w:rPr>
        <w:t xml:space="preserve">и учащейся молодежи</w:t>
      </w:r>
      <w:r>
        <w:t xml:space="preserve">, утвержденным постановлением админи</w:t>
      </w:r>
      <w:r>
        <w:t xml:space="preserve">страции Печенгского муниципального округа</w:t>
      </w:r>
      <w:r>
        <w:t xml:space="preserve"> </w:t>
      </w:r>
      <w:r>
        <w:t xml:space="preserve">от</w:t>
      </w:r>
      <w:r>
        <w:t xml:space="preserve"> </w:t>
      </w:r>
      <w:r>
        <w:t xml:space="preserve">14.04.2021</w:t>
      </w:r>
      <w:r>
        <w:t xml:space="preserve"> </w:t>
      </w:r>
      <w:r>
        <w:t xml:space="preserve">№</w:t>
      </w:r>
      <w:r>
        <w:t xml:space="preserve"> 309</w:t>
      </w:r>
      <w:r>
        <w:t xml:space="preserve">,</w:t>
      </w:r>
      <w:r>
        <w:rPr>
          <w:rFonts w:eastAsia="Times New Roman"/>
          <w:bCs/>
        </w:rPr>
      </w:r>
      <w:r>
        <w:rPr>
          <w:rFonts w:eastAsia="Times New Roman"/>
          <w:bCs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  <w:rPr>
          <w:b/>
          <w:bCs/>
        </w:rPr>
      </w:pPr>
      <w:r>
        <w:rPr>
          <w:b/>
          <w:bCs/>
        </w:rPr>
        <w:t xml:space="preserve">ПОСТАНОВЛЯЮ</w:t>
      </w:r>
      <w:r>
        <w:rPr>
          <w:b/>
          <w:bCs/>
        </w:rPr>
        <w:t xml:space="preserve">: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widowControl w:val="off"/>
      </w:pPr>
      <w:r/>
      <w:r/>
    </w:p>
    <w:p>
      <w:pPr>
        <w:ind w:firstLine="709"/>
        <w:jc w:val="both"/>
        <w:widowControl w:val="off"/>
      </w:pPr>
      <w:r>
        <w:t xml:space="preserve">1. Для приема и рассмотрения документов создать комиссию</w:t>
      </w:r>
      <w:r>
        <w:t xml:space="preserve"> по отбору кандидатов на присуждение премий Главы Печенгского муниципального округа одаренным детям и учащейся молодежи</w:t>
      </w:r>
      <w:r>
        <w:t xml:space="preserve"> (далее </w:t>
      </w:r>
      <w:r>
        <w:t xml:space="preserve">-</w:t>
      </w:r>
      <w:r>
        <w:t xml:space="preserve"> комиссия) в составе:</w:t>
      </w:r>
      <w:r/>
    </w:p>
    <w:p>
      <w:pPr>
        <w:ind w:firstLine="709"/>
        <w:jc w:val="both"/>
      </w:pPr>
      <w:r/>
      <w:r/>
    </w:p>
    <w:tbl>
      <w:tblPr>
        <w:tblW w:w="9747" w:type="dxa"/>
        <w:tblLook w:val="00A0" w:firstRow="1" w:lastRow="0" w:firstColumn="1" w:lastColumn="0" w:noHBand="0" w:noVBand="0"/>
      </w:tblPr>
      <w:tblGrid>
        <w:gridCol w:w="2802"/>
        <w:gridCol w:w="296"/>
        <w:gridCol w:w="6649"/>
      </w:tblGrid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Хорошилова</w:t>
            </w:r>
            <w:r>
              <w:t xml:space="preserve"> </w:t>
            </w:r>
            <w:r/>
          </w:p>
          <w:p>
            <w:pPr>
              <w:jc w:val="both"/>
            </w:pPr>
            <w:r>
              <w:t xml:space="preserve">Екатерина Андреевна</w:t>
            </w:r>
            <w:r/>
          </w:p>
          <w:p>
            <w:r/>
            <w:r/>
          </w:p>
          <w:p>
            <w:r/>
            <w:r/>
          </w:p>
          <w:p>
            <w:r>
              <w:t xml:space="preserve">Зубкова </w:t>
            </w:r>
            <w:r/>
          </w:p>
          <w:p>
            <w:r>
              <w:t xml:space="preserve">Наталья Александровна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-</w:t>
            </w:r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и.о</w:t>
            </w:r>
            <w:r>
              <w:t xml:space="preserve">. </w:t>
            </w:r>
            <w:r>
              <w:t xml:space="preserve">начальник</w:t>
            </w:r>
            <w:r>
              <w:t xml:space="preserve">а</w:t>
            </w:r>
            <w:r>
              <w:t xml:space="preserve"> отдела культуры, спорта и молодежной политики администрации Печенгского муниципального округа, </w:t>
            </w:r>
            <w:r>
              <w:t xml:space="preserve">председатель</w:t>
            </w:r>
            <w:r>
              <w:t xml:space="preserve"> комиссии</w:t>
            </w:r>
            <w:r>
              <w:t xml:space="preserve">;</w:t>
            </w:r>
            <w:r/>
          </w:p>
          <w:p>
            <w:pPr>
              <w:jc w:val="both"/>
            </w:pPr>
            <w:r/>
            <w:r/>
          </w:p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</w:t>
            </w:r>
            <w:r>
              <w:t xml:space="preserve">округа, секретарь комиссии;</w:t>
            </w:r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Члены комиссии: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Лотышева</w:t>
            </w:r>
            <w:r>
              <w:t xml:space="preserve">  </w:t>
            </w:r>
            <w:r/>
          </w:p>
          <w:p>
            <w:pPr>
              <w:jc w:val="both"/>
            </w:pPr>
            <w:r>
              <w:t xml:space="preserve">Лилия Ивановна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заместитель начальника отдела образования администрации Печенгского муниципального округа;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/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Кухоцкая</w:t>
            </w:r>
            <w:r/>
          </w:p>
          <w:p>
            <w:pPr>
              <w:jc w:val="both"/>
            </w:pPr>
            <w:r>
              <w:t xml:space="preserve">Евгения Вадимовна</w:t>
            </w:r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</w:t>
            </w:r>
            <w:r>
              <w:t xml:space="preserve">округа;</w:t>
            </w:r>
            <w:r/>
          </w:p>
          <w:p>
            <w:pPr>
              <w:jc w:val="both"/>
            </w:pPr>
            <w:r/>
            <w:r/>
          </w:p>
        </w:tc>
      </w:tr>
      <w:tr>
        <w:tblPrEx/>
        <w:trPr>
          <w:trHeight w:val="647"/>
        </w:trPr>
        <w:tc>
          <w:tcPr>
            <w:tcW w:w="2802" w:type="dxa"/>
            <w:textDirection w:val="lrTb"/>
            <w:noWrap w:val="false"/>
          </w:tcPr>
          <w:p>
            <w:pPr>
              <w:jc w:val="both"/>
            </w:pPr>
            <w:r>
              <w:t xml:space="preserve">Томашевская</w:t>
            </w:r>
            <w:r/>
          </w:p>
          <w:p>
            <w:pPr>
              <w:jc w:val="both"/>
            </w:pPr>
            <w:r>
              <w:t xml:space="preserve">Алеся Сергеевна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296" w:type="dxa"/>
            <w:textDirection w:val="lrTb"/>
            <w:noWrap w:val="false"/>
          </w:tcPr>
          <w:p>
            <w:r>
              <w:t xml:space="preserve">-</w:t>
            </w:r>
            <w:r/>
          </w:p>
          <w:p>
            <w:pPr>
              <w:jc w:val="both"/>
            </w:pPr>
            <w:r/>
            <w:r/>
          </w:p>
        </w:tc>
        <w:tc>
          <w:tcPr>
            <w:tcW w:w="6649" w:type="dxa"/>
            <w:textDirection w:val="lrTb"/>
            <w:noWrap w:val="false"/>
          </w:tcPr>
          <w:p>
            <w:pPr>
              <w:jc w:val="both"/>
            </w:pPr>
            <w:r>
              <w:t xml:space="preserve">ведущий специалист отдела культуры, спорта и молодежной политики администрации Печенгского муниципального округа</w:t>
            </w:r>
            <w:r>
              <w:t xml:space="preserve">.</w:t>
            </w:r>
            <w:r/>
          </w:p>
        </w:tc>
      </w:tr>
    </w:tbl>
    <w:p>
      <w:pPr>
        <w:ind w:firstLine="709"/>
        <w:jc w:val="both"/>
      </w:pPr>
      <w:r>
        <w:t xml:space="preserve">2. На</w:t>
      </w:r>
      <w:r>
        <w:t xml:space="preserve">значить заседание комиссии на </w:t>
      </w:r>
      <w:r>
        <w:t xml:space="preserve">03</w:t>
      </w:r>
      <w:r>
        <w:t xml:space="preserve">.0</w:t>
      </w:r>
      <w:r>
        <w:t xml:space="preserve">5</w:t>
      </w:r>
      <w:r>
        <w:t xml:space="preserve">.</w:t>
      </w:r>
      <w:r>
        <w:t xml:space="preserve">202</w:t>
      </w:r>
      <w:r>
        <w:t xml:space="preserve">4</w:t>
      </w:r>
      <w:r>
        <w:t xml:space="preserve"> в 11</w:t>
      </w:r>
      <w:r>
        <w:t xml:space="preserve">:</w:t>
      </w:r>
      <w:r>
        <w:t xml:space="preserve">00.</w:t>
      </w:r>
      <w:r/>
    </w:p>
    <w:p>
      <w:pPr>
        <w:pStyle w:val="842"/>
        <w:ind w:firstLine="708"/>
        <w:jc w:val="both"/>
        <w:spacing w:after="0"/>
        <w:rPr>
          <w:lang w:val="ru-RU"/>
        </w:rPr>
      </w:pPr>
      <w:r>
        <w:t xml:space="preserve">3. </w:t>
      </w:r>
      <w:r>
        <w:t xml:space="preserve">Настоящее постановление вступает в силу после его подписания</w:t>
      </w:r>
      <w:r>
        <w:rPr>
          <w:lang w:val="ru-RU"/>
        </w:rP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42"/>
        <w:ind w:firstLine="708"/>
        <w:jc w:val="both"/>
        <w:spacing w:after="0"/>
        <w:rPr>
          <w:lang w:val="ru-RU"/>
        </w:rPr>
      </w:pPr>
      <w:r>
        <w:rPr>
          <w:lang w:val="ru-RU"/>
        </w:rPr>
        <w:t xml:space="preserve">4. </w:t>
      </w:r>
      <w:r>
        <w:t xml:space="preserve">Настоящее постановление </w:t>
      </w:r>
      <w:bookmarkStart w:id="0" w:name="_GoBack"/>
      <w:r/>
      <w:bookmarkEnd w:id="0"/>
      <w:r>
        <w:t xml:space="preserve">разм</w:t>
      </w:r>
      <w:r>
        <w:rPr>
          <w:lang w:val="ru-RU"/>
        </w:rPr>
        <w:t xml:space="preserve">естить</w:t>
      </w:r>
      <w:r>
        <w:t xml:space="preserve"> на официальном сайте Печенгского муниципального округа </w:t>
      </w:r>
      <w:hyperlink r:id="rId11" w:tooltip="http://pechengamr.gov-murman.ru/" w:history="1">
        <w:r>
          <w:rPr>
            <w:color w:val="0000ff" w:themeColor="hyperlink"/>
            <w:u w:val="single"/>
          </w:rPr>
          <w:t xml:space="preserve">http://pechengamr.gov-murman.ru/</w:t>
        </w:r>
      </w:hyperlink>
      <w:r>
        <w:t xml:space="preserve">.</w:t>
      </w:r>
      <w:r>
        <w:rPr>
          <w:lang w:val="ru-RU"/>
        </w:rPr>
      </w:r>
      <w:r>
        <w:rPr>
          <w:lang w:val="ru-RU"/>
        </w:rPr>
      </w:r>
    </w:p>
    <w:p>
      <w:pPr>
        <w:pStyle w:val="842"/>
        <w:ind w:firstLine="708"/>
        <w:jc w:val="both"/>
        <w:spacing w:after="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pStyle w:val="842"/>
        <w:ind w:firstLine="708"/>
        <w:jc w:val="both"/>
        <w:spacing w:after="0"/>
        <w:rPr>
          <w:lang w:val="ru-RU"/>
        </w:rPr>
      </w:pPr>
      <w:r>
        <w:rPr>
          <w:lang w:val="ru-RU"/>
        </w:rPr>
      </w:r>
      <w:r>
        <w:rPr>
          <w:lang w:val="ru-RU"/>
        </w:rPr>
      </w:r>
      <w:r>
        <w:rPr>
          <w:lang w:val="ru-RU"/>
        </w:rPr>
      </w:r>
    </w:p>
    <w:p>
      <w:pPr>
        <w:jc w:val="both"/>
        <w:rPr>
          <w:rFonts w:eastAsia="Times New Roman"/>
        </w:rPr>
      </w:pPr>
      <w:r>
        <w:rPr>
          <w:rFonts w:eastAsia="Times New Roman"/>
        </w:rPr>
        <w:t xml:space="preserve">Глав</w:t>
      </w:r>
      <w:r>
        <w:rPr>
          <w:rFonts w:eastAsia="Times New Roman"/>
        </w:rPr>
        <w:t xml:space="preserve">а</w:t>
      </w:r>
      <w:r>
        <w:rPr>
          <w:rFonts w:eastAsia="Times New Roman"/>
        </w:rPr>
        <w:t xml:space="preserve"> Печенгского муниципального округа</w:t>
      </w:r>
      <w:r>
        <w:rPr>
          <w:rFonts w:eastAsia="Times New Roman"/>
        </w:rPr>
        <w:t xml:space="preserve"> </w:t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ab/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А.В. Кузнецов</w:t>
      </w:r>
      <w:r>
        <w:rPr>
          <w:rFonts w:eastAsia="Times New Roman"/>
        </w:rPr>
      </w:r>
      <w:r>
        <w:rPr>
          <w:rFonts w:eastAsia="Times New Roman"/>
        </w:rPr>
      </w: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right="-1"/>
        <w:widowControl w:val="off"/>
        <w:tabs>
          <w:tab w:val="left" w:pos="0" w:leader="none"/>
          <w:tab w:val="left" w:pos="284" w:leader="none"/>
          <w:tab w:val="left" w:pos="426" w:leader="none"/>
        </w:tabs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Хорошилова</w:t>
      </w:r>
      <w:r>
        <w:rPr>
          <w:sz w:val="20"/>
          <w:szCs w:val="20"/>
        </w:rPr>
        <w:t xml:space="preserve"> Е.А</w:t>
      </w:r>
      <w:r>
        <w:rPr>
          <w:sz w:val="20"/>
          <w:szCs w:val="20"/>
        </w:rPr>
        <w:t xml:space="preserve">., </w:t>
      </w:r>
      <w:r>
        <w:rPr>
          <w:sz w:val="20"/>
          <w:szCs w:val="20"/>
        </w:rPr>
        <w:t xml:space="preserve">5-13-63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6">
    <w:name w:val="Heading 1"/>
    <w:basedOn w:val="831"/>
    <w:next w:val="831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2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1"/>
    <w:next w:val="831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2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1"/>
    <w:next w:val="831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2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1"/>
    <w:next w:val="831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2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1"/>
    <w:next w:val="831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2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1"/>
    <w:next w:val="831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2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1"/>
    <w:next w:val="831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2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1"/>
    <w:next w:val="831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2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1"/>
    <w:next w:val="831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2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2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2"/>
    <w:link w:val="838"/>
    <w:uiPriority w:val="99"/>
  </w:style>
  <w:style w:type="character" w:styleId="684">
    <w:name w:val="Footer Char"/>
    <w:basedOn w:val="832"/>
    <w:link w:val="840"/>
    <w:uiPriority w:val="99"/>
  </w:style>
  <w:style w:type="paragraph" w:styleId="685">
    <w:name w:val="Caption"/>
    <w:basedOn w:val="831"/>
    <w:next w:val="83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685"/>
    <w:link w:val="840"/>
    <w:uiPriority w:val="99"/>
  </w:style>
  <w:style w:type="table" w:styleId="687">
    <w:name w:val="Table Grid"/>
    <w:basedOn w:val="8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0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1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5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6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2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4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87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2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2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2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pPr>
      <w:spacing w:after="0" w:line="240" w:lineRule="auto"/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 w:customStyle="1">
    <w:name w:val="Абзац списка1"/>
    <w:basedOn w:val="831"/>
    <w:pPr>
      <w:ind w:left="708"/>
    </w:pPr>
  </w:style>
  <w:style w:type="paragraph" w:styleId="836">
    <w:name w:val="Balloon Text"/>
    <w:basedOn w:val="831"/>
    <w:link w:val="837"/>
    <w:uiPriority w:val="99"/>
    <w:semiHidden/>
    <w:unhideWhenUsed/>
    <w:rPr>
      <w:rFonts w:ascii="Tahoma" w:hAnsi="Tahoma" w:cs="Tahoma"/>
      <w:sz w:val="16"/>
      <w:szCs w:val="16"/>
    </w:rPr>
  </w:style>
  <w:style w:type="character" w:styleId="837" w:customStyle="1">
    <w:name w:val="Текст выноски Знак"/>
    <w:basedOn w:val="832"/>
    <w:link w:val="836"/>
    <w:uiPriority w:val="99"/>
    <w:semiHidden/>
    <w:rPr>
      <w:rFonts w:ascii="Tahoma" w:hAnsi="Tahoma" w:eastAsia="Calibri" w:cs="Tahoma"/>
      <w:sz w:val="16"/>
      <w:szCs w:val="16"/>
      <w:lang w:eastAsia="ru-RU"/>
    </w:rPr>
  </w:style>
  <w:style w:type="paragraph" w:styleId="838">
    <w:name w:val="Header"/>
    <w:basedOn w:val="831"/>
    <w:link w:val="83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39" w:customStyle="1">
    <w:name w:val="Верхний колонтитул Знак"/>
    <w:basedOn w:val="832"/>
    <w:link w:val="838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40">
    <w:name w:val="Footer"/>
    <w:basedOn w:val="831"/>
    <w:link w:val="84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41" w:customStyle="1">
    <w:name w:val="Нижний колонтитул Знак"/>
    <w:basedOn w:val="832"/>
    <w:link w:val="840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842">
    <w:name w:val="Body Text"/>
    <w:basedOn w:val="831"/>
    <w:link w:val="843"/>
    <w:uiPriority w:val="99"/>
    <w:unhideWhenUsed/>
    <w:pPr>
      <w:spacing w:after="120"/>
    </w:pPr>
    <w:rPr>
      <w:rFonts w:eastAsia="Times New Roman"/>
    </w:rPr>
  </w:style>
  <w:style w:type="character" w:styleId="843" w:customStyle="1">
    <w:name w:val="Основной текст Знак"/>
    <w:basedOn w:val="832"/>
    <w:link w:val="842"/>
    <w:uiPriority w:val="99"/>
    <w:rPr>
      <w:rFonts w:ascii="Times New Roman" w:hAnsi="Times New Roman" w:eastAsia="Times New Roman" w:cs="Times New Roman"/>
      <w:sz w:val="24"/>
      <w:szCs w:val="24"/>
    </w:rPr>
  </w:style>
  <w:style w:type="paragraph" w:styleId="844">
    <w:name w:val="List Paragraph"/>
    <w:basedOn w:val="831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55F95-B761-4008-81E5-81131A5EF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kondratyeva</dc:creator>
  <cp:revision>5</cp:revision>
  <dcterms:created xsi:type="dcterms:W3CDTF">2024-04-26T09:25:00Z</dcterms:created>
  <dcterms:modified xsi:type="dcterms:W3CDTF">2024-05-13T07:03:12Z</dcterms:modified>
</cp:coreProperties>
</file>