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  <w:lang w:val="en-US"/>
        </w:rPr>
      </w:pPr>
      <w:r>
        <w:rPr>
          <w:szCs w:val="16"/>
          <w:lang w:val="en-US"/>
        </w:rPr>
      </w:r>
      <w:r>
        <w:rPr>
          <w:szCs w:val="16"/>
          <w:lang w:val="en-US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31.07.2023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1111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2023-2025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1503</w:t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2023-2025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3.0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935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</w:t>
      </w:r>
      <w:r>
        <w:rPr>
          <w:sz w:val="24"/>
          <w:szCs w:val="24"/>
        </w:rPr>
        <w:t xml:space="preserve">«Показатели программы</w:t>
      </w:r>
      <w:r>
        <w:rPr>
          <w:sz w:val="24"/>
          <w:szCs w:val="24"/>
        </w:rPr>
        <w:t xml:space="preserve">» 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аспорте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</w:p>
    <w:tbl>
      <w:tblPr>
        <w:tblW w:w="9540" w:type="dxa"/>
        <w:jc w:val="center"/>
        <w:tblInd w:w="-26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8"/>
        <w:gridCol w:w="7412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Показатели программы</w:t>
            </w:r>
            <w:r>
              <w:rPr>
                <w:rFonts w:eastAsia="Calibri"/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1. Количество отремонтированных контейнерных площадок.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2. Обследование несанкционированных мест размещения отходов.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3. Снижение количества несанкционированных мест размещения отходов.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4. Доля отремонтированных магистральных сетей тепло- и водоснабжения от общей протяженности системы тепло- и водоснабжения.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5. Доля отремонтированных внутриквартальных сетей водоснабжения и водоотведения от общей протяженности системы водоснабжения и водоотведения.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6. Наличие положительного заключения негосударственной экспертизы сметной документации на ремонт наружных инженерных сетей тепло- и водоснабжения.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7. Осуществление запланированных мероприятий по инвестиционному проекту «Строительство объекта капитального </w:t>
            </w:r>
            <w:r>
              <w:rPr>
                <w:rFonts w:eastAsia="Calibri"/>
                <w:sz w:val="24"/>
                <w:szCs w:val="24"/>
                <w:lang w:eastAsia="ar-SA"/>
              </w:rPr>
              <w:t xml:space="preserve">строительства «Новое кладбище МОГП Никель в районе 3 км автодороги </w:t>
            </w:r>
            <w:r>
              <w:rPr>
                <w:rFonts w:eastAsia="Calibri"/>
                <w:sz w:val="24"/>
                <w:szCs w:val="24"/>
                <w:lang w:eastAsia="ar-SA"/>
              </w:rPr>
              <w:t xml:space="preserve">Никель-Приречный</w:t>
            </w:r>
            <w:r>
              <w:rPr>
                <w:rFonts w:eastAsia="Calibri"/>
                <w:sz w:val="24"/>
                <w:szCs w:val="24"/>
                <w:lang w:eastAsia="ar-SA"/>
              </w:rPr>
              <w:t xml:space="preserve"> Печенгского района Мурманской области».</w:t>
            </w:r>
            <w:r>
              <w:rPr>
                <w:rFonts w:eastAsia="Calibri"/>
                <w:sz w:val="24"/>
                <w:szCs w:val="24"/>
                <w:lang w:eastAsia="ar-SA"/>
              </w:rPr>
            </w:r>
          </w:p>
          <w:p>
            <w:pPr>
              <w:ind w:left="44"/>
              <w:jc w:val="both"/>
              <w:tabs>
                <w:tab w:val="left" w:pos="34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8. Площадь отсыпанной территории городского кладбища.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44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9. Организация и содержание мест захоронения на территории муниципального округа (в том числе: текущее содержание, инвентаризация городского кладбища, захоронение трупов, невостребованных родственниками).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10. Обеспечение выплат по гарантированному перечню услуг по погребению.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11. Количество отремонтированных подпорных стен.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12. Количество отремонтированных и построенных лестничных спусков.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13. Площадь отремонтированных тротуаров и маршрутов.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14. Количество приобретенных, установленных малых архитектурных форм.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15. Приобретение рассады, саженцев.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16. Содержание фонтана в г.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Заполярный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17. Исправное состояние сетей наружного освещения.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18. Количество благоустроенных детских игровых площадок.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19. Содержание детских игровых и спортивных площадок.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20. Количество эвакуированного бесхозяйного (брошенного) транспорта с дворовых территорий.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21. Количество незаселенных жилых помещений, приведенных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надлежащее санитарно-техническое состояние (в том числе: зашивка оконных и дверных проемов в жилых помещениях многоквартирных домов жилого фонда; вывоз мусора из квартир; обследование на предмет непригодности для проживания жилых помещений в МКД и др.).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  <w:tab w:val="left" w:pos="523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22. Количество трудовых бригад.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ind w:left="18"/>
              <w:jc w:val="both"/>
              <w:tabs>
                <w:tab w:val="left" w:pos="301" w:leader="none"/>
                <w:tab w:val="left" w:pos="523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23. Количество установленных опор наружного освещения.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24. Обеспечение деятельности муниципальных учреждений по осуществлению содержания объектов благоустройства.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25. Количество отловленных  животных без владельцев.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26. Количество полученных результатов инженерных изысканий.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27. Наличие актуализированной проектно-сметной документации на строительство водовода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нп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Корзуново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28. Наличие актуализированной схемы теплоснабжения.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29. Доля фактически выполненных работ по подготовке к отопительному периоду.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30. Количество приобретенного автотранспорта (специализированной техники).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31. Численность граждан, привлеченных к временным общественно полезным работам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Исполнители программы</w:t>
      </w:r>
      <w:r>
        <w:rPr>
          <w:sz w:val="24"/>
          <w:szCs w:val="24"/>
        </w:rPr>
        <w:t xml:space="preserve">» в паспорте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Исполнители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по управлению имуществом администрации Печенгского муниципального округа (далее - КУИ), м</w:t>
            </w:r>
            <w:r>
              <w:rPr>
                <w:bCs/>
                <w:sz w:val="24"/>
                <w:szCs w:val="24"/>
              </w:rPr>
              <w:t xml:space="preserve">униципальное бюджетное учреждение «Никельская дорожная служба» (далее – МБУ «НДС»), муниципальное казенное учреждение «Управление благоустройства и развития» (далее – МКУ «</w:t>
            </w:r>
            <w:r>
              <w:rPr>
                <w:bCs/>
                <w:sz w:val="24"/>
                <w:szCs w:val="24"/>
              </w:rPr>
              <w:t xml:space="preserve">УБиР</w:t>
            </w:r>
            <w:r>
              <w:rPr>
                <w:bCs/>
                <w:sz w:val="24"/>
                <w:szCs w:val="24"/>
              </w:rPr>
              <w:t xml:space="preserve">»), </w:t>
            </w:r>
            <w:r>
              <w:rPr>
                <w:bCs/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уницип</w:t>
            </w:r>
            <w:r>
              <w:rPr>
                <w:sz w:val="24"/>
                <w:szCs w:val="24"/>
              </w:rPr>
              <w:t xml:space="preserve">альное бюджетное учреждение «Дорожно-эксплуатационная служба Печенги» (далее – МБУ «ДЭСП»), муниципальное казенное учреждение «Управление по обеспечению деятельности администрации Печенгского муниципального округа» (отдел работы с населением) (далее – ОРН)</w:t>
            </w:r>
            <w:r>
              <w:rPr>
                <w:sz w:val="24"/>
                <w:szCs w:val="24"/>
              </w:rPr>
              <w:t xml:space="preserve">, Администрация Печенгского муниципального округа (далее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Администрация), </w:t>
            </w:r>
            <w:r>
              <w:rPr>
                <w:sz w:val="24"/>
                <w:szCs w:val="24"/>
              </w:rPr>
              <w:t xml:space="preserve">муниципальное бюджетное учреждение «Ремонтно-эксплуатационная служба»  (далее </w:t>
            </w: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МБУ «РЭС»</w:t>
            </w:r>
            <w:r>
              <w:rPr>
                <w:sz w:val="24"/>
                <w:szCs w:val="24"/>
              </w:rPr>
              <w:t xml:space="preserve">)»;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2.4.4, 2.4.5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2.4.7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таблице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«Основные показатели эффективности реализации программы»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раздела 2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709"/>
        <w:gridCol w:w="850"/>
        <w:gridCol w:w="992"/>
        <w:gridCol w:w="993"/>
        <w:gridCol w:w="850"/>
        <w:gridCol w:w="1418"/>
      </w:tblGrid>
      <w:tr>
        <w:tblPrEx/>
        <w:trPr>
          <w:trHeight w:val="209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«2.1.1.</w:t>
            </w:r>
            <w:r/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Количество  отремонтированных контейнерных площадок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highlight w:val="yellow"/>
              </w:rPr>
            </w:pPr>
            <w:r>
              <w:t xml:space="preserve">5</w:t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</w:t>
            </w:r>
            <w:r/>
          </w:p>
          <w:p>
            <w:pPr>
              <w:ind w:right="22"/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4</w:t>
            </w:r>
            <w:r/>
          </w:p>
        </w:tc>
        <w:tc>
          <w:tcPr>
            <w:shd w:val="clear" w:color="auto" w:fill="auto"/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2.4.4.</w:t>
            </w:r>
            <w:r/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приобретенных, установленных малых архитектурных форм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13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2.4.5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рассады, саженцев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да/</w:t>
            </w:r>
            <w:r/>
          </w:p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2.4.7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Исправное состояние сетей наружного освещения на территории округа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да/ нет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2.4.14.</w:t>
            </w:r>
            <w:r/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да/ нет</w:t>
            </w:r>
            <w:r/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Отчеты исполнителей программы»;</w:t>
            </w:r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</w:t>
      </w:r>
      <w:r>
        <w:rPr>
          <w:sz w:val="24"/>
          <w:szCs w:val="24"/>
        </w:rPr>
        <w:t xml:space="preserve">«Показатели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1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«О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рана окружающей среды»  </w:t>
      </w:r>
      <w:r>
        <w:rPr>
          <w:sz w:val="24"/>
          <w:szCs w:val="24"/>
        </w:rPr>
        <w:t xml:space="preserve">(далее – Подпрограмма 1)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Показатели подпрограммы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1. Количество отремонтированных контейнерных площадок.</w:t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2. Обследование несанкционированных мест размещения отходов.</w:t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3. Снижение количества несанкционированных мест размещения отходов.</w:t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4. Количество полученных результатов инженерных изысканий</w:t>
            </w:r>
            <w:r>
              <w:rPr>
                <w:sz w:val="22"/>
                <w:szCs w:val="22"/>
                <w:lang w:eastAsia="ar-SA"/>
              </w:rPr>
              <w:t xml:space="preserve">.</w:t>
            </w:r>
            <w:r>
              <w:rPr>
                <w:sz w:val="22"/>
                <w:szCs w:val="22"/>
                <w:lang w:eastAsia="ar-SA"/>
              </w:rPr>
              <w:t xml:space="preserve">»;</w:t>
            </w:r>
            <w:r>
              <w:rPr>
                <w:sz w:val="22"/>
                <w:szCs w:val="22"/>
                <w:lang w:eastAsia="ar-SA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1.1.1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е 1 </w:t>
      </w:r>
      <w:r>
        <w:rPr>
          <w:sz w:val="24"/>
          <w:szCs w:val="24"/>
        </w:rPr>
        <w:t xml:space="preserve">«Перечень </w:t>
      </w:r>
      <w:r>
        <w:rPr>
          <w:sz w:val="24"/>
          <w:szCs w:val="24"/>
        </w:rPr>
        <w:t xml:space="preserve">мероприятий подпрограммы с </w:t>
      </w:r>
      <w:r>
        <w:rPr>
          <w:sz w:val="24"/>
          <w:szCs w:val="24"/>
        </w:rPr>
        <w:t xml:space="preserve">объёмом финансирования»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</w:t>
      </w:r>
      <w:r>
        <w:rPr>
          <w:sz w:val="24"/>
          <w:szCs w:val="24"/>
        </w:rPr>
        <w:t xml:space="preserve"> следующе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1505"/>
        <w:gridCol w:w="1101"/>
        <w:gridCol w:w="962"/>
        <w:gridCol w:w="962"/>
        <w:gridCol w:w="826"/>
        <w:gridCol w:w="962"/>
        <w:gridCol w:w="826"/>
        <w:gridCol w:w="1376"/>
      </w:tblGrid>
      <w:tr>
        <w:tblPrEx/>
        <w:trPr>
          <w:trHeight w:val="185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80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контейнерных площадок</w:t>
            </w:r>
            <w:r/>
          </w:p>
        </w:tc>
        <w:tc>
          <w:tcPr>
            <w:shd w:val="clear" w:color="auto" w:fill="auto"/>
            <w:tcW w:w="5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73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</w:t>
            </w:r>
            <w:r>
              <w:t xml:space="preserve">;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0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73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0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9000,0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3000,0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3000,0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3000,0</w:t>
            </w:r>
            <w:r/>
          </w:p>
        </w:tc>
        <w:tc>
          <w:tcPr>
            <w:tcW w:w="73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0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73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5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0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3000,0</w:t>
            </w:r>
            <w:r>
              <w:rPr>
                <w:b/>
              </w:rPr>
            </w:r>
          </w:p>
        </w:tc>
        <w:tc>
          <w:tcPr>
            <w:tcW w:w="7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1.1.1 </w:t>
      </w:r>
      <w:r>
        <w:rPr>
          <w:sz w:val="24"/>
          <w:szCs w:val="24"/>
        </w:rPr>
        <w:t xml:space="preserve">в таблице 2 «Перечень </w:t>
      </w:r>
      <w:r>
        <w:rPr>
          <w:sz w:val="24"/>
          <w:szCs w:val="24"/>
        </w:rPr>
        <w:t xml:space="preserve">мероприятий подпрограммы с </w:t>
      </w:r>
      <w:r>
        <w:rPr>
          <w:sz w:val="24"/>
          <w:szCs w:val="24"/>
        </w:rPr>
        <w:t xml:space="preserve">показателями результативности выполнения мероприятий» к </w:t>
      </w:r>
      <w:r>
        <w:rPr>
          <w:sz w:val="24"/>
          <w:szCs w:val="24"/>
        </w:rPr>
        <w:t xml:space="preserve">Подпрограмме 1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1458"/>
        <w:gridCol w:w="786"/>
        <w:gridCol w:w="1535"/>
        <w:gridCol w:w="562"/>
        <w:gridCol w:w="979"/>
        <w:gridCol w:w="979"/>
        <w:gridCol w:w="977"/>
        <w:gridCol w:w="1252"/>
      </w:tblGrid>
      <w:tr>
        <w:tblPrEx/>
        <w:trPr>
          <w:trHeight w:val="1190"/>
        </w:trPr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779" w:type="pct"/>
            <w:textDirection w:val="lrTb"/>
            <w:noWrap w:val="false"/>
          </w:tcPr>
          <w:p>
            <w:pPr>
              <w:jc w:val="both"/>
            </w:pPr>
            <w:r>
              <w:t xml:space="preserve">Р</w:t>
            </w:r>
            <w:r>
              <w:t xml:space="preserve">емонт контейнерных площадок</w:t>
            </w:r>
            <w:r/>
          </w:p>
        </w:tc>
        <w:tc>
          <w:tcPr>
            <w:shd w:val="clear" w:color="auto" w:fill="auto"/>
            <w:tcW w:w="420" w:type="pc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3</w:t>
            </w:r>
            <w:r>
              <w:t xml:space="preserve">-202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820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отремонтированных </w:t>
            </w:r>
            <w:r>
              <w:t xml:space="preserve">контейнерных</w:t>
            </w:r>
            <w:r>
              <w:t xml:space="preserve"> площадок</w:t>
            </w:r>
            <w:r/>
          </w:p>
        </w:tc>
        <w:tc>
          <w:tcPr>
            <w:shd w:val="clear" w:color="auto" w:fill="auto"/>
            <w:tcW w:w="300" w:type="pct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shd w:val="clear" w:color="auto" w:fill="auto"/>
            <w:tcW w:w="670" w:type="pc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</w:t>
            </w:r>
            <w:r>
              <w:t xml:space="preserve">;</w:t>
            </w:r>
            <w:r/>
          </w:p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рограммы»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3 </w:t>
      </w:r>
      <w:r>
        <w:rPr>
          <w:sz w:val="24"/>
          <w:szCs w:val="24"/>
        </w:rPr>
        <w:t xml:space="preserve">«Развити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сферы ритуальных услуг и мест захоронения» </w:t>
      </w:r>
      <w:r>
        <w:rPr>
          <w:sz w:val="24"/>
          <w:szCs w:val="24"/>
        </w:rPr>
        <w:t xml:space="preserve">(далее – Подпрограмма 3)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9492" w:type="dxa"/>
        <w:jc w:val="center"/>
        <w:tblInd w:w="33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2"/>
        <w:gridCol w:w="751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</w:t>
            </w:r>
            <w:r>
              <w:rPr>
                <w:sz w:val="24"/>
                <w:szCs w:val="24"/>
              </w:rPr>
              <w:t xml:space="preserve">под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0" w:type="dxa"/>
            <w:textDirection w:val="lrTb"/>
            <w:noWrap w:val="false"/>
          </w:tcPr>
          <w:p>
            <w:pPr>
              <w:pStyle w:val="77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105539,7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54649,6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50815,9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74,2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23170,9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10149,1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6510,9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6510,9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</w:t>
            </w:r>
            <w:r>
              <w:rPr>
                <w:sz w:val="24"/>
                <w:szCs w:val="24"/>
              </w:rPr>
              <w:t xml:space="preserve">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</w:t>
      </w:r>
      <w:r>
        <w:rPr>
          <w:sz w:val="24"/>
          <w:szCs w:val="24"/>
        </w:rPr>
        <w:t xml:space="preserve">«Исполнители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» в паспорте </w:t>
      </w:r>
      <w:r>
        <w:rPr>
          <w:sz w:val="24"/>
          <w:szCs w:val="24"/>
        </w:rPr>
        <w:t xml:space="preserve">Подпрограммы 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</w:p>
    <w:tbl>
      <w:tblPr>
        <w:tblW w:w="4947" w:type="pct"/>
        <w:jc w:val="center"/>
        <w:tblInd w:w="234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91"/>
        <w:gridCol w:w="7113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8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Исполни</w:t>
            </w:r>
            <w:r>
              <w:rPr>
                <w:sz w:val="24"/>
                <w:szCs w:val="24"/>
              </w:rPr>
              <w:t xml:space="preserve">тели подпрограммы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2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КУИ;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МБУ «НДС»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; ОРН; МБУ «РЭС»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  <w:lang w:eastAsia="ar-SA"/>
              </w:rPr>
            </w:r>
          </w:p>
        </w:tc>
      </w:tr>
    </w:tbl>
    <w:p>
      <w:pPr>
        <w:ind w:right="-5"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widowControl w:val="off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 xml:space="preserve">строк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z w:val="24"/>
          <w:szCs w:val="24"/>
          <w:lang w:eastAsia="en-US"/>
        </w:rPr>
        <w:t xml:space="preserve"> 3.1.2</w:t>
      </w:r>
      <w:r>
        <w:rPr>
          <w:rFonts w:eastAsia="Calibri"/>
          <w:sz w:val="24"/>
          <w:szCs w:val="24"/>
          <w:lang w:eastAsia="en-US"/>
        </w:rPr>
        <w:t xml:space="preserve"> и «Итого по мероприятию 1» </w:t>
      </w:r>
      <w:r>
        <w:rPr>
          <w:rFonts w:eastAsia="Calibri"/>
          <w:sz w:val="24"/>
          <w:szCs w:val="24"/>
          <w:lang w:eastAsia="en-US"/>
        </w:rPr>
        <w:t xml:space="preserve">в </w:t>
      </w:r>
      <w:r>
        <w:rPr>
          <w:rFonts w:eastAsia="Calibri"/>
          <w:sz w:val="24"/>
          <w:szCs w:val="24"/>
          <w:lang w:eastAsia="en-US"/>
        </w:rPr>
        <w:t xml:space="preserve">приложени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z w:val="24"/>
          <w:szCs w:val="24"/>
          <w:lang w:eastAsia="en-US"/>
        </w:rPr>
        <w:t xml:space="preserve"> 1</w:t>
      </w:r>
      <w:r>
        <w:rPr>
          <w:rFonts w:eastAsia="Calibri"/>
          <w:sz w:val="24"/>
          <w:szCs w:val="24"/>
          <w:lang w:eastAsia="en-US"/>
        </w:rPr>
        <w:t xml:space="preserve"> «Перечень мероприятий </w:t>
      </w:r>
      <w:r>
        <w:rPr>
          <w:rFonts w:eastAsia="Calibri"/>
          <w:sz w:val="24"/>
          <w:szCs w:val="24"/>
          <w:lang w:eastAsia="en-US"/>
        </w:rPr>
        <w:t xml:space="preserve">под</w:t>
      </w:r>
      <w:r>
        <w:rPr>
          <w:rFonts w:eastAsia="Calibri"/>
          <w:sz w:val="24"/>
          <w:szCs w:val="24"/>
          <w:lang w:eastAsia="en-US"/>
        </w:rPr>
        <w:t xml:space="preserve">программы с объёмом финансирования» </w:t>
      </w:r>
      <w:r>
        <w:rPr>
          <w:rFonts w:eastAsia="Calibri"/>
          <w:sz w:val="24"/>
          <w:szCs w:val="24"/>
          <w:lang w:eastAsia="en-US"/>
        </w:rPr>
        <w:t xml:space="preserve">к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Подпрограмме 3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 xml:space="preserve">изложить </w:t>
      </w:r>
      <w:r>
        <w:rPr>
          <w:rFonts w:eastAsia="Calibri"/>
          <w:bCs/>
          <w:sz w:val="24"/>
          <w:szCs w:val="24"/>
          <w:lang w:eastAsia="en-US"/>
        </w:rPr>
        <w:t xml:space="preserve">в следующей редакции:</w:t>
      </w:r>
      <w:r>
        <w:rPr>
          <w:rFonts w:eastAsia="Calibri"/>
          <w:bCs/>
          <w:sz w:val="24"/>
          <w:szCs w:val="24"/>
          <w:lang w:eastAsia="en-US"/>
        </w:rPr>
      </w:r>
    </w:p>
    <w:tbl>
      <w:tblPr>
        <w:tblW w:w="489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1671"/>
        <w:gridCol w:w="698"/>
        <w:gridCol w:w="837"/>
        <w:gridCol w:w="1118"/>
        <w:gridCol w:w="1116"/>
        <w:gridCol w:w="977"/>
        <w:gridCol w:w="1118"/>
        <w:gridCol w:w="998"/>
      </w:tblGrid>
      <w:tr>
        <w:tblPrEx/>
        <w:trPr>
          <w:trHeight w:val="126"/>
        </w:trPr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3.1.2.</w:t>
            </w:r>
            <w:r/>
          </w:p>
        </w:tc>
        <w:tc>
          <w:tcPr>
            <w:shd w:val="clear" w:color="auto" w:fill="auto"/>
            <w:tcW w:w="89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Отсыпка городского кладбища пгт. Никель</w:t>
            </w:r>
            <w:r/>
          </w:p>
        </w:tc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МБУ «НДС»</w:t>
            </w:r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14805,3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3930,1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5437,6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5437,6</w:t>
            </w:r>
            <w:r/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14805,3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3930,1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5437,6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5437,6</w:t>
            </w:r>
            <w:r>
              <w:rPr>
                <w:b/>
              </w:rPr>
            </w:r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мероприятию 1</w:t>
            </w:r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2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105317,1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54575,4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50741,7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19774,2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8899,0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5437,6</w:t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5437,6</w:t>
            </w:r>
            <w:r>
              <w:rPr>
                <w:b/>
              </w:rPr>
            </w:r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125091,3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63474,4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56179,3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5437,6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</w:p>
        </w:tc>
        <w:tc>
          <w:tcPr>
            <w:tcW w:w="53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ind w:right="-5" w:firstLine="708"/>
        <w:jc w:val="both"/>
        <w:widowControl w:val="off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</w:r>
    </w:p>
    <w:p>
      <w:pPr>
        <w:ind w:right="-5" w:firstLine="708"/>
        <w:jc w:val="both"/>
        <w:widowControl w:val="off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- строк</w:t>
      </w:r>
      <w:r>
        <w:rPr>
          <w:rFonts w:eastAsia="Calibri"/>
          <w:bCs/>
          <w:sz w:val="24"/>
          <w:szCs w:val="24"/>
          <w:lang w:eastAsia="en-US"/>
        </w:rPr>
        <w:t xml:space="preserve">и</w:t>
      </w:r>
      <w:r>
        <w:rPr>
          <w:rFonts w:eastAsia="Calibri"/>
          <w:bCs/>
          <w:sz w:val="24"/>
          <w:szCs w:val="24"/>
          <w:lang w:eastAsia="en-US"/>
        </w:rPr>
        <w:t xml:space="preserve"> 3.2.1</w:t>
      </w:r>
      <w:r>
        <w:rPr>
          <w:rFonts w:eastAsia="Calibri"/>
          <w:bCs/>
          <w:sz w:val="24"/>
          <w:szCs w:val="24"/>
          <w:lang w:eastAsia="en-US"/>
        </w:rPr>
        <w:t xml:space="preserve">, «Итого по мероприятию 2» и «Всего по подпрограмме 3» </w:t>
      </w:r>
      <w:r>
        <w:rPr>
          <w:rFonts w:eastAsia="Calibri"/>
          <w:bCs/>
          <w:sz w:val="24"/>
          <w:szCs w:val="24"/>
          <w:lang w:eastAsia="en-US"/>
        </w:rPr>
        <w:t xml:space="preserve">в </w:t>
      </w:r>
      <w:r>
        <w:rPr>
          <w:rFonts w:eastAsia="Calibri"/>
          <w:bCs/>
          <w:sz w:val="24"/>
          <w:szCs w:val="24"/>
          <w:lang w:eastAsia="en-US"/>
        </w:rPr>
        <w:t xml:space="preserve">приложени</w:t>
      </w:r>
      <w:r>
        <w:rPr>
          <w:rFonts w:eastAsia="Calibri"/>
          <w:bCs/>
          <w:sz w:val="24"/>
          <w:szCs w:val="24"/>
          <w:lang w:eastAsia="en-US"/>
        </w:rPr>
        <w:t xml:space="preserve">и</w:t>
      </w:r>
      <w:r>
        <w:rPr>
          <w:rFonts w:eastAsia="Calibri"/>
          <w:bCs/>
          <w:sz w:val="24"/>
          <w:szCs w:val="24"/>
          <w:lang w:eastAsia="en-US"/>
        </w:rPr>
        <w:t xml:space="preserve"> 1</w:t>
      </w:r>
      <w:r>
        <w:rPr>
          <w:rFonts w:eastAsia="Calibri"/>
          <w:sz w:val="24"/>
          <w:szCs w:val="24"/>
          <w:lang w:eastAsia="en-US"/>
        </w:rPr>
        <w:t xml:space="preserve"> «Перечень мероприятий </w:t>
      </w:r>
      <w:r>
        <w:rPr>
          <w:rFonts w:eastAsia="Calibri"/>
          <w:sz w:val="24"/>
          <w:szCs w:val="24"/>
          <w:lang w:eastAsia="en-US"/>
        </w:rPr>
        <w:t xml:space="preserve">под</w:t>
      </w:r>
      <w:r>
        <w:rPr>
          <w:rFonts w:eastAsia="Calibri"/>
          <w:sz w:val="24"/>
          <w:szCs w:val="24"/>
          <w:lang w:eastAsia="en-US"/>
        </w:rPr>
        <w:t xml:space="preserve">программы с объёмом финансирования» </w:t>
      </w:r>
      <w:r>
        <w:rPr>
          <w:rFonts w:eastAsia="Calibri"/>
          <w:sz w:val="24"/>
          <w:szCs w:val="24"/>
          <w:lang w:eastAsia="en-US"/>
        </w:rPr>
        <w:t xml:space="preserve">к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Подпрограмме 3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 xml:space="preserve">изложить </w:t>
      </w:r>
      <w:r>
        <w:rPr>
          <w:rFonts w:eastAsia="Calibri"/>
          <w:bCs/>
          <w:sz w:val="24"/>
          <w:szCs w:val="24"/>
          <w:lang w:eastAsia="en-US"/>
        </w:rPr>
        <w:t xml:space="preserve">в следующей редакции:</w:t>
      </w:r>
      <w:r>
        <w:rPr>
          <w:rFonts w:eastAsia="Calibri"/>
          <w:bCs/>
          <w:sz w:val="24"/>
          <w:szCs w:val="24"/>
          <w:lang w:eastAsia="en-US"/>
        </w:rPr>
      </w:r>
    </w:p>
    <w:tbl>
      <w:tblPr>
        <w:tblW w:w="490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675"/>
        <w:gridCol w:w="700"/>
        <w:gridCol w:w="844"/>
        <w:gridCol w:w="1141"/>
        <w:gridCol w:w="1088"/>
        <w:gridCol w:w="976"/>
        <w:gridCol w:w="1118"/>
        <w:gridCol w:w="1000"/>
      </w:tblGrid>
      <w:tr>
        <w:tblPrEx/>
        <w:trPr>
          <w:trHeight w:val="126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3.2.1.</w:t>
            </w:r>
            <w:r/>
          </w:p>
        </w:tc>
        <w:tc>
          <w:tcPr>
            <w:shd w:val="clear" w:color="auto" w:fill="auto"/>
            <w:tcW w:w="89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</w:t>
            </w:r>
            <w:r>
              <w:t xml:space="preserve">муниципального округа (текущее содержание, доставка невостребованных в морг, захоронение)</w:t>
            </w:r>
            <w:r/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МБУ «НДС»</w:t>
            </w:r>
            <w:r>
              <w:rPr>
                <w:color w:val="000000"/>
                <w:spacing w:val="1"/>
              </w:rPr>
              <w:t xml:space="preserve">, МБУ «РЭС»</w:t>
            </w:r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3396,7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1250,1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1073,3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1073,3</w:t>
            </w:r>
            <w:r/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9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3396</w:t>
            </w:r>
            <w:r>
              <w:rPr>
                <w:b/>
              </w:rPr>
              <w:t xml:space="preserve">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1073,3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мероприятию 2</w:t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3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222,6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74,2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3396,7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1250,1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</w:rPr>
              <w:t xml:space="preserve">1073,3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1073,3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3619,3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1324,3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1147,5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1147,5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3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105539,7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54649,6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50815,9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74,2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23170,9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10149,1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6510,9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6510,9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7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128710,6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64798,7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57326,8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6585,1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</w:p>
        </w:tc>
        <w:tc>
          <w:tcPr>
            <w:tcW w:w="53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ind w:right="-5" w:firstLine="708"/>
        <w:jc w:val="both"/>
        <w:widowControl w:val="off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</w:r>
      <w:r>
        <w:rPr>
          <w:rFonts w:eastAsia="Calibri"/>
          <w:bCs/>
          <w:lang w:eastAsia="en-US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3.2.1 </w:t>
      </w:r>
      <w:r>
        <w:rPr>
          <w:sz w:val="24"/>
          <w:szCs w:val="24"/>
        </w:rPr>
        <w:t xml:space="preserve">в п</w:t>
      </w:r>
      <w:r>
        <w:rPr>
          <w:sz w:val="24"/>
          <w:szCs w:val="24"/>
        </w:rPr>
        <w:t xml:space="preserve">риложении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«Перечень мероприятий подпрограммы с показателями результативности выполнения мероприятий» к </w:t>
      </w:r>
      <w:r>
        <w:rPr>
          <w:sz w:val="24"/>
          <w:szCs w:val="24"/>
        </w:rPr>
        <w:t xml:space="preserve">Подпрограмме 3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108"/>
        <w:gridCol w:w="696"/>
        <w:gridCol w:w="1956"/>
        <w:gridCol w:w="698"/>
        <w:gridCol w:w="698"/>
        <w:gridCol w:w="698"/>
        <w:gridCol w:w="698"/>
        <w:gridCol w:w="979"/>
      </w:tblGrid>
      <w:tr>
        <w:tblPrEx/>
        <w:trPr>
          <w:trHeight w:val="1190"/>
        </w:trPr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«3.2.1.</w:t>
            </w:r>
            <w:r/>
          </w:p>
        </w:tc>
        <w:tc>
          <w:tcPr>
            <w:shd w:val="clear" w:color="auto" w:fill="auto"/>
            <w:tcW w:w="1126" w:type="pc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невостребованных в морг, захоронение)</w:t>
            </w:r>
            <w:r/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1045" w:type="pc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и содержание мест захоронения на территории муниципального округа (в </w:t>
            </w:r>
            <w:r>
              <w:t xml:space="preserve">т.ч</w:t>
            </w:r>
            <w:r>
              <w:t xml:space="preserve">. текущее содержание, доставка невостребованных в морг, захоронение)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tcW w:w="373" w:type="pct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</w:pPr>
            <w:r>
              <w:t xml:space="preserve">МБУ «НДС», МБУ «РЭС»»</w:t>
            </w:r>
            <w:r>
              <w:t xml:space="preserve">;</w:t>
            </w:r>
            <w:r/>
          </w:p>
        </w:tc>
      </w:tr>
    </w:tbl>
    <w:p>
      <w:pPr>
        <w:ind w:right="-5" w:firstLine="708"/>
        <w:jc w:val="both"/>
        <w:widowControl w:val="off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Комплексное благоустройство городской среды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(далее – Подпрограмма 4)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9611" w:type="dxa"/>
        <w:jc w:val="center"/>
        <w:tblInd w:w="-3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2 753,6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36271,3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36271,3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346482,3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129241,1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137503,9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79737,3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троку </w:t>
      </w:r>
      <w:r>
        <w:rPr>
          <w:sz w:val="24"/>
          <w:szCs w:val="24"/>
        </w:rPr>
        <w:t xml:space="preserve">«Исполнители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» в паспорте </w:t>
      </w:r>
      <w:r>
        <w:rPr>
          <w:sz w:val="24"/>
          <w:szCs w:val="24"/>
        </w:rPr>
        <w:t xml:space="preserve">Подпрограммы 4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Исполнители подпрограммы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КУИ, МКУ «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УБиР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», МБУ «НДС», МБУ «ДЭСП», Администрация, МБУ «РЭС»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»;</w:t>
            </w:r>
            <w:r>
              <w:rPr>
                <w:sz w:val="22"/>
                <w:szCs w:val="22"/>
              </w:rPr>
            </w:r>
          </w:p>
        </w:tc>
      </w:tr>
    </w:tbl>
    <w:p>
      <w:pPr>
        <w:ind w:right="-5" w:firstLine="708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 w:firstLine="708"/>
        <w:jc w:val="both"/>
        <w:widowControl w:val="off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 xml:space="preserve">строк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z w:val="24"/>
          <w:szCs w:val="24"/>
          <w:lang w:eastAsia="en-US"/>
        </w:rPr>
        <w:t xml:space="preserve"> 4.1.3, 4.1.4, 4.1.5 и</w:t>
      </w:r>
      <w:r>
        <w:rPr>
          <w:rFonts w:eastAsia="Calibri"/>
          <w:sz w:val="24"/>
          <w:szCs w:val="24"/>
          <w:lang w:eastAsia="en-US"/>
        </w:rPr>
        <w:t xml:space="preserve"> 4.1.6</w:t>
      </w:r>
      <w:r>
        <w:rPr>
          <w:rFonts w:eastAsia="Calibri"/>
          <w:sz w:val="24"/>
          <w:szCs w:val="24"/>
          <w:lang w:eastAsia="en-US"/>
        </w:rPr>
        <w:t xml:space="preserve"> в приложении 1 </w:t>
      </w:r>
      <w:r>
        <w:rPr>
          <w:rFonts w:eastAsia="Calibri"/>
          <w:sz w:val="24"/>
          <w:szCs w:val="24"/>
          <w:lang w:eastAsia="en-US"/>
        </w:rPr>
        <w:t xml:space="preserve"> «Перечень мероприятий </w:t>
      </w:r>
      <w:r>
        <w:rPr>
          <w:rFonts w:eastAsia="Calibri"/>
          <w:sz w:val="24"/>
          <w:szCs w:val="24"/>
          <w:lang w:eastAsia="en-US"/>
        </w:rPr>
        <w:t xml:space="preserve">под</w:t>
      </w:r>
      <w:r>
        <w:rPr>
          <w:rFonts w:eastAsia="Calibri"/>
          <w:sz w:val="24"/>
          <w:szCs w:val="24"/>
          <w:lang w:eastAsia="en-US"/>
        </w:rPr>
        <w:t xml:space="preserve">программы с объёмом финансирования» </w:t>
      </w:r>
      <w:r>
        <w:rPr>
          <w:rFonts w:eastAsia="Calibri"/>
          <w:sz w:val="24"/>
          <w:szCs w:val="24"/>
          <w:lang w:eastAsia="en-US"/>
        </w:rPr>
        <w:t xml:space="preserve">к Подпрограмме 4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 xml:space="preserve">изложить в </w:t>
      </w:r>
      <w:r>
        <w:rPr>
          <w:rFonts w:eastAsia="Calibri"/>
          <w:bCs/>
          <w:sz w:val="24"/>
          <w:szCs w:val="24"/>
          <w:lang w:eastAsia="en-US"/>
        </w:rPr>
        <w:t xml:space="preserve">следующей </w:t>
      </w:r>
      <w:r>
        <w:rPr>
          <w:rFonts w:eastAsia="Calibri"/>
          <w:bCs/>
          <w:sz w:val="24"/>
          <w:szCs w:val="24"/>
          <w:lang w:eastAsia="en-US"/>
        </w:rPr>
        <w:t xml:space="preserve">редакции</w:t>
      </w:r>
      <w:r>
        <w:rPr>
          <w:rFonts w:eastAsia="Calibri"/>
          <w:bCs/>
          <w:sz w:val="24"/>
          <w:szCs w:val="24"/>
          <w:lang w:eastAsia="en-US"/>
        </w:rPr>
        <w:t xml:space="preserve">:</w:t>
      </w:r>
      <w:r>
        <w:rPr>
          <w:rFonts w:eastAsia="Calibri"/>
          <w:bCs/>
          <w:sz w:val="24"/>
          <w:szCs w:val="24"/>
          <w:lang w:eastAsia="en-US"/>
        </w:rPr>
      </w:r>
    </w:p>
    <w:tbl>
      <w:tblPr>
        <w:tblW w:w="494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753"/>
        <w:gridCol w:w="699"/>
        <w:gridCol w:w="837"/>
        <w:gridCol w:w="977"/>
        <w:gridCol w:w="979"/>
        <w:gridCol w:w="977"/>
        <w:gridCol w:w="977"/>
        <w:gridCol w:w="1507"/>
      </w:tblGrid>
      <w:tr>
        <w:tblPrEx/>
        <w:trPr>
          <w:trHeight w:val="126"/>
        </w:trPr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</w:t>
            </w:r>
            <w:r>
              <w:rPr>
                <w:rFonts w:eastAsia="Calibri"/>
                <w:lang w:eastAsia="en-US"/>
              </w:rPr>
              <w:t xml:space="preserve">4.1.3.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Повышение привлекательности объектов благоустройства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2023-2025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«ДЭСП»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ОБ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МБ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2845,7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845,7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lang w:eastAsia="en-US"/>
              </w:rPr>
              <w:t xml:space="preserve">1500,0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500,0</w:t>
            </w:r>
            <w:r/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ВБС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lang w:eastAsia="en-US"/>
              </w:rPr>
              <w:t xml:space="preserve">2</w:t>
            </w:r>
            <w:r>
              <w:rPr>
                <w:rFonts w:eastAsia="Calibri"/>
                <w:b/>
                <w:lang w:eastAsia="en-US"/>
              </w:rPr>
              <w:t xml:space="preserve">845,7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lang w:eastAsia="en-US"/>
              </w:rPr>
              <w:t xml:space="preserve">845,7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lang w:eastAsia="en-US"/>
              </w:rPr>
              <w:t xml:space="preserve">1500,0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500,0</w:t>
            </w:r>
            <w:r>
              <w:rPr>
                <w:b/>
              </w:rPr>
            </w:r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4.1.4.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2023-2025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«ДЭСП»; 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Администрация;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ОБ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МБ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64</w:t>
            </w:r>
            <w:r>
              <w:t xml:space="preserve">647,5</w:t>
            </w:r>
            <w:r/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>
              <w:t xml:space="preserve">475,6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21522,2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21649,7</w:t>
            </w:r>
            <w:r/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rPr>
                <w:rFonts w:eastAsia="Calibri"/>
                <w:lang w:eastAsia="en-US"/>
              </w:rPr>
              <w:t xml:space="preserve">ВБС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0,0</w:t>
            </w:r>
            <w:r/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64647,5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21475,6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21522,2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21649,7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4.1.5.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Выполнение комплекса работ по благоустройству детских игровых  площадок, содержание детских игровых и спортивных площадок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2023-2025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  <w:t xml:space="preserve">; МБУ «ДЭСП»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19155,8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10596,0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6559,8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2000,0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19155,8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10596,0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6559,8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2000,0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96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4.1.6.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2023-2025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1509,4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509,4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500,0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500,0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1509,4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509,4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500,0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500,0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tcW w:w="7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</w:tbl>
    <w:p>
      <w:pPr>
        <w:ind w:right="-5" w:firstLine="708"/>
        <w:jc w:val="both"/>
        <w:widowControl w:val="off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right="-5" w:firstLine="708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- строк</w:t>
      </w:r>
      <w:r>
        <w:rPr>
          <w:rFonts w:eastAsia="Calibri"/>
          <w:bCs/>
          <w:sz w:val="24"/>
          <w:szCs w:val="24"/>
          <w:lang w:eastAsia="en-US"/>
        </w:rPr>
        <w:t xml:space="preserve">и</w:t>
      </w:r>
      <w:r>
        <w:rPr>
          <w:rFonts w:eastAsia="Calibri"/>
          <w:bCs/>
          <w:sz w:val="24"/>
          <w:szCs w:val="24"/>
          <w:lang w:eastAsia="en-US"/>
        </w:rPr>
        <w:t xml:space="preserve"> 4.2.1</w:t>
      </w:r>
      <w:r>
        <w:rPr>
          <w:rFonts w:eastAsia="Calibri"/>
          <w:bCs/>
          <w:sz w:val="24"/>
          <w:szCs w:val="24"/>
          <w:lang w:eastAsia="en-US"/>
        </w:rPr>
        <w:t xml:space="preserve">, «Итого по мероприятию 2» и «Всего по подпрограмме 4» в приложении 1</w:t>
      </w:r>
      <w:r>
        <w:rPr>
          <w:rFonts w:eastAsia="Calibri"/>
          <w:sz w:val="24"/>
          <w:szCs w:val="24"/>
          <w:lang w:eastAsia="en-US"/>
        </w:rPr>
        <w:t xml:space="preserve"> «Перечень мероприятий </w:t>
      </w:r>
      <w:r>
        <w:rPr>
          <w:rFonts w:eastAsia="Calibri"/>
          <w:sz w:val="24"/>
          <w:szCs w:val="24"/>
          <w:lang w:eastAsia="en-US"/>
        </w:rPr>
        <w:t xml:space="preserve">под</w:t>
      </w:r>
      <w:r>
        <w:rPr>
          <w:rFonts w:eastAsia="Calibri"/>
          <w:sz w:val="24"/>
          <w:szCs w:val="24"/>
          <w:lang w:eastAsia="en-US"/>
        </w:rPr>
        <w:t xml:space="preserve">программы с объёмом финансирования» </w:t>
      </w:r>
      <w:r>
        <w:rPr>
          <w:rFonts w:eastAsia="Calibri"/>
          <w:sz w:val="24"/>
          <w:szCs w:val="24"/>
          <w:lang w:eastAsia="en-US"/>
        </w:rPr>
        <w:t xml:space="preserve">к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Подпрограмме 4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изложить в новой редакции:</w:t>
      </w:r>
      <w:r>
        <w:rPr>
          <w:rFonts w:eastAsia="Calibri"/>
          <w:sz w:val="24"/>
          <w:szCs w:val="24"/>
          <w:lang w:eastAsia="en-US"/>
        </w:rPr>
      </w:r>
    </w:p>
    <w:tbl>
      <w:tblPr>
        <w:tblW w:w="496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65"/>
        <w:gridCol w:w="1751"/>
        <w:gridCol w:w="698"/>
        <w:gridCol w:w="838"/>
        <w:gridCol w:w="977"/>
        <w:gridCol w:w="979"/>
        <w:gridCol w:w="975"/>
        <w:gridCol w:w="1118"/>
        <w:gridCol w:w="1405"/>
      </w:tblGrid>
      <w:tr>
        <w:tblPrEx/>
        <w:trPr>
          <w:trHeight w:val="126"/>
        </w:trPr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«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921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Обеспечение предоставления услуг (работ)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2023-2025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3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«ДЭСП»; МБУ «РЭС»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158445,0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53438,5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52420,4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52586,1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92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158445,0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53438,5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52420,4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52586,1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lang w:eastAsia="en-US"/>
              </w:rPr>
              <w:t xml:space="preserve">Итого по мероприятию 2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ФБ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3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1584</w:t>
            </w:r>
            <w:r>
              <w:rPr>
                <w:rFonts w:eastAsia="Calibri"/>
                <w:b/>
                <w:bCs/>
                <w:lang w:eastAsia="en-US"/>
              </w:rPr>
              <w:t xml:space="preserve">45</w:t>
            </w:r>
            <w:r>
              <w:rPr>
                <w:rFonts w:eastAsia="Calibri"/>
                <w:b/>
                <w:bCs/>
                <w:lang w:eastAsia="en-US"/>
              </w:rPr>
              <w:t xml:space="preserve">,0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53438,5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52420,4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52586,1</w:t>
            </w:r>
            <w:r>
              <w:rPr>
                <w:b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158</w:t>
            </w:r>
            <w:r>
              <w:rPr>
                <w:rFonts w:eastAsia="Calibri"/>
                <w:b/>
                <w:bCs/>
                <w:lang w:eastAsia="en-US"/>
              </w:rPr>
              <w:t xml:space="preserve">4</w:t>
            </w:r>
            <w:r>
              <w:rPr>
                <w:rFonts w:eastAsia="Calibri"/>
                <w:b/>
                <w:bCs/>
                <w:lang w:eastAsia="en-US"/>
              </w:rPr>
              <w:t xml:space="preserve">45</w:t>
            </w:r>
            <w:r>
              <w:rPr>
                <w:rFonts w:eastAsia="Calibri"/>
                <w:b/>
                <w:bCs/>
                <w:lang w:eastAsia="en-US"/>
              </w:rPr>
              <w:t xml:space="preserve">,0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53438,5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52420,4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52586,1</w:t>
            </w:r>
            <w:r>
              <w:rPr>
                <w:b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ФБ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3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ОБ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36271,3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36271,3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МБ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346482,3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129241,1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137503,9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79737,3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ВБС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0,0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68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382753,6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165512,4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137503,9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79737,3</w:t>
            </w:r>
            <w:r>
              <w:rPr>
                <w:rFonts w:eastAsia="Calibri"/>
                <w:b/>
                <w:bCs/>
                <w:lang w:eastAsia="en-US"/>
              </w:rPr>
              <w:t xml:space="preserve">»;</w:t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  <w:tc>
          <w:tcPr>
            <w:tcW w:w="73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</w:tc>
      </w:tr>
    </w:tbl>
    <w:p>
      <w:pPr>
        <w:ind w:right="-5" w:firstLine="708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4.1.4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4.1.5, 4.1.6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4.2.1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риложении 2 «Перечень </w:t>
      </w:r>
      <w:r>
        <w:rPr>
          <w:sz w:val="24"/>
          <w:szCs w:val="24"/>
        </w:rPr>
        <w:t xml:space="preserve">мероприятий подпрограммы с </w:t>
      </w:r>
      <w:r>
        <w:rPr>
          <w:sz w:val="24"/>
          <w:szCs w:val="24"/>
        </w:rPr>
        <w:t xml:space="preserve">показателями результативности выполнения мероприятий» к </w:t>
      </w:r>
      <w:r>
        <w:rPr>
          <w:sz w:val="24"/>
          <w:szCs w:val="24"/>
        </w:rPr>
        <w:t xml:space="preserve">Подпрограмме 4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2126"/>
        <w:gridCol w:w="567"/>
        <w:gridCol w:w="850"/>
        <w:gridCol w:w="851"/>
        <w:gridCol w:w="850"/>
        <w:gridCol w:w="1134"/>
      </w:tblGrid>
      <w:tr>
        <w:tblPrEx/>
        <w:trPr>
          <w:trHeight w:val="20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«4.1.3.</w:t>
            </w:r>
            <w:r/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Повышение привлекательности объектов благоустройства 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приобретенных, установленных малых архитектурных форм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13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-</w:t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 МБУ «НДС»;</w:t>
            </w:r>
            <w:r/>
          </w:p>
          <w:p>
            <w:pPr>
              <w:jc w:val="center"/>
            </w:pPr>
            <w:r>
              <w:t xml:space="preserve">МБУ «ДЭСП»</w:t>
            </w:r>
            <w:r/>
          </w:p>
          <w:p>
            <w:pPr>
              <w:jc w:val="center"/>
            </w:pPr>
            <w:r>
              <w:t xml:space="preserve">МБУ «РЭС»</w:t>
            </w:r>
            <w:r/>
          </w:p>
        </w:tc>
      </w:tr>
      <w:tr>
        <w:tblPrEx/>
        <w:trPr>
          <w:trHeight w:val="37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рассады, саженцев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7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Содержание фонтана в г. </w:t>
            </w:r>
            <w:r>
              <w:t xml:space="preserve">Заполярный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13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Техническое обслуживание наружного освещения, оплата электроэнергии наружного освещения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Исправное состояние сетей наружного освещения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«ДЭСП»; Администрация;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4.1.5.</w:t>
            </w:r>
            <w:r/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детских игровых  площадок, содержание детских игровых и спортивных площадок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77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 благоустроенных детских игровых и спортивных площадок</w:t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-</w:t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; МБУ «НДС»; МБУ «ДЭСП»; МБУ «РЭС»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77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Содержание детских игровых и спортивных площадок</w:t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4.1.6.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Эвакуация с дворовых территорий   бесхозяйного (брошенного) транспорта 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77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           МБУ «НДС»</w:t>
            </w:r>
            <w:r>
              <w:t xml:space="preserve">;</w:t>
            </w:r>
            <w:r/>
          </w:p>
          <w:p>
            <w:pPr>
              <w:jc w:val="center"/>
            </w:pPr>
            <w:r>
              <w:t xml:space="preserve">МБУ «РЭС»</w:t>
            </w:r>
            <w:r/>
          </w:p>
        </w:tc>
      </w:tr>
      <w:tr>
        <w:tblPrEx/>
        <w:trPr>
          <w:trHeight w:val="20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4.2.1.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Обеспечение предоставления услуг (работ)</w:t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77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</w:t>
            </w:r>
            <w:r/>
          </w:p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</w:pPr>
            <w:r>
              <w:t xml:space="preserve">МБУ «ДЭСП»;</w:t>
            </w:r>
            <w:r/>
          </w:p>
          <w:p>
            <w:pPr>
              <w:jc w:val="center"/>
            </w:pPr>
            <w:r>
              <w:t xml:space="preserve">МБУ </w:t>
            </w:r>
            <w:r>
              <w:t xml:space="preserve">«РЭС»»</w:t>
            </w:r>
            <w:r>
              <w:t xml:space="preserve">.</w:t>
            </w:r>
            <w:r/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/>
      <w:bookmarkStart w:id="0" w:name="_GoBack"/>
      <w:r/>
      <w:bookmarkEnd w:id="0"/>
      <w:r/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кого муниципального округа               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</w:r>
      <w:r>
        <w:rPr>
          <w:rFonts w:eastAsia="Calibri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Жулидова Н.Ю., 50833</w:t>
      </w:r>
      <w:r>
        <w:rPr>
          <w:rFonts w:eastAsia="Calibri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eastAsia="Calibri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eastAsia="Calibri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eastAsia="Calibri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eastAsia="Calibri"/>
          <w:szCs w:val="24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szCs w:val="24"/>
          <w:lang w:eastAsia="en-US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rPr>
        <w:rStyle w:val="759"/>
      </w:rPr>
      <w:framePr w:wrap="around" w:vAnchor="text" w:hAnchor="margin" w:xAlign="center" w:y="1"/>
    </w:pPr>
    <w:r/>
    <w:r>
      <w:rPr>
        <w:rStyle w:val="759"/>
      </w:rPr>
    </w:r>
  </w:p>
  <w:p>
    <w:pPr>
      <w:pStyle w:val="7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rPr>
        <w:rStyle w:val="759"/>
      </w:rPr>
      <w:framePr w:wrap="around" w:vAnchor="text" w:hAnchor="margin" w:xAlign="center" w:y="1"/>
    </w:pPr>
    <w:r>
      <w:rPr>
        <w:rStyle w:val="759"/>
      </w:rPr>
      <w:fldChar w:fldCharType="begin"/>
    </w:r>
    <w:r>
      <w:rPr>
        <w:rStyle w:val="759"/>
      </w:rPr>
      <w:instrText xml:space="preserve">PAGE  </w:instrText>
    </w:r>
    <w:r>
      <w:rPr>
        <w:rStyle w:val="759"/>
      </w:rPr>
      <w:fldChar w:fldCharType="end"/>
    </w:r>
    <w:r>
      <w:rPr>
        <w:rStyle w:val="759"/>
      </w:rPr>
    </w:r>
  </w:p>
  <w:p>
    <w:pPr>
      <w:pStyle w:val="7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46"/>
    <w:link w:val="744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46"/>
    <w:link w:val="74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3"/>
    <w:next w:val="74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4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3"/>
    <w:next w:val="74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4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3"/>
    <w:next w:val="74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4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3"/>
    <w:next w:val="74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4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3"/>
    <w:next w:val="74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4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3"/>
    <w:next w:val="74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4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3"/>
    <w:next w:val="74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46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46"/>
    <w:link w:val="775"/>
    <w:uiPriority w:val="10"/>
    <w:rPr>
      <w:sz w:val="48"/>
      <w:szCs w:val="48"/>
    </w:rPr>
  </w:style>
  <w:style w:type="paragraph" w:styleId="36">
    <w:name w:val="Subtitle"/>
    <w:basedOn w:val="743"/>
    <w:next w:val="74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46"/>
    <w:link w:val="36"/>
    <w:uiPriority w:val="11"/>
    <w:rPr>
      <w:sz w:val="24"/>
      <w:szCs w:val="24"/>
    </w:rPr>
  </w:style>
  <w:style w:type="paragraph" w:styleId="38">
    <w:name w:val="Quote"/>
    <w:basedOn w:val="743"/>
    <w:next w:val="74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3"/>
    <w:next w:val="74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46"/>
    <w:link w:val="760"/>
    <w:uiPriority w:val="99"/>
  </w:style>
  <w:style w:type="character" w:styleId="45">
    <w:name w:val="Footer Char"/>
    <w:basedOn w:val="746"/>
    <w:link w:val="757"/>
    <w:uiPriority w:val="99"/>
  </w:style>
  <w:style w:type="paragraph" w:styleId="46">
    <w:name w:val="Caption"/>
    <w:basedOn w:val="743"/>
    <w:next w:val="7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57"/>
    <w:uiPriority w:val="99"/>
  </w:style>
  <w:style w:type="table" w:styleId="49">
    <w:name w:val="Table Grid Light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46"/>
    <w:uiPriority w:val="99"/>
    <w:unhideWhenUsed/>
    <w:rPr>
      <w:vertAlign w:val="superscript"/>
    </w:rPr>
  </w:style>
  <w:style w:type="paragraph" w:styleId="178">
    <w:name w:val="endnote text"/>
    <w:basedOn w:val="74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46"/>
    <w:uiPriority w:val="99"/>
    <w:semiHidden/>
    <w:unhideWhenUsed/>
    <w:rPr>
      <w:vertAlign w:val="superscript"/>
    </w:rPr>
  </w:style>
  <w:style w:type="paragraph" w:styleId="181">
    <w:name w:val="toc 1"/>
    <w:basedOn w:val="743"/>
    <w:next w:val="74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3"/>
    <w:next w:val="74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3"/>
    <w:next w:val="74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3"/>
    <w:next w:val="74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3"/>
    <w:next w:val="74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3"/>
    <w:next w:val="74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3"/>
    <w:next w:val="74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3"/>
    <w:next w:val="74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3"/>
    <w:next w:val="74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3"/>
    <w:next w:val="743"/>
    <w:uiPriority w:val="99"/>
    <w:unhideWhenUsed/>
    <w:pPr>
      <w:spacing w:after="0" w:afterAutospacing="0"/>
    </w:pPr>
  </w:style>
  <w:style w:type="paragraph" w:styleId="743" w:default="1">
    <w:name w:val="Normal"/>
    <w:qFormat/>
  </w:style>
  <w:style w:type="paragraph" w:styleId="744">
    <w:name w:val="Heading 1"/>
    <w:basedOn w:val="743"/>
    <w:next w:val="743"/>
    <w:qFormat/>
    <w:pPr>
      <w:jc w:val="center"/>
      <w:keepNext/>
      <w:outlineLvl w:val="0"/>
    </w:pPr>
    <w:rPr>
      <w:sz w:val="24"/>
    </w:rPr>
  </w:style>
  <w:style w:type="paragraph" w:styleId="745">
    <w:name w:val="Heading 2"/>
    <w:basedOn w:val="743"/>
    <w:next w:val="743"/>
    <w:link w:val="755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paragraph" w:styleId="749">
    <w:name w:val="Body Text"/>
    <w:basedOn w:val="743"/>
    <w:pPr>
      <w:jc w:val="both"/>
    </w:pPr>
    <w:rPr>
      <w:sz w:val="24"/>
      <w:szCs w:val="24"/>
    </w:rPr>
  </w:style>
  <w:style w:type="paragraph" w:styleId="750">
    <w:name w:val="Body Text Indent"/>
    <w:basedOn w:val="743"/>
    <w:link w:val="774"/>
    <w:uiPriority w:val="99"/>
    <w:pPr>
      <w:ind w:left="283"/>
      <w:spacing w:after="120"/>
    </w:pPr>
  </w:style>
  <w:style w:type="paragraph" w:styleId="751">
    <w:name w:val="Body Text 2"/>
    <w:basedOn w:val="74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2">
    <w:name w:val="Body Text Indent 2"/>
    <w:basedOn w:val="743"/>
    <w:pPr>
      <w:ind w:firstLine="709"/>
      <w:jc w:val="both"/>
    </w:pPr>
    <w:rPr>
      <w:bCs/>
      <w:sz w:val="26"/>
      <w:szCs w:val="26"/>
    </w:rPr>
  </w:style>
  <w:style w:type="paragraph" w:styleId="753">
    <w:name w:val="Body Text Indent 3"/>
    <w:basedOn w:val="74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4" w:customStyle="1">
    <w:name w:val="Знак Знак2"/>
    <w:basedOn w:val="74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5" w:customStyle="1">
    <w:name w:val="Заголовок 2 Знак"/>
    <w:link w:val="745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5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57">
    <w:name w:val="Footer"/>
    <w:basedOn w:val="743"/>
    <w:link w:val="75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58" w:customStyle="1">
    <w:name w:val="Нижний колонтитул Знак"/>
    <w:link w:val="757"/>
    <w:uiPriority w:val="99"/>
    <w:rPr>
      <w:rFonts w:ascii="Arial" w:hAnsi="Arial" w:cs="Arial"/>
    </w:rPr>
  </w:style>
  <w:style w:type="character" w:styleId="759">
    <w:name w:val="page number"/>
    <w:uiPriority w:val="99"/>
  </w:style>
  <w:style w:type="paragraph" w:styleId="760">
    <w:name w:val="Header"/>
    <w:basedOn w:val="743"/>
    <w:link w:val="76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1" w:customStyle="1">
    <w:name w:val="Верхний колонтитул Знак"/>
    <w:link w:val="760"/>
    <w:uiPriority w:val="99"/>
    <w:rPr>
      <w:rFonts w:ascii="Arial" w:hAnsi="Arial" w:cs="Arial"/>
    </w:rPr>
  </w:style>
  <w:style w:type="paragraph" w:styleId="762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3">
    <w:name w:val="Table Grid"/>
    <w:basedOn w:val="74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4">
    <w:name w:val="Balloon Text"/>
    <w:basedOn w:val="743"/>
    <w:link w:val="765"/>
    <w:uiPriority w:val="99"/>
    <w:rPr>
      <w:rFonts w:ascii="Arial" w:hAnsi="Arial" w:cs="Arial"/>
      <w:sz w:val="16"/>
      <w:szCs w:val="16"/>
    </w:rPr>
  </w:style>
  <w:style w:type="character" w:styleId="765" w:customStyle="1">
    <w:name w:val="Текст выноски Знак"/>
    <w:link w:val="764"/>
    <w:uiPriority w:val="99"/>
    <w:rPr>
      <w:rFonts w:ascii="Arial" w:hAnsi="Arial" w:cs="Arial"/>
      <w:sz w:val="16"/>
      <w:szCs w:val="16"/>
    </w:rPr>
  </w:style>
  <w:style w:type="paragraph" w:styleId="766">
    <w:name w:val="List Paragraph"/>
    <w:basedOn w:val="743"/>
    <w:link w:val="767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67" w:customStyle="1">
    <w:name w:val="Абзац списка Знак"/>
    <w:link w:val="766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768" w:customStyle="1">
    <w:name w:val="Абзац списка1"/>
    <w:basedOn w:val="74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69">
    <w:name w:val="Hyperlink"/>
    <w:rPr>
      <w:color w:val="0000ff"/>
      <w:u w:val="single"/>
    </w:rPr>
  </w:style>
  <w:style w:type="paragraph" w:styleId="770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1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2">
    <w:name w:val="Body Text 3"/>
    <w:basedOn w:val="743"/>
    <w:link w:val="773"/>
    <w:uiPriority w:val="99"/>
    <w:pPr>
      <w:spacing w:after="120"/>
    </w:pPr>
    <w:rPr>
      <w:sz w:val="16"/>
      <w:szCs w:val="16"/>
    </w:rPr>
  </w:style>
  <w:style w:type="character" w:styleId="773" w:customStyle="1">
    <w:name w:val="Основной текст 3 Знак"/>
    <w:basedOn w:val="746"/>
    <w:link w:val="772"/>
    <w:uiPriority w:val="99"/>
    <w:rPr>
      <w:sz w:val="16"/>
      <w:szCs w:val="16"/>
    </w:rPr>
  </w:style>
  <w:style w:type="character" w:styleId="774" w:customStyle="1">
    <w:name w:val="Основной текст с отступом Знак"/>
    <w:link w:val="750"/>
    <w:uiPriority w:val="99"/>
  </w:style>
  <w:style w:type="paragraph" w:styleId="775">
    <w:name w:val="Title"/>
    <w:basedOn w:val="743"/>
    <w:link w:val="776"/>
    <w:uiPriority w:val="99"/>
    <w:qFormat/>
    <w:pPr>
      <w:jc w:val="center"/>
    </w:pPr>
    <w:rPr>
      <w:caps/>
      <w:sz w:val="24"/>
      <w:szCs w:val="24"/>
    </w:rPr>
  </w:style>
  <w:style w:type="character" w:styleId="776" w:customStyle="1">
    <w:name w:val="Название Знак"/>
    <w:basedOn w:val="746"/>
    <w:link w:val="775"/>
    <w:uiPriority w:val="99"/>
    <w:rPr>
      <w:caps/>
      <w:sz w:val="24"/>
      <w:szCs w:val="24"/>
    </w:rPr>
  </w:style>
  <w:style w:type="paragraph" w:styleId="777" w:customStyle="1">
    <w:name w:val="Знак1"/>
    <w:basedOn w:val="74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7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79" w:customStyle="1">
    <w:name w:val="Знак Знак Знак Знак Знак Знак Знак Знак Знак Знак"/>
    <w:basedOn w:val="74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0">
    <w:name w:val="Emphasis"/>
    <w:qFormat/>
    <w:rPr>
      <w:i/>
      <w:iCs/>
    </w:rPr>
  </w:style>
  <w:style w:type="table" w:styleId="781" w:customStyle="1">
    <w:name w:val="Сетка таблицы1"/>
    <w:basedOn w:val="747"/>
    <w:next w:val="76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13201-191F-4D79-A39E-9C416081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</cp:revision>
  <dcterms:created xsi:type="dcterms:W3CDTF">2023-08-09T11:35:00Z</dcterms:created>
  <dcterms:modified xsi:type="dcterms:W3CDTF">2024-05-15T06:05:39Z</dcterms:modified>
</cp:coreProperties>
</file>