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</w:t>
      </w:r>
      <w:r>
        <w:rPr>
          <w:b/>
          <w:sz w:val="24"/>
          <w:lang w:val="en-US"/>
        </w:rPr>
        <w:t xml:space="preserve">13</w:t>
      </w:r>
      <w:r>
        <w:rPr>
          <w:b/>
          <w:sz w:val="24"/>
          <w:lang w:val="ru-RU"/>
        </w:rPr>
        <w:t xml:space="preserve">.</w:t>
      </w:r>
      <w:r>
        <w:rPr>
          <w:b/>
          <w:sz w:val="24"/>
          <w:lang w:val="en-US"/>
        </w:rPr>
        <w:t xml:space="preserve">05</w:t>
      </w:r>
      <w:r>
        <w:rPr>
          <w:b/>
          <w:sz w:val="24"/>
          <w:lang w:val="ru-RU"/>
        </w:rPr>
        <w:t xml:space="preserve">.</w:t>
      </w:r>
      <w:r>
        <w:rPr>
          <w:b/>
          <w:sz w:val="24"/>
          <w:lang w:val="en-US"/>
        </w:rPr>
        <w:t xml:space="preserve">2024 </w:t>
        <w:tab/>
        <w:tab/>
        <w:tab/>
        <w:tab/>
        <w:tab/>
        <w:tab/>
        <w:tab/>
        <w:tab/>
        <w:tab/>
        <w:tab/>
      </w:r>
      <w:r>
        <w:rPr>
          <w:b/>
          <w:sz w:val="24"/>
        </w:rPr>
        <w:t xml:space="preserve">   № </w:t>
      </w:r>
      <w:r>
        <w:rPr>
          <w:b/>
          <w:sz w:val="24"/>
          <w:lang w:val="en-US"/>
        </w:rPr>
        <w:t xml:space="preserve">760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pStyle w:val="834"/>
        <w:ind w:right="0"/>
        <w:jc w:val="center"/>
        <w:tabs>
          <w:tab w:val="left" w:pos="9355" w:leader="none"/>
        </w:tabs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Об </w:t>
      </w:r>
      <w:r>
        <w:rPr>
          <w:rFonts w:eastAsia="Times New Roman"/>
          <w:b/>
          <w:bCs/>
          <w:sz w:val="20"/>
          <w:szCs w:val="20"/>
        </w:rPr>
        <w:t xml:space="preserve">установлении публичного сервитута</w:t>
      </w:r>
      <w:r>
        <w:rPr>
          <w:rFonts w:eastAsia="Times New Roman"/>
          <w:b/>
          <w:bCs/>
          <w:sz w:val="20"/>
          <w:szCs w:val="20"/>
        </w:rPr>
      </w:r>
      <w:r>
        <w:rPr>
          <w:rFonts w:eastAsia="Times New Roman"/>
          <w:b/>
          <w:bCs/>
          <w:sz w:val="20"/>
          <w:szCs w:val="20"/>
        </w:rPr>
      </w:r>
    </w:p>
    <w:p>
      <w:pPr>
        <w:ind w:firstLine="709"/>
        <w:jc w:val="both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ind w:firstLine="709"/>
        <w:jc w:val="both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</w:t>
      </w:r>
      <w:r>
        <w:rPr>
          <w:sz w:val="24"/>
          <w:szCs w:val="24"/>
        </w:rPr>
        <w:t xml:space="preserve">Земельным кодексом Российской Федерации, Федеральным законом от 25.10.2001 № 137-ФЗ «О введении в действие Земельного кодекса </w:t>
      </w:r>
      <w:r>
        <w:rPr>
          <w:sz w:val="24"/>
          <w:szCs w:val="24"/>
        </w:rPr>
        <w:t xml:space="preserve">Российской Федерации», на основании ходатайства </w:t>
      </w:r>
      <w:r>
        <w:rPr>
          <w:sz w:val="24"/>
          <w:szCs w:val="24"/>
        </w:rPr>
        <w:t xml:space="preserve">Акционерного общества «</w:t>
      </w:r>
      <w:r>
        <w:rPr>
          <w:sz w:val="24"/>
          <w:szCs w:val="24"/>
        </w:rPr>
        <w:t xml:space="preserve">Мурманэнергосбыт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(ИНН </w:t>
      </w:r>
      <w:r>
        <w:rPr>
          <w:sz w:val="24"/>
          <w:szCs w:val="24"/>
        </w:rPr>
        <w:t xml:space="preserve">5190907139</w:t>
      </w:r>
      <w:r>
        <w:rPr>
          <w:sz w:val="24"/>
          <w:szCs w:val="24"/>
        </w:rPr>
        <w:t xml:space="preserve">, ОГРН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1095190009111</w:t>
      </w:r>
      <w:r>
        <w:rPr>
          <w:sz w:val="24"/>
          <w:szCs w:val="24"/>
        </w:rPr>
        <w:t xml:space="preserve">) от </w:t>
      </w:r>
      <w:r>
        <w:rPr>
          <w:sz w:val="24"/>
          <w:szCs w:val="24"/>
        </w:rPr>
        <w:t xml:space="preserve">11.04.2024</w:t>
      </w:r>
      <w:r>
        <w:rPr>
          <w:sz w:val="24"/>
          <w:szCs w:val="24"/>
        </w:rPr>
        <w:t xml:space="preserve">, схемы расположения границ публичного сервитута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Утвердить границы публичного сервитута в соответствии с</w:t>
      </w:r>
      <w:r>
        <w:rPr>
          <w:sz w:val="24"/>
          <w:szCs w:val="24"/>
        </w:rPr>
        <w:t xml:space="preserve">о</w:t>
      </w:r>
      <w:r>
        <w:rPr>
          <w:sz w:val="24"/>
          <w:szCs w:val="24"/>
        </w:rPr>
        <w:t xml:space="preserve"> схемой расположения границ пу</w:t>
      </w:r>
      <w:r>
        <w:rPr>
          <w:sz w:val="24"/>
          <w:szCs w:val="24"/>
        </w:rPr>
        <w:t xml:space="preserve">бличного сервитута согласно приложению</w:t>
      </w:r>
      <w:r>
        <w:rPr>
          <w:sz w:val="24"/>
          <w:szCs w:val="24"/>
        </w:rPr>
        <w:t xml:space="preserve"> к настоящему постановлению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tabs>
          <w:tab w:val="left" w:pos="993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 Установить публичный сервитут в интересах </w:t>
      </w:r>
      <w:r>
        <w:rPr>
          <w:sz w:val="24"/>
          <w:szCs w:val="24"/>
        </w:rPr>
        <w:t xml:space="preserve">Акционерного общества «</w:t>
      </w:r>
      <w:r>
        <w:rPr>
          <w:sz w:val="24"/>
          <w:szCs w:val="24"/>
        </w:rPr>
        <w:t xml:space="preserve">Мурманэнергосбыт</w:t>
      </w:r>
      <w:r>
        <w:rPr>
          <w:sz w:val="24"/>
          <w:szCs w:val="24"/>
        </w:rPr>
        <w:t xml:space="preserve">» (ИНН 5190907139, ОГРН 1095190009111) </w:t>
      </w:r>
      <w:r>
        <w:rPr>
          <w:sz w:val="24"/>
          <w:szCs w:val="24"/>
        </w:rPr>
        <w:t xml:space="preserve">с целью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строительства линии электропередачи 0,4кВ от РУ-0,4кВ КТП-10 до блока гаражей, расположенных по адресу: </w:t>
      </w:r>
      <w:r>
        <w:rPr>
          <w:sz w:val="24"/>
          <w:szCs w:val="24"/>
        </w:rPr>
        <w:t xml:space="preserve">Мурманская</w:t>
      </w:r>
      <w:r>
        <w:rPr>
          <w:sz w:val="24"/>
          <w:szCs w:val="24"/>
        </w:rPr>
        <w:t xml:space="preserve"> обл., муниципальный округ </w:t>
      </w:r>
      <w:r>
        <w:rPr>
          <w:sz w:val="24"/>
          <w:szCs w:val="24"/>
        </w:rPr>
        <w:t xml:space="preserve">Печенгский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п.г.т</w:t>
      </w:r>
      <w:r>
        <w:rPr>
          <w:sz w:val="24"/>
          <w:szCs w:val="24"/>
        </w:rPr>
        <w:t xml:space="preserve">. Никель, </w:t>
        <w:br/>
        <w:t xml:space="preserve">ул. Спортивная, а также для их дальнейшей эксплуатации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в отношении земельного участка с кадастровым номером 51</w:t>
      </w:r>
      <w:r>
        <w:rPr>
          <w:sz w:val="24"/>
          <w:szCs w:val="24"/>
        </w:rPr>
        <w:t xml:space="preserve">:03:0080301:9</w:t>
      </w:r>
      <w:r>
        <w:rPr>
          <w:sz w:val="24"/>
          <w:szCs w:val="24"/>
        </w:rPr>
        <w:t xml:space="preserve"> (его частей)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расположенн</w:t>
      </w:r>
      <w:r>
        <w:rPr>
          <w:sz w:val="24"/>
          <w:szCs w:val="24"/>
        </w:rPr>
        <w:t xml:space="preserve">ого</w:t>
      </w:r>
      <w:r>
        <w:rPr>
          <w:sz w:val="24"/>
          <w:szCs w:val="24"/>
        </w:rPr>
        <w:t xml:space="preserve"> по адресу: </w:t>
      </w:r>
      <w:r>
        <w:rPr>
          <w:sz w:val="24"/>
          <w:szCs w:val="24"/>
        </w:rPr>
        <w:t xml:space="preserve">Мурманская область, муниципальный округ </w:t>
      </w:r>
      <w:r>
        <w:rPr>
          <w:sz w:val="24"/>
          <w:szCs w:val="24"/>
        </w:rPr>
        <w:t xml:space="preserve">Печенгский</w:t>
      </w:r>
      <w:r>
        <w:rPr>
          <w:sz w:val="24"/>
          <w:szCs w:val="24"/>
        </w:rPr>
        <w:t xml:space="preserve">, поселок городского типа Никель, улица Спортивная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площадью </w:t>
      </w:r>
      <w:r>
        <w:rPr>
          <w:sz w:val="24"/>
          <w:szCs w:val="24"/>
        </w:rPr>
        <w:t xml:space="preserve">431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кв</w:t>
      </w:r>
      <w:r>
        <w:rPr>
          <w:sz w:val="24"/>
          <w:szCs w:val="24"/>
        </w:rPr>
        <w:t xml:space="preserve">.м</w:t>
      </w:r>
      <w:r>
        <w:rPr>
          <w:sz w:val="24"/>
          <w:szCs w:val="24"/>
        </w:rPr>
        <w:t xml:space="preserve">, в границах, указанных в прилагаемой схеме расположения границ публичного сервитута.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tabs>
          <w:tab w:val="left" w:pos="993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 Установить срок</w:t>
      </w:r>
      <w:r>
        <w:rPr>
          <w:sz w:val="24"/>
          <w:szCs w:val="24"/>
        </w:rPr>
        <w:t xml:space="preserve"> действия публичного сервитута -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49 (сорок девять) лет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tabs>
          <w:tab w:val="left" w:pos="993" w:leader="none"/>
          <w:tab w:val="left" w:pos="1276" w:leader="none"/>
        </w:tabs>
        <w:rPr>
          <w:sz w:val="24"/>
          <w:szCs w:val="24"/>
          <w:highlight w:val="yellow"/>
        </w:rPr>
      </w:pP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Порядок установления зон с особыми условиями использования территории и содержание ограничений прав на части земельных участков в границах таких зон определяются в с</w:t>
      </w:r>
      <w:r>
        <w:rPr>
          <w:sz w:val="24"/>
          <w:szCs w:val="24"/>
        </w:rPr>
        <w:t xml:space="preserve">оответствии с Правилами установления охранных зон объектов электросетевого хозяйства и особых условий использования земельных участков, расположенных в границах таких зон, утвержденными постановлением Правительства Российской Федерации от 24.02.2009 № 160.</w:t>
      </w:r>
      <w:r>
        <w:rPr>
          <w:sz w:val="24"/>
          <w:szCs w:val="24"/>
          <w:highlight w:val="yellow"/>
        </w:rPr>
      </w:r>
      <w:r>
        <w:rPr>
          <w:sz w:val="24"/>
          <w:szCs w:val="24"/>
          <w:highlight w:val="yellow"/>
        </w:rPr>
      </w:r>
    </w:p>
    <w:p>
      <w:pPr>
        <w:pStyle w:val="854"/>
        <w:ind w:firstLine="709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5</w:t>
      </w:r>
      <w:r>
        <w:rPr>
          <w:color w:val="000000"/>
        </w:rPr>
        <w:t xml:space="preserve">. </w:t>
      </w:r>
      <w:r>
        <w:rPr>
          <w:color w:val="000000"/>
        </w:rPr>
        <w:t xml:space="preserve">П</w:t>
      </w:r>
      <w:r>
        <w:rPr>
          <w:color w:val="000000"/>
        </w:rPr>
        <w:t xml:space="preserve">убличный сервитут </w:t>
      </w:r>
      <w:r>
        <w:rPr>
          <w:color w:val="000000"/>
        </w:rPr>
        <w:t xml:space="preserve">является безвозмездным</w:t>
      </w:r>
      <w:r>
        <w:rPr>
          <w:color w:val="000000"/>
        </w:rPr>
        <w:t xml:space="preserve">.</w:t>
      </w:r>
      <w:r>
        <w:rPr>
          <w:color w:val="000000"/>
        </w:rPr>
      </w:r>
      <w:r>
        <w:rPr>
          <w:color w:val="000000"/>
        </w:rPr>
      </w:r>
    </w:p>
    <w:p>
      <w:pPr>
        <w:pStyle w:val="854"/>
        <w:ind w:firstLine="709"/>
        <w:jc w:val="both"/>
        <w:spacing w:before="0" w:beforeAutospacing="0" w:after="0" w:afterAutospacing="0"/>
      </w:pPr>
      <w:r>
        <w:t xml:space="preserve">6</w:t>
      </w:r>
      <w:r>
        <w:t xml:space="preserve">. </w:t>
      </w:r>
      <w:r>
        <w:t xml:space="preserve">АО «МЭС</w:t>
      </w:r>
      <w:r>
        <w:t xml:space="preserve">» привести земельный участок в состояние, пригодное для его использования в соответствии с разрешенным использованием, в срок, не </w:t>
      </w:r>
      <w:r>
        <w:t xml:space="preserve">позднее</w:t>
      </w:r>
      <w:r>
        <w:t xml:space="preserve"> чем три месяца после завершения строительства, капитального или текущего ремонта, реконструкции, эксплуатации, консервации, сноса инженерного сооружения, для размещения которого был установлен публичный сервитут.</w:t>
      </w:r>
      <w:r/>
    </w:p>
    <w:p>
      <w:pPr>
        <w:pStyle w:val="854"/>
        <w:ind w:firstLine="709"/>
        <w:jc w:val="both"/>
        <w:spacing w:before="0" w:beforeAutospacing="0" w:after="0" w:afterAutospacing="0"/>
      </w:pPr>
      <w:r>
        <w:t xml:space="preserve">7</w:t>
      </w:r>
      <w:r>
        <w:t xml:space="preserve">. Комитету по управлению имуществом администрации Печенгского </w:t>
      </w:r>
      <w:r>
        <w:t xml:space="preserve">муниципального округа</w:t>
      </w:r>
      <w:r>
        <w:t xml:space="preserve"> (</w:t>
      </w:r>
      <w:r>
        <w:t xml:space="preserve">Лаврущик</w:t>
      </w:r>
      <w:r>
        <w:t xml:space="preserve"> С.С.)</w:t>
      </w:r>
      <w:r>
        <w:t xml:space="preserve"> в течение пяти рабочих дней со дня подписания настоящего постановления:</w:t>
      </w:r>
      <w:r/>
    </w:p>
    <w:p>
      <w:pPr>
        <w:pStyle w:val="854"/>
        <w:ind w:firstLine="709"/>
        <w:jc w:val="both"/>
        <w:spacing w:before="0" w:beforeAutospacing="0" w:after="0" w:afterAutospacing="0"/>
      </w:pPr>
      <w:r>
        <w:t xml:space="preserve">- направить в орган регистрации прав копию настоящего постановления и заявление о государственной регистрации прав (публичного сервитута);</w:t>
      </w:r>
      <w:r/>
    </w:p>
    <w:p>
      <w:pPr>
        <w:pStyle w:val="854"/>
        <w:ind w:firstLine="709"/>
        <w:jc w:val="both"/>
        <w:spacing w:before="0" w:beforeAutospacing="0" w:after="0" w:afterAutospacing="0"/>
      </w:pPr>
      <w:r>
        <w:t xml:space="preserve">- направить обладателю публичного сервитута коп</w:t>
      </w:r>
      <w:r>
        <w:t xml:space="preserve">ию настоящего постановления, сведения о лицах, являющихся правообладателями земельных участков, сведения о лицах, подавших заявления об учете их прав (обременений прав) на земельные участки, способах связи с ними, копии документов, подтверждающих права ука</w:t>
      </w:r>
      <w:r>
        <w:t xml:space="preserve">занных лиц на земельные участки.</w:t>
      </w:r>
      <w:r/>
    </w:p>
    <w:p>
      <w:pPr>
        <w:pStyle w:val="838"/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</w:t>
      </w:r>
      <w:r>
        <w:rPr>
          <w:sz w:val="24"/>
          <w:szCs w:val="24"/>
        </w:rPr>
        <w:t xml:space="preserve">. Настоящее постановление вступ</w:t>
      </w:r>
      <w:r>
        <w:rPr>
          <w:sz w:val="24"/>
          <w:szCs w:val="24"/>
        </w:rPr>
        <w:t xml:space="preserve">ает в силу после его подписания.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38"/>
        <w:ind w:left="0"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9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Настоящее постановление </w:t>
      </w:r>
      <w:r>
        <w:rPr>
          <w:sz w:val="24"/>
          <w:szCs w:val="24"/>
        </w:rPr>
        <w:t xml:space="preserve">подлежит </w:t>
      </w:r>
      <w:r>
        <w:rPr>
          <w:sz w:val="24"/>
          <w:szCs w:val="24"/>
        </w:rPr>
        <w:t xml:space="preserve">размещению на сайте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</w:t>
      </w:r>
      <w:hyperlink r:id="rId10" w:tooltip="http://pechengamr.gov-murman.ru/" w:history="1">
        <w:r>
          <w:rPr>
            <w:rStyle w:val="853"/>
            <w:color w:val="auto"/>
            <w:sz w:val="24"/>
            <w:szCs w:val="24"/>
          </w:rPr>
          <w:t xml:space="preserve">http://pechengamr.gov-murman.ru/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left" w:pos="0" w:leader="none"/>
          <w:tab w:val="left" w:pos="993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</w:t>
      </w:r>
      <w:r>
        <w:rPr>
          <w:sz w:val="24"/>
          <w:szCs w:val="24"/>
        </w:rPr>
        <w:t xml:space="preserve"> </w:t>
        <w:tab/>
        <w:tab/>
        <w:tab/>
        <w:tab/>
        <w:tab/>
      </w:r>
      <w:r>
        <w:rPr>
          <w:sz w:val="24"/>
          <w:szCs w:val="24"/>
        </w:rPr>
        <w:t xml:space="preserve">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>
        <w:t xml:space="preserve">Веверица В.А., 2-52-63</w:t>
      </w:r>
      <w:r/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color w:val="auto"/>
          <w:sz w:val="24"/>
          <w:szCs w:val="24"/>
        </w:rPr>
        <w:t xml:space="preserve">к </w:t>
      </w:r>
      <w:r>
        <w:rPr>
          <w:sz w:val="24"/>
          <w:szCs w:val="24"/>
        </w:rPr>
        <w:t xml:space="preserve">постановлению</w:t>
      </w:r>
      <w:r>
        <w:rPr>
          <w:color w:val="auto"/>
          <w:sz w:val="24"/>
          <w:szCs w:val="24"/>
        </w:rPr>
        <w:t xml:space="preserve"> </w:t>
      </w:r>
      <w:r>
        <w:rPr>
          <w:sz w:val="24"/>
          <w:szCs w:val="24"/>
        </w:rPr>
        <w:t xml:space="preserve">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>
        <w:rPr>
          <w:sz w:val="24"/>
          <w:szCs w:val="24"/>
          <w:lang w:val="en-US"/>
        </w:rPr>
        <w:t xml:space="preserve">13</w:t>
      </w:r>
      <w:r>
        <w:rPr>
          <w:sz w:val="24"/>
          <w:szCs w:val="24"/>
          <w:lang w:val="ru-RU"/>
        </w:rPr>
        <w:t xml:space="preserve">.</w:t>
      </w:r>
      <w:r>
        <w:rPr>
          <w:sz w:val="24"/>
          <w:szCs w:val="24"/>
          <w:lang w:val="en-US"/>
        </w:rPr>
        <w:t xml:space="preserve">05</w:t>
      </w:r>
      <w:r>
        <w:rPr>
          <w:sz w:val="24"/>
          <w:szCs w:val="24"/>
          <w:lang w:val="ru-RU"/>
        </w:rPr>
        <w:t xml:space="preserve">.</w:t>
      </w:r>
      <w:r>
        <w:rPr>
          <w:sz w:val="24"/>
          <w:szCs w:val="24"/>
          <w:lang w:val="en-US"/>
        </w:rPr>
        <w:t xml:space="preserve">2024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760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pacing w:after="200" w:line="276" w:lineRule="auto"/>
      </w:pPr>
      <w:r/>
      <w:r/>
    </w:p>
    <w:p>
      <w:pPr>
        <w:jc w:val="both"/>
        <w:spacing w:after="200" w:line="276" w:lineRule="auto"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5200" distR="115200" simplePos="0" relativeHeight="251661312" behindDoc="1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6120130" cy="8664523"/>
                <wp:effectExtent l="0" t="0" r="0" b="0"/>
                <wp:wrapNone/>
                <wp:docPr id="2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21606108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120129" cy="866452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position:absolute;z-index:-251661312;o:allowoverlap:true;o:allowincell:true;mso-position-horizontal-relative:margin;mso-position-horizontal:center;mso-position-vertical-relative:text;margin-top:0.00pt;mso-position-vertical:absolute;width:481.90pt;height:682.25pt;mso-wrap-distance-left:9.07pt;mso-wrap-distance-top:0.00pt;mso-wrap-distance-right:9.07pt;mso-wrap-distance-bottom:0.00pt;" stroked="false">
                <v:path textboxrect="0,0,0,0"/>
                <v:imagedata r:id="rId11" o:title=""/>
              </v:shape>
            </w:pict>
          </mc:Fallback>
        </mc:AlternateContent>
      </w:r>
      <w:r/>
    </w:p>
    <w:p>
      <w:pPr>
        <w:shd w:val="nil" w:color="auto"/>
      </w:pPr>
      <w:r>
        <w:br w:type="page" w:clear="all"/>
      </w:r>
      <w:r/>
    </w:p>
    <w:tbl>
      <w:tblPr>
        <w:tblStyle w:val="855"/>
        <w:tblW w:w="9923" w:type="dxa"/>
        <w:tblInd w:w="8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Look w:val="01E0" w:firstRow="1" w:lastRow="1" w:firstColumn="1" w:lastColumn="1" w:noHBand="0" w:noVBand="0"/>
      </w:tblPr>
      <w:tblGrid>
        <w:gridCol w:w="1522"/>
        <w:gridCol w:w="859"/>
        <w:gridCol w:w="843"/>
        <w:gridCol w:w="37"/>
        <w:gridCol w:w="1664"/>
        <w:gridCol w:w="3580"/>
        <w:gridCol w:w="1418"/>
      </w:tblGrid>
      <w:tr>
        <w:tblPrEx/>
        <w:trPr>
          <w:trHeight w:val="276"/>
        </w:trPr>
        <w:tc>
          <w:tcPr>
            <w:gridSpan w:val="7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3" w:type="dxa"/>
            <w:textDirection w:val="lrTb"/>
            <w:noWrap w:val="false"/>
          </w:tcPr>
          <w:p>
            <w:pPr>
              <w:ind w:left="13"/>
              <w:jc w:val="center"/>
              <w:spacing w:line="25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Описание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границ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публичного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сервитута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581"/>
        </w:trPr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one" w:color="000000" w:sz="4" w:space="0"/>
            </w:tcBorders>
            <w:tcW w:w="2381" w:type="dxa"/>
            <w:vMerge w:val="restart"/>
            <w:textDirection w:val="lrTb"/>
            <w:noWrap w:val="false"/>
          </w:tcPr>
          <w:p>
            <w:pPr>
              <w:ind w:left="20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Местоположение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  <w:p>
            <w:pPr>
              <w:spacing w:before="45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  <w:p>
            <w:pPr>
              <w:ind w:left="20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Система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координат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5"/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W w:w="7542" w:type="dxa"/>
            <w:textDirection w:val="lrTb"/>
            <w:noWrap w:val="false"/>
          </w:tcPr>
          <w:p>
            <w:pPr>
              <w:ind w:left="3146" w:right="93" w:hanging="3025"/>
              <w:spacing w:before="10" w:line="270" w:lineRule="atLeast"/>
              <w:rPr>
                <w:color w:val="auto"/>
                <w:sz w:val="24"/>
                <w:szCs w:val="22"/>
                <w:lang w:val="ru-RU" w:eastAsia="en-US"/>
              </w:rPr>
            </w:pPr>
            <w:r>
              <w:rPr>
                <w:color w:val="auto"/>
                <w:sz w:val="24"/>
                <w:szCs w:val="22"/>
                <w:lang w:val="ru-RU" w:eastAsia="en-US"/>
              </w:rPr>
              <w:t xml:space="preserve">184421,</w:t>
            </w:r>
            <w:r>
              <w:rPr>
                <w:color w:val="auto"/>
                <w:spacing w:val="-11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z w:val="24"/>
                <w:szCs w:val="22"/>
                <w:lang w:val="ru-RU" w:eastAsia="en-US"/>
              </w:rPr>
              <w:t xml:space="preserve">Российская</w:t>
            </w:r>
            <w:r>
              <w:rPr>
                <w:color w:val="auto"/>
                <w:spacing w:val="-11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z w:val="24"/>
                <w:szCs w:val="22"/>
                <w:lang w:val="ru-RU" w:eastAsia="en-US"/>
              </w:rPr>
              <w:t xml:space="preserve">Федерация,</w:t>
            </w:r>
            <w:r>
              <w:rPr>
                <w:color w:val="auto"/>
                <w:spacing w:val="-11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z w:val="24"/>
                <w:szCs w:val="22"/>
                <w:lang w:val="ru-RU" w:eastAsia="en-US"/>
              </w:rPr>
              <w:t xml:space="preserve">Мурманская</w:t>
            </w:r>
            <w:r>
              <w:rPr>
                <w:color w:val="auto"/>
                <w:spacing w:val="-11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z w:val="24"/>
                <w:szCs w:val="22"/>
                <w:lang w:val="ru-RU" w:eastAsia="en-US"/>
              </w:rPr>
              <w:t xml:space="preserve">область,</w:t>
            </w:r>
            <w:r>
              <w:rPr>
                <w:color w:val="auto"/>
                <w:spacing w:val="-11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z w:val="24"/>
                <w:szCs w:val="22"/>
                <w:lang w:val="ru-RU" w:eastAsia="en-US"/>
              </w:rPr>
              <w:t xml:space="preserve">Печенгский</w:t>
            </w:r>
            <w:r>
              <w:rPr>
                <w:color w:val="auto"/>
                <w:spacing w:val="-11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z w:val="24"/>
                <w:szCs w:val="22"/>
                <w:lang w:val="ru-RU" w:eastAsia="en-US"/>
              </w:rPr>
              <w:t xml:space="preserve">р-н,</w:t>
            </w:r>
            <w:r>
              <w:rPr>
                <w:color w:val="auto"/>
                <w:spacing w:val="-11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z w:val="24"/>
                <w:szCs w:val="22"/>
                <w:lang w:val="ru-RU" w:eastAsia="en-US"/>
              </w:rPr>
              <w:t xml:space="preserve">Никель пгт, Спортивная ул</w:t>
            </w:r>
            <w:r>
              <w:rPr>
                <w:color w:val="auto"/>
                <w:sz w:val="24"/>
                <w:szCs w:val="22"/>
                <w:lang w:val="ru-RU" w:eastAsia="en-US"/>
              </w:rPr>
            </w:r>
            <w:r>
              <w:rPr>
                <w:color w:val="auto"/>
                <w:sz w:val="24"/>
                <w:szCs w:val="22"/>
                <w:lang w:val="ru-RU" w:eastAsia="en-US"/>
              </w:rPr>
            </w:r>
          </w:p>
        </w:tc>
      </w:tr>
      <w:tr>
        <w:tblPrEx/>
        <w:trPr>
          <w:trHeight w:val="295"/>
        </w:trPr>
        <w:tc>
          <w:tcPr>
            <w:gridSpan w:val="2"/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none" w:color="000000" w:sz="4" w:space="0"/>
            </w:tcBorders>
            <w:tcW w:w="2381" w:type="dxa"/>
            <w:vMerge w:val="continue"/>
            <w:textDirection w:val="lrTb"/>
            <w:noWrap w:val="false"/>
          </w:tcPr>
          <w:p>
            <w:pPr>
              <w:rPr>
                <w:color w:val="auto"/>
                <w:sz w:val="2"/>
                <w:szCs w:val="2"/>
                <w:lang w:val="ru-RU" w:eastAsia="en-US"/>
              </w:rPr>
            </w:pPr>
            <w:r>
              <w:rPr>
                <w:color w:val="auto"/>
                <w:sz w:val="2"/>
                <w:szCs w:val="2"/>
                <w:lang w:val="ru-RU" w:eastAsia="en-US"/>
              </w:rPr>
            </w:r>
            <w:r>
              <w:rPr>
                <w:color w:val="auto"/>
                <w:sz w:val="2"/>
                <w:szCs w:val="2"/>
                <w:lang w:val="ru-RU" w:eastAsia="en-US"/>
              </w:rPr>
            </w:r>
            <w:r>
              <w:rPr>
                <w:color w:val="auto"/>
                <w:sz w:val="2"/>
                <w:szCs w:val="2"/>
                <w:lang w:val="ru-RU" w:eastAsia="en-US"/>
              </w:rPr>
            </w:r>
          </w:p>
        </w:tc>
        <w:tc>
          <w:tcPr>
            <w:gridSpan w:val="5"/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W w:w="7542" w:type="dxa"/>
            <w:textDirection w:val="lrTb"/>
            <w:noWrap w:val="false"/>
          </w:tcPr>
          <w:p>
            <w:pPr>
              <w:ind w:left="27"/>
              <w:jc w:val="center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МСК-51, 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зона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pacing w:val="-10"/>
                <w:sz w:val="24"/>
                <w:szCs w:val="22"/>
                <w:lang w:eastAsia="en-US"/>
              </w:rPr>
              <w:t xml:space="preserve">1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251"/>
        </w:trPr>
        <w:tc>
          <w:tcPr>
            <w:gridSpan w:val="6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8505" w:type="dxa"/>
            <w:textDirection w:val="lrTb"/>
            <w:noWrap w:val="false"/>
          </w:tcPr>
          <w:p>
            <w:pPr>
              <w:ind w:left="35"/>
              <w:spacing w:line="231" w:lineRule="exact"/>
              <w:rPr>
                <w:color w:val="auto"/>
                <w:sz w:val="22"/>
                <w:szCs w:val="22"/>
                <w:lang w:val="ru-RU" w:eastAsia="en-US"/>
              </w:rPr>
            </w:pPr>
            <w:r>
              <w:rPr>
                <w:color w:val="auto"/>
                <w:sz w:val="22"/>
                <w:szCs w:val="22"/>
                <w:lang w:val="ru-RU" w:eastAsia="en-US"/>
              </w:rPr>
              <w:t xml:space="preserve">Площадь объекта +/- величина погрешности определения площади (Р +/- Дельта </w:t>
            </w:r>
            <w:r>
              <w:rPr>
                <w:color w:val="auto"/>
                <w:spacing w:val="-5"/>
                <w:sz w:val="22"/>
                <w:szCs w:val="22"/>
                <w:lang w:val="ru-RU" w:eastAsia="en-US"/>
              </w:rPr>
              <w:t xml:space="preserve">Р)</w:t>
            </w:r>
            <w:r>
              <w:rPr>
                <w:color w:val="auto"/>
                <w:sz w:val="22"/>
                <w:szCs w:val="22"/>
                <w:lang w:val="ru-RU" w:eastAsia="en-US"/>
              </w:rPr>
            </w:r>
            <w:r>
              <w:rPr>
                <w:color w:val="auto"/>
                <w:sz w:val="22"/>
                <w:szCs w:val="22"/>
                <w:lang w:val="ru-RU"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ind w:left="11"/>
              <w:jc w:val="center"/>
              <w:spacing w:line="231" w:lineRule="exact"/>
              <w:rPr>
                <w:color w:val="auto"/>
                <w:sz w:val="22"/>
                <w:szCs w:val="22"/>
                <w:lang w:eastAsia="en-US"/>
              </w:rPr>
            </w:pPr>
            <w:r>
              <w:rPr>
                <w:color w:val="auto"/>
                <w:sz w:val="22"/>
                <w:szCs w:val="22"/>
                <w:lang w:eastAsia="en-US"/>
              </w:rPr>
              <w:t xml:space="preserve">431 ± </w:t>
            </w:r>
            <w:r>
              <w:rPr>
                <w:color w:val="auto"/>
                <w:spacing w:val="-4"/>
                <w:sz w:val="22"/>
                <w:szCs w:val="22"/>
                <w:lang w:eastAsia="en-US"/>
              </w:rPr>
              <w:t xml:space="preserve">0,00</w:t>
            </w:r>
            <w:r>
              <w:rPr>
                <w:color w:val="auto"/>
                <w:sz w:val="22"/>
                <w:szCs w:val="22"/>
                <w:lang w:eastAsia="en-US"/>
              </w:rPr>
            </w:r>
            <w:r>
              <w:rPr>
                <w:color w:val="auto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95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1522" w:type="dxa"/>
            <w:textDirection w:val="lrTb"/>
            <w:noWrap w:val="false"/>
          </w:tcPr>
          <w:p>
            <w:pPr>
              <w:ind w:left="15"/>
              <w:jc w:val="center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Номер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точки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2"/>
            <w:tcBorders>
              <w:left w:val="single" w:color="000000" w:sz="6" w:space="0"/>
              <w:right w:val="single" w:color="000000" w:sz="6" w:space="0"/>
            </w:tcBorders>
            <w:tcW w:w="1702" w:type="dxa"/>
            <w:textDirection w:val="lrTb"/>
            <w:noWrap w:val="false"/>
          </w:tcPr>
          <w:p>
            <w:pPr>
              <w:ind w:left="125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Координата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pacing w:val="-10"/>
                <w:sz w:val="24"/>
                <w:szCs w:val="22"/>
                <w:lang w:eastAsia="en-US"/>
              </w:rPr>
              <w:t xml:space="preserve">X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2"/>
            <w:tcBorders>
              <w:left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ind w:left="124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Координата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pacing w:val="-10"/>
                <w:sz w:val="24"/>
                <w:szCs w:val="22"/>
                <w:lang w:eastAsia="en-US"/>
              </w:rPr>
              <w:t xml:space="preserve">Y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80" w:type="dxa"/>
            <w:textDirection w:val="lrTb"/>
            <w:noWrap w:val="false"/>
          </w:tcPr>
          <w:p>
            <w:pPr>
              <w:ind w:left="971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Метод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определения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ind w:left="11"/>
              <w:jc w:val="center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Погре</w:t>
            </w:r>
            <w:bookmarkStart w:id="0" w:name="_GoBack"/>
            <w:r/>
            <w:bookmarkEnd w:id="0"/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шность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243"/>
        </w:trPr>
        <w:tc>
          <w:tcPr>
            <w:gridSpan w:val="7"/>
            <w:tcBorders>
              <w:left w:val="single" w:color="000000" w:sz="6" w:space="0"/>
              <w:right w:val="single" w:color="000000" w:sz="6" w:space="0"/>
            </w:tcBorders>
            <w:tcW w:w="9923" w:type="dxa"/>
            <w:textDirection w:val="lrTb"/>
            <w:noWrap w:val="false"/>
          </w:tcPr>
          <w:p>
            <w:pPr>
              <w:ind w:left="35"/>
              <w:spacing w:line="224" w:lineRule="exact"/>
              <w:rPr>
                <w:color w:val="auto"/>
                <w:sz w:val="22"/>
                <w:szCs w:val="22"/>
                <w:lang w:eastAsia="en-US"/>
              </w:rPr>
            </w:pPr>
            <w:r>
              <w:rPr>
                <w:color w:val="auto"/>
                <w:spacing w:val="-2"/>
                <w:sz w:val="22"/>
                <w:szCs w:val="22"/>
                <w:lang w:eastAsia="en-US"/>
              </w:rPr>
              <w:t xml:space="preserve">:ЗУ1(1)</w:t>
            </w:r>
            <w:r>
              <w:rPr>
                <w:color w:val="auto"/>
                <w:sz w:val="22"/>
                <w:szCs w:val="22"/>
                <w:lang w:eastAsia="en-US"/>
              </w:rPr>
            </w:r>
            <w:r>
              <w:rPr>
                <w:color w:val="auto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88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22" w:type="dxa"/>
            <w:textDirection w:val="lrTb"/>
            <w:noWrap w:val="false"/>
          </w:tcPr>
          <w:p>
            <w:pPr>
              <w:ind w:left="15" w:right="1"/>
              <w:jc w:val="center"/>
              <w:spacing w:before="5" w:line="263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10"/>
                <w:sz w:val="24"/>
                <w:szCs w:val="22"/>
                <w:lang w:eastAsia="en-US"/>
              </w:rPr>
              <w:t xml:space="preserve">1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3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9" w:type="dxa"/>
            <w:textDirection w:val="lrTb"/>
            <w:noWrap w:val="false"/>
          </w:tcPr>
          <w:p>
            <w:pPr>
              <w:ind w:left="584"/>
              <w:spacing w:before="5" w:line="263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692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523,54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64" w:type="dxa"/>
            <w:textDirection w:val="lrTb"/>
            <w:noWrap w:val="false"/>
          </w:tcPr>
          <w:p>
            <w:pPr>
              <w:ind w:right="20"/>
              <w:jc w:val="right"/>
              <w:spacing w:before="5" w:line="263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1 327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733,79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0" w:type="dxa"/>
            <w:textDirection w:val="lrTb"/>
            <w:noWrap w:val="false"/>
          </w:tcPr>
          <w:p>
            <w:pPr>
              <w:ind w:left="33"/>
              <w:spacing w:line="268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Аналитический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метод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ind w:left="11"/>
              <w:jc w:val="center"/>
              <w:spacing w:line="268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4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29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22" w:type="dxa"/>
            <w:textDirection w:val="lrTb"/>
            <w:noWrap w:val="false"/>
          </w:tcPr>
          <w:p>
            <w:pPr>
              <w:ind w:left="15" w:right="1"/>
              <w:jc w:val="center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10"/>
                <w:sz w:val="24"/>
                <w:szCs w:val="22"/>
                <w:lang w:eastAsia="en-US"/>
              </w:rPr>
              <w:t xml:space="preserve">2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9" w:type="dxa"/>
            <w:textDirection w:val="lrTb"/>
            <w:noWrap w:val="false"/>
          </w:tcPr>
          <w:p>
            <w:pPr>
              <w:ind w:left="584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692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530,27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64" w:type="dxa"/>
            <w:textDirection w:val="lrTb"/>
            <w:noWrap w:val="false"/>
          </w:tcPr>
          <w:p>
            <w:pPr>
              <w:ind w:right="20"/>
              <w:jc w:val="right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1 327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728,32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0" w:type="dxa"/>
            <w:textDirection w:val="lrTb"/>
            <w:noWrap w:val="false"/>
          </w:tcPr>
          <w:p>
            <w:pPr>
              <w:ind w:left="33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Аналитический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метод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ind w:left="11"/>
              <w:jc w:val="center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4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29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22" w:type="dxa"/>
            <w:textDirection w:val="lrTb"/>
            <w:noWrap w:val="false"/>
          </w:tcPr>
          <w:p>
            <w:pPr>
              <w:ind w:left="15" w:right="1"/>
              <w:jc w:val="center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10"/>
                <w:sz w:val="24"/>
                <w:szCs w:val="22"/>
                <w:lang w:eastAsia="en-US"/>
              </w:rPr>
              <w:t xml:space="preserve">3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9" w:type="dxa"/>
            <w:textDirection w:val="lrTb"/>
            <w:noWrap w:val="false"/>
          </w:tcPr>
          <w:p>
            <w:pPr>
              <w:ind w:left="584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692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538,09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64" w:type="dxa"/>
            <w:textDirection w:val="lrTb"/>
            <w:noWrap w:val="false"/>
          </w:tcPr>
          <w:p>
            <w:pPr>
              <w:ind w:right="20"/>
              <w:jc w:val="right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1 327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745,40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0" w:type="dxa"/>
            <w:textDirection w:val="lrTb"/>
            <w:noWrap w:val="false"/>
          </w:tcPr>
          <w:p>
            <w:pPr>
              <w:ind w:left="33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Аналитический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метод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ind w:left="11"/>
              <w:jc w:val="center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4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29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22" w:type="dxa"/>
            <w:textDirection w:val="lrTb"/>
            <w:noWrap w:val="false"/>
          </w:tcPr>
          <w:p>
            <w:pPr>
              <w:ind w:left="15" w:right="1"/>
              <w:jc w:val="center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10"/>
                <w:sz w:val="24"/>
                <w:szCs w:val="22"/>
                <w:lang w:eastAsia="en-US"/>
              </w:rPr>
              <w:t xml:space="preserve">4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9" w:type="dxa"/>
            <w:textDirection w:val="lrTb"/>
            <w:noWrap w:val="false"/>
          </w:tcPr>
          <w:p>
            <w:pPr>
              <w:ind w:left="584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692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558,99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64" w:type="dxa"/>
            <w:textDirection w:val="lrTb"/>
            <w:noWrap w:val="false"/>
          </w:tcPr>
          <w:p>
            <w:pPr>
              <w:ind w:right="20"/>
              <w:jc w:val="right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1 327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804,20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0" w:type="dxa"/>
            <w:textDirection w:val="lrTb"/>
            <w:noWrap w:val="false"/>
          </w:tcPr>
          <w:p>
            <w:pPr>
              <w:ind w:left="33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Аналитический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метод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ind w:left="11"/>
              <w:jc w:val="center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4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29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22" w:type="dxa"/>
            <w:textDirection w:val="lrTb"/>
            <w:noWrap w:val="false"/>
          </w:tcPr>
          <w:p>
            <w:pPr>
              <w:ind w:left="15" w:right="1"/>
              <w:jc w:val="center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10"/>
                <w:sz w:val="24"/>
                <w:szCs w:val="22"/>
                <w:lang w:eastAsia="en-US"/>
              </w:rPr>
              <w:t xml:space="preserve">5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9" w:type="dxa"/>
            <w:textDirection w:val="lrTb"/>
            <w:noWrap w:val="false"/>
          </w:tcPr>
          <w:p>
            <w:pPr>
              <w:ind w:left="584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692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555,96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64" w:type="dxa"/>
            <w:textDirection w:val="lrTb"/>
            <w:noWrap w:val="false"/>
          </w:tcPr>
          <w:p>
            <w:pPr>
              <w:ind w:right="20"/>
              <w:jc w:val="right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1 327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805,87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0" w:type="dxa"/>
            <w:textDirection w:val="lrTb"/>
            <w:noWrap w:val="false"/>
          </w:tcPr>
          <w:p>
            <w:pPr>
              <w:ind w:left="33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Аналитический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метод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ind w:left="11"/>
              <w:jc w:val="center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4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29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22" w:type="dxa"/>
            <w:textDirection w:val="lrTb"/>
            <w:noWrap w:val="false"/>
          </w:tcPr>
          <w:p>
            <w:pPr>
              <w:ind w:left="15" w:right="1"/>
              <w:jc w:val="center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10"/>
                <w:sz w:val="24"/>
                <w:szCs w:val="22"/>
                <w:lang w:eastAsia="en-US"/>
              </w:rPr>
              <w:t xml:space="preserve">6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9" w:type="dxa"/>
            <w:textDirection w:val="lrTb"/>
            <w:noWrap w:val="false"/>
          </w:tcPr>
          <w:p>
            <w:pPr>
              <w:ind w:left="584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692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549,69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64" w:type="dxa"/>
            <w:textDirection w:val="lrTb"/>
            <w:noWrap w:val="false"/>
          </w:tcPr>
          <w:p>
            <w:pPr>
              <w:ind w:right="20"/>
              <w:jc w:val="right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1 327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789,76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0" w:type="dxa"/>
            <w:textDirection w:val="lrTb"/>
            <w:noWrap w:val="false"/>
          </w:tcPr>
          <w:p>
            <w:pPr>
              <w:ind w:left="33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Аналитический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метод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ind w:left="11"/>
              <w:jc w:val="center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4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29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22" w:type="dxa"/>
            <w:textDirection w:val="lrTb"/>
            <w:noWrap w:val="false"/>
          </w:tcPr>
          <w:p>
            <w:pPr>
              <w:ind w:left="15" w:right="1"/>
              <w:jc w:val="center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10"/>
                <w:sz w:val="24"/>
                <w:szCs w:val="22"/>
                <w:lang w:eastAsia="en-US"/>
              </w:rPr>
              <w:t xml:space="preserve">7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9" w:type="dxa"/>
            <w:textDirection w:val="lrTb"/>
            <w:noWrap w:val="false"/>
          </w:tcPr>
          <w:p>
            <w:pPr>
              <w:ind w:left="584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692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544,04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64" w:type="dxa"/>
            <w:textDirection w:val="lrTb"/>
            <w:noWrap w:val="false"/>
          </w:tcPr>
          <w:p>
            <w:pPr>
              <w:ind w:right="20"/>
              <w:jc w:val="right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1 327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782,11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0" w:type="dxa"/>
            <w:textDirection w:val="lrTb"/>
            <w:noWrap w:val="false"/>
          </w:tcPr>
          <w:p>
            <w:pPr>
              <w:ind w:left="33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Аналитический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метод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ind w:left="11"/>
              <w:jc w:val="center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4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29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22" w:type="dxa"/>
            <w:textDirection w:val="lrTb"/>
            <w:noWrap w:val="false"/>
          </w:tcPr>
          <w:p>
            <w:pPr>
              <w:ind w:left="15" w:right="1"/>
              <w:jc w:val="center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10"/>
                <w:sz w:val="24"/>
                <w:szCs w:val="22"/>
                <w:lang w:eastAsia="en-US"/>
              </w:rPr>
              <w:t xml:space="preserve">8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9" w:type="dxa"/>
            <w:textDirection w:val="lrTb"/>
            <w:noWrap w:val="false"/>
          </w:tcPr>
          <w:p>
            <w:pPr>
              <w:ind w:left="584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692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542,43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64" w:type="dxa"/>
            <w:textDirection w:val="lrTb"/>
            <w:noWrap w:val="false"/>
          </w:tcPr>
          <w:p>
            <w:pPr>
              <w:ind w:right="20"/>
              <w:jc w:val="right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1 327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783,30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0" w:type="dxa"/>
            <w:textDirection w:val="lrTb"/>
            <w:noWrap w:val="false"/>
          </w:tcPr>
          <w:p>
            <w:pPr>
              <w:ind w:left="33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Аналитический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метод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ind w:left="11"/>
              <w:jc w:val="center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4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29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22" w:type="dxa"/>
            <w:textDirection w:val="lrTb"/>
            <w:noWrap w:val="false"/>
          </w:tcPr>
          <w:p>
            <w:pPr>
              <w:ind w:left="15" w:right="1"/>
              <w:jc w:val="center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10"/>
                <w:sz w:val="24"/>
                <w:szCs w:val="22"/>
                <w:lang w:eastAsia="en-US"/>
              </w:rPr>
              <w:t xml:space="preserve">9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9" w:type="dxa"/>
            <w:textDirection w:val="lrTb"/>
            <w:noWrap w:val="false"/>
          </w:tcPr>
          <w:p>
            <w:pPr>
              <w:ind w:left="584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692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547,92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64" w:type="dxa"/>
            <w:textDirection w:val="lrTb"/>
            <w:noWrap w:val="false"/>
          </w:tcPr>
          <w:p>
            <w:pPr>
              <w:ind w:right="20"/>
              <w:jc w:val="right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1 327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790,73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0" w:type="dxa"/>
            <w:textDirection w:val="lrTb"/>
            <w:noWrap w:val="false"/>
          </w:tcPr>
          <w:p>
            <w:pPr>
              <w:ind w:left="33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Аналитический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метод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ind w:left="11"/>
              <w:jc w:val="center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4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29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22" w:type="dxa"/>
            <w:textDirection w:val="lrTb"/>
            <w:noWrap w:val="false"/>
          </w:tcPr>
          <w:p>
            <w:pPr>
              <w:ind w:left="15" w:right="1"/>
              <w:jc w:val="center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5"/>
                <w:sz w:val="24"/>
                <w:szCs w:val="22"/>
                <w:lang w:eastAsia="en-US"/>
              </w:rPr>
              <w:t xml:space="preserve">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9" w:type="dxa"/>
            <w:textDirection w:val="lrTb"/>
            <w:noWrap w:val="false"/>
          </w:tcPr>
          <w:p>
            <w:pPr>
              <w:ind w:left="584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692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554,93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64" w:type="dxa"/>
            <w:textDirection w:val="lrTb"/>
            <w:noWrap w:val="false"/>
          </w:tcPr>
          <w:p>
            <w:pPr>
              <w:ind w:right="20"/>
              <w:jc w:val="right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1 327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808,73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0" w:type="dxa"/>
            <w:textDirection w:val="lrTb"/>
            <w:noWrap w:val="false"/>
          </w:tcPr>
          <w:p>
            <w:pPr>
              <w:ind w:left="33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Аналитический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метод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ind w:left="11"/>
              <w:jc w:val="center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4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29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22" w:type="dxa"/>
            <w:textDirection w:val="lrTb"/>
            <w:noWrap w:val="false"/>
          </w:tcPr>
          <w:p>
            <w:pPr>
              <w:ind w:left="15" w:right="1"/>
              <w:jc w:val="center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5"/>
                <w:sz w:val="24"/>
                <w:szCs w:val="22"/>
                <w:lang w:eastAsia="en-US"/>
              </w:rPr>
              <w:t xml:space="preserve">11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9" w:type="dxa"/>
            <w:textDirection w:val="lrTb"/>
            <w:noWrap w:val="false"/>
          </w:tcPr>
          <w:p>
            <w:pPr>
              <w:ind w:left="584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692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560,69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64" w:type="dxa"/>
            <w:textDirection w:val="lrTb"/>
            <w:noWrap w:val="false"/>
          </w:tcPr>
          <w:p>
            <w:pPr>
              <w:ind w:right="20"/>
              <w:jc w:val="right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1 327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805,54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0" w:type="dxa"/>
            <w:textDirection w:val="lrTb"/>
            <w:noWrap w:val="false"/>
          </w:tcPr>
          <w:p>
            <w:pPr>
              <w:ind w:left="33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Аналитический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метод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ind w:left="11"/>
              <w:jc w:val="center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4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29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22" w:type="dxa"/>
            <w:textDirection w:val="lrTb"/>
            <w:noWrap w:val="false"/>
          </w:tcPr>
          <w:p>
            <w:pPr>
              <w:ind w:left="15" w:right="1"/>
              <w:jc w:val="center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5"/>
                <w:sz w:val="24"/>
                <w:szCs w:val="22"/>
                <w:lang w:eastAsia="en-US"/>
              </w:rPr>
              <w:t xml:space="preserve">12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9" w:type="dxa"/>
            <w:textDirection w:val="lrTb"/>
            <w:noWrap w:val="false"/>
          </w:tcPr>
          <w:p>
            <w:pPr>
              <w:ind w:left="584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692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572,84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64" w:type="dxa"/>
            <w:textDirection w:val="lrTb"/>
            <w:noWrap w:val="false"/>
          </w:tcPr>
          <w:p>
            <w:pPr>
              <w:ind w:right="20"/>
              <w:jc w:val="right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1 327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799,00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0" w:type="dxa"/>
            <w:textDirection w:val="lrTb"/>
            <w:noWrap w:val="false"/>
          </w:tcPr>
          <w:p>
            <w:pPr>
              <w:ind w:left="33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Аналитический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метод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ind w:left="11"/>
              <w:jc w:val="center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4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29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22" w:type="dxa"/>
            <w:textDirection w:val="lrTb"/>
            <w:noWrap w:val="false"/>
          </w:tcPr>
          <w:p>
            <w:pPr>
              <w:ind w:left="15" w:right="1"/>
              <w:jc w:val="center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5"/>
                <w:sz w:val="24"/>
                <w:szCs w:val="22"/>
                <w:lang w:eastAsia="en-US"/>
              </w:rPr>
              <w:t xml:space="preserve">13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9" w:type="dxa"/>
            <w:textDirection w:val="lrTb"/>
            <w:noWrap w:val="false"/>
          </w:tcPr>
          <w:p>
            <w:pPr>
              <w:ind w:left="584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692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571,89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64" w:type="dxa"/>
            <w:textDirection w:val="lrTb"/>
            <w:noWrap w:val="false"/>
          </w:tcPr>
          <w:p>
            <w:pPr>
              <w:ind w:right="20"/>
              <w:jc w:val="right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1 327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797,24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0" w:type="dxa"/>
            <w:textDirection w:val="lrTb"/>
            <w:noWrap w:val="false"/>
          </w:tcPr>
          <w:p>
            <w:pPr>
              <w:ind w:left="33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Аналитический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метод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ind w:left="11"/>
              <w:jc w:val="center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4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29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22" w:type="dxa"/>
            <w:textDirection w:val="lrTb"/>
            <w:noWrap w:val="false"/>
          </w:tcPr>
          <w:p>
            <w:pPr>
              <w:ind w:left="15" w:right="1"/>
              <w:jc w:val="center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5"/>
                <w:sz w:val="24"/>
                <w:szCs w:val="22"/>
                <w:lang w:eastAsia="en-US"/>
              </w:rPr>
              <w:t xml:space="preserve">14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9" w:type="dxa"/>
            <w:textDirection w:val="lrTb"/>
            <w:noWrap w:val="false"/>
          </w:tcPr>
          <w:p>
            <w:pPr>
              <w:ind w:left="584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692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560,76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64" w:type="dxa"/>
            <w:textDirection w:val="lrTb"/>
            <w:noWrap w:val="false"/>
          </w:tcPr>
          <w:p>
            <w:pPr>
              <w:ind w:right="20"/>
              <w:jc w:val="right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1 327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803,23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0" w:type="dxa"/>
            <w:textDirection w:val="lrTb"/>
            <w:noWrap w:val="false"/>
          </w:tcPr>
          <w:p>
            <w:pPr>
              <w:ind w:left="33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Аналитический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метод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ind w:left="11"/>
              <w:jc w:val="center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4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29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22" w:type="dxa"/>
            <w:textDirection w:val="lrTb"/>
            <w:noWrap w:val="false"/>
          </w:tcPr>
          <w:p>
            <w:pPr>
              <w:ind w:left="15" w:right="1"/>
              <w:jc w:val="center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5"/>
                <w:sz w:val="24"/>
                <w:szCs w:val="22"/>
                <w:lang w:eastAsia="en-US"/>
              </w:rPr>
              <w:t xml:space="preserve">15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9" w:type="dxa"/>
            <w:textDirection w:val="lrTb"/>
            <w:noWrap w:val="false"/>
          </w:tcPr>
          <w:p>
            <w:pPr>
              <w:ind w:left="584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692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539,95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64" w:type="dxa"/>
            <w:textDirection w:val="lrTb"/>
            <w:noWrap w:val="false"/>
          </w:tcPr>
          <w:p>
            <w:pPr>
              <w:ind w:right="20"/>
              <w:jc w:val="right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1 327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744,65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0" w:type="dxa"/>
            <w:textDirection w:val="lrTb"/>
            <w:noWrap w:val="false"/>
          </w:tcPr>
          <w:p>
            <w:pPr>
              <w:ind w:left="33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Аналитический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метод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ind w:left="11"/>
              <w:jc w:val="center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4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29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22" w:type="dxa"/>
            <w:textDirection w:val="lrTb"/>
            <w:noWrap w:val="false"/>
          </w:tcPr>
          <w:p>
            <w:pPr>
              <w:ind w:left="15" w:right="1"/>
              <w:jc w:val="center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5"/>
                <w:sz w:val="24"/>
                <w:szCs w:val="22"/>
                <w:lang w:eastAsia="en-US"/>
              </w:rPr>
              <w:t xml:space="preserve">16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9" w:type="dxa"/>
            <w:textDirection w:val="lrTb"/>
            <w:noWrap w:val="false"/>
          </w:tcPr>
          <w:p>
            <w:pPr>
              <w:ind w:left="584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692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531,86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64" w:type="dxa"/>
            <w:textDirection w:val="lrTb"/>
            <w:noWrap w:val="false"/>
          </w:tcPr>
          <w:p>
            <w:pPr>
              <w:ind w:right="20"/>
              <w:jc w:val="right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1 327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727,00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0" w:type="dxa"/>
            <w:textDirection w:val="lrTb"/>
            <w:noWrap w:val="false"/>
          </w:tcPr>
          <w:p>
            <w:pPr>
              <w:ind w:left="33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Аналитический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метод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ind w:left="11"/>
              <w:jc w:val="center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4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29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22" w:type="dxa"/>
            <w:textDirection w:val="lrTb"/>
            <w:noWrap w:val="false"/>
          </w:tcPr>
          <w:p>
            <w:pPr>
              <w:ind w:left="15" w:right="1"/>
              <w:jc w:val="center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5"/>
                <w:sz w:val="24"/>
                <w:szCs w:val="22"/>
                <w:lang w:eastAsia="en-US"/>
              </w:rPr>
              <w:t xml:space="preserve">17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9" w:type="dxa"/>
            <w:textDirection w:val="lrTb"/>
            <w:noWrap w:val="false"/>
          </w:tcPr>
          <w:p>
            <w:pPr>
              <w:ind w:left="584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692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541,89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64" w:type="dxa"/>
            <w:textDirection w:val="lrTb"/>
            <w:noWrap w:val="false"/>
          </w:tcPr>
          <w:p>
            <w:pPr>
              <w:ind w:right="20"/>
              <w:jc w:val="right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1 327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718,50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0" w:type="dxa"/>
            <w:textDirection w:val="lrTb"/>
            <w:noWrap w:val="false"/>
          </w:tcPr>
          <w:p>
            <w:pPr>
              <w:ind w:left="33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Аналитический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метод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ind w:left="11"/>
              <w:jc w:val="center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4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29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22" w:type="dxa"/>
            <w:textDirection w:val="lrTb"/>
            <w:noWrap w:val="false"/>
          </w:tcPr>
          <w:p>
            <w:pPr>
              <w:ind w:left="15" w:right="1"/>
              <w:jc w:val="center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5"/>
                <w:sz w:val="24"/>
                <w:szCs w:val="22"/>
                <w:lang w:eastAsia="en-US"/>
              </w:rPr>
              <w:t xml:space="preserve">18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9" w:type="dxa"/>
            <w:textDirection w:val="lrTb"/>
            <w:noWrap w:val="false"/>
          </w:tcPr>
          <w:p>
            <w:pPr>
              <w:ind w:left="584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692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546,64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64" w:type="dxa"/>
            <w:textDirection w:val="lrTb"/>
            <w:noWrap w:val="false"/>
          </w:tcPr>
          <w:p>
            <w:pPr>
              <w:ind w:right="20"/>
              <w:jc w:val="right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1 327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741,35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0" w:type="dxa"/>
            <w:textDirection w:val="lrTb"/>
            <w:noWrap w:val="false"/>
          </w:tcPr>
          <w:p>
            <w:pPr>
              <w:ind w:left="33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Аналитический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метод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ind w:left="11"/>
              <w:jc w:val="center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4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29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22" w:type="dxa"/>
            <w:textDirection w:val="lrTb"/>
            <w:noWrap w:val="false"/>
          </w:tcPr>
          <w:p>
            <w:pPr>
              <w:ind w:left="15" w:right="1"/>
              <w:jc w:val="center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5"/>
                <w:sz w:val="24"/>
                <w:szCs w:val="22"/>
                <w:lang w:eastAsia="en-US"/>
              </w:rPr>
              <w:t xml:space="preserve">19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9" w:type="dxa"/>
            <w:textDirection w:val="lrTb"/>
            <w:noWrap w:val="false"/>
          </w:tcPr>
          <w:p>
            <w:pPr>
              <w:ind w:left="584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692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549,55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64" w:type="dxa"/>
            <w:textDirection w:val="lrTb"/>
            <w:noWrap w:val="false"/>
          </w:tcPr>
          <w:p>
            <w:pPr>
              <w:ind w:right="20"/>
              <w:jc w:val="right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1 327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744,96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0" w:type="dxa"/>
            <w:textDirection w:val="lrTb"/>
            <w:noWrap w:val="false"/>
          </w:tcPr>
          <w:p>
            <w:pPr>
              <w:ind w:left="33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Аналитический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метод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ind w:left="11"/>
              <w:jc w:val="center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4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29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22" w:type="dxa"/>
            <w:textDirection w:val="lrTb"/>
            <w:noWrap w:val="false"/>
          </w:tcPr>
          <w:p>
            <w:pPr>
              <w:ind w:left="15" w:right="1"/>
              <w:jc w:val="center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5"/>
                <w:sz w:val="24"/>
                <w:szCs w:val="22"/>
                <w:lang w:eastAsia="en-US"/>
              </w:rPr>
              <w:t xml:space="preserve">20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9" w:type="dxa"/>
            <w:textDirection w:val="lrTb"/>
            <w:noWrap w:val="false"/>
          </w:tcPr>
          <w:p>
            <w:pPr>
              <w:ind w:left="584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692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551,10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64" w:type="dxa"/>
            <w:textDirection w:val="lrTb"/>
            <w:noWrap w:val="false"/>
          </w:tcPr>
          <w:p>
            <w:pPr>
              <w:ind w:right="20"/>
              <w:jc w:val="right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1 327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743,71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0" w:type="dxa"/>
            <w:textDirection w:val="lrTb"/>
            <w:noWrap w:val="false"/>
          </w:tcPr>
          <w:p>
            <w:pPr>
              <w:ind w:left="33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Аналитический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метод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ind w:left="11"/>
              <w:jc w:val="center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4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29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22" w:type="dxa"/>
            <w:textDirection w:val="lrTb"/>
            <w:noWrap w:val="false"/>
          </w:tcPr>
          <w:p>
            <w:pPr>
              <w:ind w:left="15" w:right="1"/>
              <w:jc w:val="center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5"/>
                <w:sz w:val="24"/>
                <w:szCs w:val="22"/>
                <w:lang w:eastAsia="en-US"/>
              </w:rPr>
              <w:t xml:space="preserve">21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9" w:type="dxa"/>
            <w:textDirection w:val="lrTb"/>
            <w:noWrap w:val="false"/>
          </w:tcPr>
          <w:p>
            <w:pPr>
              <w:ind w:left="584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692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548,50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64" w:type="dxa"/>
            <w:textDirection w:val="lrTb"/>
            <w:noWrap w:val="false"/>
          </w:tcPr>
          <w:p>
            <w:pPr>
              <w:ind w:right="20"/>
              <w:jc w:val="right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1 327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740,47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0" w:type="dxa"/>
            <w:textDirection w:val="lrTb"/>
            <w:noWrap w:val="false"/>
          </w:tcPr>
          <w:p>
            <w:pPr>
              <w:ind w:left="33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Аналитический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метод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ind w:left="11"/>
              <w:jc w:val="center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4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29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22" w:type="dxa"/>
            <w:textDirection w:val="lrTb"/>
            <w:noWrap w:val="false"/>
          </w:tcPr>
          <w:p>
            <w:pPr>
              <w:ind w:left="15" w:right="1"/>
              <w:jc w:val="center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5"/>
                <w:sz w:val="24"/>
                <w:szCs w:val="22"/>
                <w:lang w:eastAsia="en-US"/>
              </w:rPr>
              <w:t xml:space="preserve">22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9" w:type="dxa"/>
            <w:textDirection w:val="lrTb"/>
            <w:noWrap w:val="false"/>
          </w:tcPr>
          <w:p>
            <w:pPr>
              <w:ind w:left="584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692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543,16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64" w:type="dxa"/>
            <w:textDirection w:val="lrTb"/>
            <w:noWrap w:val="false"/>
          </w:tcPr>
          <w:p>
            <w:pPr>
              <w:ind w:right="20"/>
              <w:jc w:val="right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1 327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714,79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0" w:type="dxa"/>
            <w:textDirection w:val="lrTb"/>
            <w:noWrap w:val="false"/>
          </w:tcPr>
          <w:p>
            <w:pPr>
              <w:ind w:left="33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Аналитический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метод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ind w:left="11"/>
              <w:jc w:val="center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4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29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22" w:type="dxa"/>
            <w:textDirection w:val="lrTb"/>
            <w:noWrap w:val="false"/>
          </w:tcPr>
          <w:p>
            <w:pPr>
              <w:ind w:left="15" w:right="1"/>
              <w:jc w:val="center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5"/>
                <w:sz w:val="24"/>
                <w:szCs w:val="22"/>
                <w:lang w:eastAsia="en-US"/>
              </w:rPr>
              <w:t xml:space="preserve">23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9" w:type="dxa"/>
            <w:textDirection w:val="lrTb"/>
            <w:noWrap w:val="false"/>
          </w:tcPr>
          <w:p>
            <w:pPr>
              <w:ind w:left="584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692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530,00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64" w:type="dxa"/>
            <w:textDirection w:val="lrTb"/>
            <w:noWrap w:val="false"/>
          </w:tcPr>
          <w:p>
            <w:pPr>
              <w:ind w:right="20"/>
              <w:jc w:val="right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1 327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725,95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0" w:type="dxa"/>
            <w:textDirection w:val="lrTb"/>
            <w:noWrap w:val="false"/>
          </w:tcPr>
          <w:p>
            <w:pPr>
              <w:ind w:left="33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Аналитический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метод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ind w:left="11"/>
              <w:jc w:val="center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4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29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22" w:type="dxa"/>
            <w:textDirection w:val="lrTb"/>
            <w:noWrap w:val="false"/>
          </w:tcPr>
          <w:p>
            <w:pPr>
              <w:ind w:left="15" w:right="1"/>
              <w:jc w:val="center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5"/>
                <w:sz w:val="24"/>
                <w:szCs w:val="22"/>
                <w:lang w:eastAsia="en-US"/>
              </w:rPr>
              <w:t xml:space="preserve">24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9" w:type="dxa"/>
            <w:textDirection w:val="lrTb"/>
            <w:noWrap w:val="false"/>
          </w:tcPr>
          <w:p>
            <w:pPr>
              <w:ind w:left="584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692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522,23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64" w:type="dxa"/>
            <w:textDirection w:val="lrTb"/>
            <w:noWrap w:val="false"/>
          </w:tcPr>
          <w:p>
            <w:pPr>
              <w:ind w:right="20"/>
              <w:jc w:val="right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1 327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732,28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0" w:type="dxa"/>
            <w:textDirection w:val="lrTb"/>
            <w:noWrap w:val="false"/>
          </w:tcPr>
          <w:p>
            <w:pPr>
              <w:ind w:left="33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Аналитический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метод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ind w:left="11"/>
              <w:jc w:val="center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4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303"/>
        </w:trPr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22" w:type="dxa"/>
            <w:textDirection w:val="lrTb"/>
            <w:noWrap w:val="false"/>
          </w:tcPr>
          <w:p>
            <w:pPr>
              <w:ind w:left="15" w:right="1"/>
              <w:jc w:val="center"/>
              <w:spacing w:before="5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10"/>
                <w:sz w:val="24"/>
                <w:szCs w:val="22"/>
                <w:lang w:eastAsia="en-US"/>
              </w:rPr>
              <w:t xml:space="preserve">1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739" w:type="dxa"/>
            <w:textDirection w:val="lrTb"/>
            <w:noWrap w:val="false"/>
          </w:tcPr>
          <w:p>
            <w:pPr>
              <w:ind w:left="584"/>
              <w:spacing w:before="5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692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523,54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664" w:type="dxa"/>
            <w:textDirection w:val="lrTb"/>
            <w:noWrap w:val="false"/>
          </w:tcPr>
          <w:p>
            <w:pPr>
              <w:ind w:right="20"/>
              <w:jc w:val="right"/>
              <w:spacing w:before="5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1 327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733,79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580" w:type="dxa"/>
            <w:textDirection w:val="lrTb"/>
            <w:noWrap w:val="false"/>
          </w:tcPr>
          <w:p>
            <w:pPr>
              <w:ind w:left="33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Аналитический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метод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ind w:left="11"/>
              <w:jc w:val="center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4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243"/>
        </w:trPr>
        <w:tc>
          <w:tcPr>
            <w:gridSpan w:val="7"/>
            <w:tcBorders>
              <w:left w:val="single" w:color="000000" w:sz="6" w:space="0"/>
              <w:right w:val="single" w:color="000000" w:sz="6" w:space="0"/>
            </w:tcBorders>
            <w:tcW w:w="9923" w:type="dxa"/>
            <w:textDirection w:val="lrTb"/>
            <w:noWrap w:val="false"/>
          </w:tcPr>
          <w:p>
            <w:pPr>
              <w:ind w:left="35"/>
              <w:spacing w:line="224" w:lineRule="exact"/>
              <w:rPr>
                <w:color w:val="auto"/>
                <w:sz w:val="22"/>
                <w:szCs w:val="22"/>
                <w:lang w:eastAsia="en-US"/>
              </w:rPr>
            </w:pPr>
            <w:r>
              <w:rPr>
                <w:color w:val="auto"/>
                <w:spacing w:val="-2"/>
                <w:sz w:val="22"/>
                <w:szCs w:val="22"/>
                <w:lang w:eastAsia="en-US"/>
              </w:rPr>
              <w:t xml:space="preserve">:ЗУ1(2)</w:t>
            </w:r>
            <w:r>
              <w:rPr>
                <w:color w:val="auto"/>
                <w:sz w:val="22"/>
                <w:szCs w:val="22"/>
                <w:lang w:eastAsia="en-US"/>
              </w:rPr>
            </w:r>
            <w:r>
              <w:rPr>
                <w:color w:val="auto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88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22" w:type="dxa"/>
            <w:textDirection w:val="lrTb"/>
            <w:noWrap w:val="false"/>
          </w:tcPr>
          <w:p>
            <w:pPr>
              <w:ind w:left="15" w:right="1"/>
              <w:jc w:val="center"/>
              <w:spacing w:before="5" w:line="263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5"/>
                <w:sz w:val="24"/>
                <w:szCs w:val="22"/>
                <w:lang w:eastAsia="en-US"/>
              </w:rPr>
              <w:t xml:space="preserve">25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3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9" w:type="dxa"/>
            <w:textDirection w:val="lrTb"/>
            <w:noWrap w:val="false"/>
          </w:tcPr>
          <w:p>
            <w:pPr>
              <w:ind w:left="584"/>
              <w:spacing w:before="5" w:line="263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692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530,49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64" w:type="dxa"/>
            <w:textDirection w:val="lrTb"/>
            <w:noWrap w:val="false"/>
          </w:tcPr>
          <w:p>
            <w:pPr>
              <w:ind w:right="20"/>
              <w:jc w:val="right"/>
              <w:spacing w:before="5" w:line="263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1 327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757,54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0" w:type="dxa"/>
            <w:textDirection w:val="lrTb"/>
            <w:noWrap w:val="false"/>
          </w:tcPr>
          <w:p>
            <w:pPr>
              <w:ind w:left="33"/>
              <w:spacing w:line="268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Аналитический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метод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ind w:left="11"/>
              <w:jc w:val="center"/>
              <w:spacing w:line="268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4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29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22" w:type="dxa"/>
            <w:textDirection w:val="lrTb"/>
            <w:noWrap w:val="false"/>
          </w:tcPr>
          <w:p>
            <w:pPr>
              <w:ind w:left="15" w:right="1"/>
              <w:jc w:val="center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5"/>
                <w:sz w:val="24"/>
                <w:szCs w:val="22"/>
                <w:lang w:eastAsia="en-US"/>
              </w:rPr>
              <w:t xml:space="preserve">26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9" w:type="dxa"/>
            <w:textDirection w:val="lrTb"/>
            <w:noWrap w:val="false"/>
          </w:tcPr>
          <w:p>
            <w:pPr>
              <w:ind w:left="584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692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513,10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64" w:type="dxa"/>
            <w:textDirection w:val="lrTb"/>
            <w:noWrap w:val="false"/>
          </w:tcPr>
          <w:p>
            <w:pPr>
              <w:ind w:right="20"/>
              <w:jc w:val="right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1 327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741,00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0" w:type="dxa"/>
            <w:textDirection w:val="lrTb"/>
            <w:noWrap w:val="false"/>
          </w:tcPr>
          <w:p>
            <w:pPr>
              <w:ind w:left="33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Аналитический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метод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ind w:left="11"/>
              <w:jc w:val="center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4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29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22" w:type="dxa"/>
            <w:textDirection w:val="lrTb"/>
            <w:noWrap w:val="false"/>
          </w:tcPr>
          <w:p>
            <w:pPr>
              <w:ind w:left="15" w:right="1"/>
              <w:jc w:val="center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5"/>
                <w:sz w:val="24"/>
                <w:szCs w:val="22"/>
                <w:lang w:eastAsia="en-US"/>
              </w:rPr>
              <w:t xml:space="preserve">27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9" w:type="dxa"/>
            <w:textDirection w:val="lrTb"/>
            <w:noWrap w:val="false"/>
          </w:tcPr>
          <w:p>
            <w:pPr>
              <w:ind w:left="584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692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518,70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64" w:type="dxa"/>
            <w:textDirection w:val="lrTb"/>
            <w:noWrap w:val="false"/>
          </w:tcPr>
          <w:p>
            <w:pPr>
              <w:ind w:right="20"/>
              <w:jc w:val="right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1 327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736,44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0" w:type="dxa"/>
            <w:textDirection w:val="lrTb"/>
            <w:noWrap w:val="false"/>
          </w:tcPr>
          <w:p>
            <w:pPr>
              <w:ind w:left="33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Аналитический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метод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ind w:left="11"/>
              <w:jc w:val="center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4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29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22" w:type="dxa"/>
            <w:textDirection w:val="lrTb"/>
            <w:noWrap w:val="false"/>
          </w:tcPr>
          <w:p>
            <w:pPr>
              <w:ind w:left="15" w:right="1"/>
              <w:jc w:val="center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5"/>
                <w:sz w:val="24"/>
                <w:szCs w:val="22"/>
                <w:lang w:eastAsia="en-US"/>
              </w:rPr>
              <w:t xml:space="preserve">28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9" w:type="dxa"/>
            <w:textDirection w:val="lrTb"/>
            <w:noWrap w:val="false"/>
          </w:tcPr>
          <w:p>
            <w:pPr>
              <w:ind w:left="584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692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520,02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64" w:type="dxa"/>
            <w:textDirection w:val="lrTb"/>
            <w:noWrap w:val="false"/>
          </w:tcPr>
          <w:p>
            <w:pPr>
              <w:ind w:right="20"/>
              <w:jc w:val="right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1 327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737,94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0" w:type="dxa"/>
            <w:textDirection w:val="lrTb"/>
            <w:noWrap w:val="false"/>
          </w:tcPr>
          <w:p>
            <w:pPr>
              <w:ind w:left="33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Аналитический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метод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ind w:left="11"/>
              <w:jc w:val="center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4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29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22" w:type="dxa"/>
            <w:textDirection w:val="lrTb"/>
            <w:noWrap w:val="false"/>
          </w:tcPr>
          <w:p>
            <w:pPr>
              <w:ind w:left="15" w:right="1"/>
              <w:jc w:val="center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5"/>
                <w:sz w:val="24"/>
                <w:szCs w:val="22"/>
                <w:lang w:eastAsia="en-US"/>
              </w:rPr>
              <w:t xml:space="preserve">29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9" w:type="dxa"/>
            <w:textDirection w:val="lrTb"/>
            <w:noWrap w:val="false"/>
          </w:tcPr>
          <w:p>
            <w:pPr>
              <w:ind w:left="584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692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516,13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64" w:type="dxa"/>
            <w:textDirection w:val="lrTb"/>
            <w:noWrap w:val="false"/>
          </w:tcPr>
          <w:p>
            <w:pPr>
              <w:ind w:right="20"/>
              <w:jc w:val="right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1 327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741,11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0" w:type="dxa"/>
            <w:textDirection w:val="lrTb"/>
            <w:noWrap w:val="false"/>
          </w:tcPr>
          <w:p>
            <w:pPr>
              <w:ind w:left="33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Аналитический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метод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ind w:left="11"/>
              <w:jc w:val="center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4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29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22" w:type="dxa"/>
            <w:textDirection w:val="lrTb"/>
            <w:noWrap w:val="false"/>
          </w:tcPr>
          <w:p>
            <w:pPr>
              <w:ind w:left="15" w:right="1"/>
              <w:jc w:val="center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5"/>
                <w:sz w:val="24"/>
                <w:szCs w:val="22"/>
                <w:lang w:eastAsia="en-US"/>
              </w:rPr>
              <w:t xml:space="preserve">30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9" w:type="dxa"/>
            <w:textDirection w:val="lrTb"/>
            <w:noWrap w:val="false"/>
          </w:tcPr>
          <w:p>
            <w:pPr>
              <w:ind w:left="584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692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532,49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64" w:type="dxa"/>
            <w:textDirection w:val="lrTb"/>
            <w:noWrap w:val="false"/>
          </w:tcPr>
          <w:p>
            <w:pPr>
              <w:ind w:right="20"/>
              <w:jc w:val="right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1 327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756,68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0" w:type="dxa"/>
            <w:textDirection w:val="lrTb"/>
            <w:noWrap w:val="false"/>
          </w:tcPr>
          <w:p>
            <w:pPr>
              <w:ind w:left="33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Аналитический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метод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ind w:left="11"/>
              <w:jc w:val="center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4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29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22" w:type="dxa"/>
            <w:textDirection w:val="lrTb"/>
            <w:noWrap w:val="false"/>
          </w:tcPr>
          <w:p>
            <w:pPr>
              <w:ind w:left="15" w:right="1"/>
              <w:jc w:val="center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5"/>
                <w:sz w:val="24"/>
                <w:szCs w:val="22"/>
                <w:lang w:eastAsia="en-US"/>
              </w:rPr>
              <w:t xml:space="preserve">31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9" w:type="dxa"/>
            <w:textDirection w:val="lrTb"/>
            <w:noWrap w:val="false"/>
          </w:tcPr>
          <w:p>
            <w:pPr>
              <w:ind w:left="584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692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532,49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64" w:type="dxa"/>
            <w:textDirection w:val="lrTb"/>
            <w:noWrap w:val="false"/>
          </w:tcPr>
          <w:p>
            <w:pPr>
              <w:ind w:right="20"/>
              <w:jc w:val="right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1 327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760,17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0" w:type="dxa"/>
            <w:textDirection w:val="lrTb"/>
            <w:noWrap w:val="false"/>
          </w:tcPr>
          <w:p>
            <w:pPr>
              <w:ind w:left="33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Аналитический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метод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ind w:left="11"/>
              <w:jc w:val="center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4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29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22" w:type="dxa"/>
            <w:textDirection w:val="lrTb"/>
            <w:noWrap w:val="false"/>
          </w:tcPr>
          <w:p>
            <w:pPr>
              <w:ind w:left="15" w:right="1"/>
              <w:jc w:val="center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5"/>
                <w:sz w:val="24"/>
                <w:szCs w:val="22"/>
                <w:lang w:eastAsia="en-US"/>
              </w:rPr>
              <w:t xml:space="preserve">32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9" w:type="dxa"/>
            <w:textDirection w:val="lrTb"/>
            <w:noWrap w:val="false"/>
          </w:tcPr>
          <w:p>
            <w:pPr>
              <w:ind w:left="584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692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530,49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64" w:type="dxa"/>
            <w:textDirection w:val="lrTb"/>
            <w:noWrap w:val="false"/>
          </w:tcPr>
          <w:p>
            <w:pPr>
              <w:ind w:right="20"/>
              <w:jc w:val="right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1 327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760,17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0" w:type="dxa"/>
            <w:textDirection w:val="lrTb"/>
            <w:noWrap w:val="false"/>
          </w:tcPr>
          <w:p>
            <w:pPr>
              <w:ind w:left="33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Аналитический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метод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ind w:left="11"/>
              <w:jc w:val="center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4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29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22" w:type="dxa"/>
            <w:textDirection w:val="lrTb"/>
            <w:noWrap w:val="false"/>
          </w:tcPr>
          <w:p>
            <w:pPr>
              <w:ind w:left="15" w:right="1"/>
              <w:jc w:val="center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5"/>
                <w:sz w:val="24"/>
                <w:szCs w:val="22"/>
                <w:lang w:eastAsia="en-US"/>
              </w:rPr>
              <w:t xml:space="preserve">25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39" w:type="dxa"/>
            <w:textDirection w:val="lrTb"/>
            <w:noWrap w:val="false"/>
          </w:tcPr>
          <w:p>
            <w:pPr>
              <w:ind w:left="584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692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530,49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664" w:type="dxa"/>
            <w:textDirection w:val="lrTb"/>
            <w:noWrap w:val="false"/>
          </w:tcPr>
          <w:p>
            <w:pPr>
              <w:ind w:right="20"/>
              <w:jc w:val="right"/>
              <w:spacing w:before="5" w:line="271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1 327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757,54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80" w:type="dxa"/>
            <w:textDirection w:val="lrTb"/>
            <w:noWrap w:val="false"/>
          </w:tcPr>
          <w:p>
            <w:pPr>
              <w:ind w:left="33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Аналитический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pacing w:val="-2"/>
                <w:sz w:val="24"/>
                <w:szCs w:val="22"/>
                <w:lang w:eastAsia="en-US"/>
              </w:rPr>
              <w:t xml:space="preserve">метод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textDirection w:val="lrTb"/>
            <w:noWrap w:val="false"/>
          </w:tcPr>
          <w:p>
            <w:pPr>
              <w:ind w:left="11"/>
              <w:jc w:val="center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pacing w:val="-4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</w:tbl>
    <w:p>
      <w:pPr>
        <w:jc w:val="left"/>
        <w:spacing w:after="200" w:line="276" w:lineRule="auto"/>
      </w:pPr>
      <w:r/>
      <w:r/>
    </w:p>
    <w:sectPr>
      <w:footnotePr/>
      <w:endnotePr/>
      <w:type w:val="nextPage"/>
      <w:pgSz w:w="11906" w:h="16838" w:orient="portrait"/>
      <w:pgMar w:top="1134" w:right="850" w:bottom="1134" w:left="1701" w:header="397" w:footer="709" w:gutter="0"/>
      <w:cols w:num="1" w:sep="0" w:space="709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8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59" w:hanging="105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0">
    <w:name w:val="Heading 1"/>
    <w:basedOn w:val="828"/>
    <w:next w:val="828"/>
    <w:link w:val="66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1">
    <w:name w:val="Heading 1 Char"/>
    <w:basedOn w:val="830"/>
    <w:link w:val="660"/>
    <w:uiPriority w:val="9"/>
    <w:rPr>
      <w:rFonts w:ascii="Arial" w:hAnsi="Arial" w:eastAsia="Arial" w:cs="Arial"/>
      <w:sz w:val="40"/>
      <w:szCs w:val="40"/>
    </w:rPr>
  </w:style>
  <w:style w:type="paragraph" w:styleId="662">
    <w:name w:val="Heading 2"/>
    <w:basedOn w:val="828"/>
    <w:next w:val="828"/>
    <w:link w:val="66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3">
    <w:name w:val="Heading 2 Char"/>
    <w:basedOn w:val="830"/>
    <w:link w:val="662"/>
    <w:uiPriority w:val="9"/>
    <w:rPr>
      <w:rFonts w:ascii="Arial" w:hAnsi="Arial" w:eastAsia="Arial" w:cs="Arial"/>
      <w:sz w:val="34"/>
    </w:rPr>
  </w:style>
  <w:style w:type="paragraph" w:styleId="664">
    <w:name w:val="Heading 3"/>
    <w:basedOn w:val="828"/>
    <w:next w:val="828"/>
    <w:link w:val="66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5">
    <w:name w:val="Heading 3 Char"/>
    <w:basedOn w:val="830"/>
    <w:link w:val="664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830"/>
    <w:link w:val="829"/>
    <w:uiPriority w:val="9"/>
    <w:rPr>
      <w:rFonts w:ascii="Arial" w:hAnsi="Arial" w:eastAsia="Arial" w:cs="Arial"/>
      <w:b/>
      <w:bCs/>
      <w:sz w:val="26"/>
      <w:szCs w:val="26"/>
    </w:rPr>
  </w:style>
  <w:style w:type="paragraph" w:styleId="667">
    <w:name w:val="Heading 5"/>
    <w:basedOn w:val="828"/>
    <w:next w:val="828"/>
    <w:link w:val="66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8">
    <w:name w:val="Heading 5 Char"/>
    <w:basedOn w:val="830"/>
    <w:link w:val="667"/>
    <w:uiPriority w:val="9"/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828"/>
    <w:next w:val="828"/>
    <w:link w:val="67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0">
    <w:name w:val="Heading 6 Char"/>
    <w:basedOn w:val="830"/>
    <w:link w:val="669"/>
    <w:uiPriority w:val="9"/>
    <w:rPr>
      <w:rFonts w:ascii="Arial" w:hAnsi="Arial" w:eastAsia="Arial" w:cs="Arial"/>
      <w:b/>
      <w:bCs/>
      <w:sz w:val="22"/>
      <w:szCs w:val="22"/>
    </w:rPr>
  </w:style>
  <w:style w:type="paragraph" w:styleId="671">
    <w:name w:val="Heading 7"/>
    <w:basedOn w:val="828"/>
    <w:next w:val="828"/>
    <w:link w:val="67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7 Char"/>
    <w:basedOn w:val="830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3">
    <w:name w:val="Heading 8"/>
    <w:basedOn w:val="828"/>
    <w:next w:val="828"/>
    <w:link w:val="67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4">
    <w:name w:val="Heading 8 Char"/>
    <w:basedOn w:val="830"/>
    <w:link w:val="673"/>
    <w:uiPriority w:val="9"/>
    <w:rPr>
      <w:rFonts w:ascii="Arial" w:hAnsi="Arial" w:eastAsia="Arial" w:cs="Arial"/>
      <w:i/>
      <w:iCs/>
      <w:sz w:val="22"/>
      <w:szCs w:val="22"/>
    </w:rPr>
  </w:style>
  <w:style w:type="paragraph" w:styleId="675">
    <w:name w:val="Heading 9"/>
    <w:basedOn w:val="828"/>
    <w:next w:val="828"/>
    <w:link w:val="67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6">
    <w:name w:val="Heading 9 Char"/>
    <w:basedOn w:val="830"/>
    <w:link w:val="675"/>
    <w:uiPriority w:val="9"/>
    <w:rPr>
      <w:rFonts w:ascii="Arial" w:hAnsi="Arial" w:eastAsia="Arial" w:cs="Arial"/>
      <w:i/>
      <w:iCs/>
      <w:sz w:val="21"/>
      <w:szCs w:val="21"/>
    </w:rPr>
  </w:style>
  <w:style w:type="paragraph" w:styleId="677">
    <w:name w:val="No Spacing"/>
    <w:uiPriority w:val="1"/>
    <w:qFormat/>
    <w:pPr>
      <w:spacing w:before="0" w:after="0" w:line="240" w:lineRule="auto"/>
    </w:pPr>
  </w:style>
  <w:style w:type="paragraph" w:styleId="678">
    <w:name w:val="Title"/>
    <w:basedOn w:val="828"/>
    <w:next w:val="828"/>
    <w:link w:val="67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9">
    <w:name w:val="Title Char"/>
    <w:basedOn w:val="830"/>
    <w:link w:val="678"/>
    <w:uiPriority w:val="10"/>
    <w:rPr>
      <w:sz w:val="48"/>
      <w:szCs w:val="48"/>
    </w:rPr>
  </w:style>
  <w:style w:type="paragraph" w:styleId="680">
    <w:name w:val="Subtitle"/>
    <w:basedOn w:val="828"/>
    <w:next w:val="828"/>
    <w:link w:val="681"/>
    <w:uiPriority w:val="11"/>
    <w:qFormat/>
    <w:pPr>
      <w:spacing w:before="200" w:after="200"/>
    </w:pPr>
    <w:rPr>
      <w:sz w:val="24"/>
      <w:szCs w:val="24"/>
    </w:rPr>
  </w:style>
  <w:style w:type="character" w:styleId="681">
    <w:name w:val="Subtitle Char"/>
    <w:basedOn w:val="830"/>
    <w:link w:val="680"/>
    <w:uiPriority w:val="11"/>
    <w:rPr>
      <w:sz w:val="24"/>
      <w:szCs w:val="24"/>
    </w:rPr>
  </w:style>
  <w:style w:type="paragraph" w:styleId="682">
    <w:name w:val="Quote"/>
    <w:basedOn w:val="828"/>
    <w:next w:val="828"/>
    <w:link w:val="683"/>
    <w:uiPriority w:val="29"/>
    <w:qFormat/>
    <w:pPr>
      <w:ind w:left="720" w:right="720"/>
    </w:pPr>
    <w:rPr>
      <w:i/>
    </w:rPr>
  </w:style>
  <w:style w:type="character" w:styleId="683">
    <w:name w:val="Quote Char"/>
    <w:link w:val="682"/>
    <w:uiPriority w:val="29"/>
    <w:rPr>
      <w:i/>
    </w:rPr>
  </w:style>
  <w:style w:type="paragraph" w:styleId="684">
    <w:name w:val="Intense Quote"/>
    <w:basedOn w:val="828"/>
    <w:next w:val="828"/>
    <w:link w:val="68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5">
    <w:name w:val="Intense Quote Char"/>
    <w:link w:val="684"/>
    <w:uiPriority w:val="30"/>
    <w:rPr>
      <w:i/>
    </w:rPr>
  </w:style>
  <w:style w:type="character" w:styleId="686">
    <w:name w:val="Header Char"/>
    <w:basedOn w:val="830"/>
    <w:link w:val="839"/>
    <w:uiPriority w:val="99"/>
  </w:style>
  <w:style w:type="character" w:styleId="687">
    <w:name w:val="Footer Char"/>
    <w:basedOn w:val="830"/>
    <w:link w:val="841"/>
    <w:uiPriority w:val="99"/>
  </w:style>
  <w:style w:type="paragraph" w:styleId="688">
    <w:name w:val="Caption"/>
    <w:basedOn w:val="828"/>
    <w:next w:val="82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9">
    <w:name w:val="Caption Char"/>
    <w:basedOn w:val="688"/>
    <w:link w:val="841"/>
    <w:uiPriority w:val="99"/>
  </w:style>
  <w:style w:type="table" w:styleId="690">
    <w:name w:val="Table Grid Light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1">
    <w:name w:val="Plain Table 1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2">
    <w:name w:val="Plain Table 2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3">
    <w:name w:val="Plain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4">
    <w:name w:val="Plain Table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Plain Table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6">
    <w:name w:val="Grid Table 1 Light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4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8">
    <w:name w:val="Grid Table 4 - Accent 1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9">
    <w:name w:val="Grid Table 4 - Accent 2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0">
    <w:name w:val="Grid Table 4 - Accent 3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1">
    <w:name w:val="Grid Table 4 - Accent 4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2">
    <w:name w:val="Grid Table 4 - Accent 5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3">
    <w:name w:val="Grid Table 4 - Accent 6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4">
    <w:name w:val="Grid Table 5 Dark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5">
    <w:name w:val="Grid Table 5 Dark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8">
    <w:name w:val="Grid Table 5 Dark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1">
    <w:name w:val="Grid Table 6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2">
    <w:name w:val="Grid Table 6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3">
    <w:name w:val="Grid Table 6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4">
    <w:name w:val="Grid Table 6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5">
    <w:name w:val="Grid Table 6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6">
    <w:name w:val="Grid Table 6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7">
    <w:name w:val="Grid Table 6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8">
    <w:name w:val="Grid Table 7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3">
    <w:name w:val="List Table 2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4">
    <w:name w:val="List Table 2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5">
    <w:name w:val="List Table 2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6">
    <w:name w:val="List Table 2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7">
    <w:name w:val="List Table 2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8">
    <w:name w:val="List Table 2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9">
    <w:name w:val="List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5 Dark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6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1">
    <w:name w:val="List Table 6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2">
    <w:name w:val="List Table 6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3">
    <w:name w:val="List Table 6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4">
    <w:name w:val="List Table 6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5">
    <w:name w:val="List Table 6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6">
    <w:name w:val="List Table 6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7">
    <w:name w:val="List Table 7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8">
    <w:name w:val="List Table 7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9">
    <w:name w:val="List Table 7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0">
    <w:name w:val="List Table 7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1">
    <w:name w:val="List Table 7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2">
    <w:name w:val="List Table 7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3">
    <w:name w:val="List Table 7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4">
    <w:name w:val="Lined - Accent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5">
    <w:name w:val="Lined - Accent 1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6">
    <w:name w:val="Lined - Accent 2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7">
    <w:name w:val="Lined - Accent 3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8">
    <w:name w:val="Lined - Accent 4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9">
    <w:name w:val="Lined - Accent 5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0">
    <w:name w:val="Lined - Accent 6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1">
    <w:name w:val="Bordered &amp; Lined - Accent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Bordered &amp; Lined - Accent 1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3">
    <w:name w:val="Bordered &amp; Lined - Accent 2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4">
    <w:name w:val="Bordered &amp; Lined - Accent 3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5">
    <w:name w:val="Bordered &amp; Lined - Accent 4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6">
    <w:name w:val="Bordered &amp; Lined - Accent 5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Bordered &amp; Lined - Accent 6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9">
    <w:name w:val="Bordered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0">
    <w:name w:val="Bordered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1">
    <w:name w:val="Bordered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2">
    <w:name w:val="Bordered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3">
    <w:name w:val="Bordered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4">
    <w:name w:val="Bordered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5">
    <w:name w:val="Footnote Text Char"/>
    <w:link w:val="843"/>
    <w:uiPriority w:val="99"/>
    <w:rPr>
      <w:sz w:val="18"/>
    </w:rPr>
  </w:style>
  <w:style w:type="character" w:styleId="816">
    <w:name w:val="Endnote Text Char"/>
    <w:link w:val="846"/>
    <w:uiPriority w:val="99"/>
    <w:rPr>
      <w:sz w:val="20"/>
    </w:rPr>
  </w:style>
  <w:style w:type="paragraph" w:styleId="817">
    <w:name w:val="toc 1"/>
    <w:basedOn w:val="828"/>
    <w:next w:val="828"/>
    <w:uiPriority w:val="39"/>
    <w:unhideWhenUsed/>
    <w:pPr>
      <w:ind w:left="0" w:right="0" w:firstLine="0"/>
      <w:spacing w:after="57"/>
    </w:pPr>
  </w:style>
  <w:style w:type="paragraph" w:styleId="818">
    <w:name w:val="toc 2"/>
    <w:basedOn w:val="828"/>
    <w:next w:val="828"/>
    <w:uiPriority w:val="39"/>
    <w:unhideWhenUsed/>
    <w:pPr>
      <w:ind w:left="283" w:right="0" w:firstLine="0"/>
      <w:spacing w:after="57"/>
    </w:pPr>
  </w:style>
  <w:style w:type="paragraph" w:styleId="819">
    <w:name w:val="toc 3"/>
    <w:basedOn w:val="828"/>
    <w:next w:val="828"/>
    <w:uiPriority w:val="39"/>
    <w:unhideWhenUsed/>
    <w:pPr>
      <w:ind w:left="567" w:right="0" w:firstLine="0"/>
      <w:spacing w:after="57"/>
    </w:pPr>
  </w:style>
  <w:style w:type="paragraph" w:styleId="820">
    <w:name w:val="toc 4"/>
    <w:basedOn w:val="828"/>
    <w:next w:val="828"/>
    <w:uiPriority w:val="39"/>
    <w:unhideWhenUsed/>
    <w:pPr>
      <w:ind w:left="850" w:right="0" w:firstLine="0"/>
      <w:spacing w:after="57"/>
    </w:pPr>
  </w:style>
  <w:style w:type="paragraph" w:styleId="821">
    <w:name w:val="toc 5"/>
    <w:basedOn w:val="828"/>
    <w:next w:val="828"/>
    <w:uiPriority w:val="39"/>
    <w:unhideWhenUsed/>
    <w:pPr>
      <w:ind w:left="1134" w:right="0" w:firstLine="0"/>
      <w:spacing w:after="57"/>
    </w:pPr>
  </w:style>
  <w:style w:type="paragraph" w:styleId="822">
    <w:name w:val="toc 6"/>
    <w:basedOn w:val="828"/>
    <w:next w:val="828"/>
    <w:uiPriority w:val="39"/>
    <w:unhideWhenUsed/>
    <w:pPr>
      <w:ind w:left="1417" w:right="0" w:firstLine="0"/>
      <w:spacing w:after="57"/>
    </w:pPr>
  </w:style>
  <w:style w:type="paragraph" w:styleId="823">
    <w:name w:val="toc 7"/>
    <w:basedOn w:val="828"/>
    <w:next w:val="828"/>
    <w:uiPriority w:val="39"/>
    <w:unhideWhenUsed/>
    <w:pPr>
      <w:ind w:left="1701" w:right="0" w:firstLine="0"/>
      <w:spacing w:after="57"/>
    </w:pPr>
  </w:style>
  <w:style w:type="paragraph" w:styleId="824">
    <w:name w:val="toc 8"/>
    <w:basedOn w:val="828"/>
    <w:next w:val="828"/>
    <w:uiPriority w:val="39"/>
    <w:unhideWhenUsed/>
    <w:pPr>
      <w:ind w:left="1984" w:right="0" w:firstLine="0"/>
      <w:spacing w:after="57"/>
    </w:pPr>
  </w:style>
  <w:style w:type="paragraph" w:styleId="825">
    <w:name w:val="toc 9"/>
    <w:basedOn w:val="828"/>
    <w:next w:val="828"/>
    <w:uiPriority w:val="39"/>
    <w:unhideWhenUsed/>
    <w:pPr>
      <w:ind w:left="2268" w:right="0" w:firstLine="0"/>
      <w:spacing w:after="57"/>
    </w:pPr>
  </w:style>
  <w:style w:type="paragraph" w:styleId="826">
    <w:name w:val="TOC Heading"/>
    <w:uiPriority w:val="39"/>
    <w:unhideWhenUsed/>
  </w:style>
  <w:style w:type="paragraph" w:styleId="827">
    <w:name w:val="table of figures"/>
    <w:basedOn w:val="828"/>
    <w:next w:val="828"/>
    <w:uiPriority w:val="99"/>
    <w:unhideWhenUsed/>
    <w:pPr>
      <w:spacing w:after="0" w:afterAutospacing="0"/>
    </w:pPr>
  </w:style>
  <w:style w:type="paragraph" w:styleId="828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829">
    <w:name w:val="Heading 4"/>
    <w:basedOn w:val="828"/>
    <w:next w:val="828"/>
    <w:link w:val="833"/>
    <w:qFormat/>
    <w:pPr>
      <w:ind w:firstLine="709"/>
      <w:keepNext/>
      <w:outlineLvl w:val="3"/>
    </w:pPr>
    <w:rPr>
      <w:sz w:val="28"/>
    </w:rPr>
  </w:style>
  <w:style w:type="character" w:styleId="830" w:default="1">
    <w:name w:val="Default Paragraph Font"/>
    <w:uiPriority w:val="1"/>
    <w:semiHidden/>
    <w:unhideWhenUsed/>
  </w:style>
  <w:style w:type="table" w:styleId="83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2" w:default="1">
    <w:name w:val="No List"/>
    <w:uiPriority w:val="99"/>
    <w:semiHidden/>
    <w:unhideWhenUsed/>
  </w:style>
  <w:style w:type="character" w:styleId="833" w:customStyle="1">
    <w:name w:val="Заголовок 4 Знак"/>
    <w:basedOn w:val="830"/>
    <w:link w:val="829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styleId="834">
    <w:name w:val="Body Text 2"/>
    <w:basedOn w:val="828"/>
    <w:link w:val="835"/>
    <w:unhideWhenUsed/>
    <w:qFormat/>
    <w:pPr>
      <w:ind w:right="4495"/>
      <w:jc w:val="both"/>
      <w:tabs>
        <w:tab w:val="left" w:pos="4860" w:leader="none"/>
      </w:tabs>
    </w:pPr>
    <w:rPr>
      <w:rFonts w:eastAsia="Calibri"/>
      <w:color w:val="auto"/>
      <w:sz w:val="26"/>
      <w:szCs w:val="26"/>
    </w:rPr>
  </w:style>
  <w:style w:type="character" w:styleId="835" w:customStyle="1">
    <w:name w:val="Основной текст 2 Знак"/>
    <w:basedOn w:val="830"/>
    <w:link w:val="834"/>
    <w:rPr>
      <w:rFonts w:ascii="Times New Roman" w:hAnsi="Times New Roman" w:eastAsia="Calibri" w:cs="Times New Roman"/>
      <w:sz w:val="26"/>
      <w:szCs w:val="26"/>
      <w:lang w:eastAsia="ru-RU"/>
    </w:rPr>
  </w:style>
  <w:style w:type="paragraph" w:styleId="836">
    <w:name w:val="Balloon Text"/>
    <w:basedOn w:val="828"/>
    <w:link w:val="837"/>
    <w:uiPriority w:val="99"/>
    <w:semiHidden/>
    <w:unhideWhenUsed/>
    <w:rPr>
      <w:rFonts w:ascii="Tahoma" w:hAnsi="Tahoma" w:cs="Tahoma"/>
      <w:sz w:val="16"/>
      <w:szCs w:val="16"/>
    </w:rPr>
  </w:style>
  <w:style w:type="character" w:styleId="837" w:customStyle="1">
    <w:name w:val="Текст выноски Знак"/>
    <w:basedOn w:val="830"/>
    <w:link w:val="836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  <w:style w:type="paragraph" w:styleId="838">
    <w:name w:val="List Paragraph"/>
    <w:basedOn w:val="828"/>
    <w:uiPriority w:val="34"/>
    <w:qFormat/>
    <w:pPr>
      <w:contextualSpacing/>
      <w:ind w:left="720"/>
    </w:pPr>
  </w:style>
  <w:style w:type="paragraph" w:styleId="839">
    <w:name w:val="Header"/>
    <w:basedOn w:val="828"/>
    <w:link w:val="840"/>
    <w:uiPriority w:val="99"/>
    <w:pPr>
      <w:tabs>
        <w:tab w:val="center" w:pos="4153" w:leader="none"/>
        <w:tab w:val="right" w:pos="8306" w:leader="none"/>
      </w:tabs>
    </w:pPr>
    <w:rPr>
      <w:color w:val="auto"/>
    </w:rPr>
  </w:style>
  <w:style w:type="character" w:styleId="840" w:customStyle="1">
    <w:name w:val="Верхний колонтитул Знак"/>
    <w:basedOn w:val="830"/>
    <w:link w:val="839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41">
    <w:name w:val="Footer"/>
    <w:basedOn w:val="828"/>
    <w:link w:val="842"/>
    <w:uiPriority w:val="99"/>
    <w:pPr>
      <w:tabs>
        <w:tab w:val="center" w:pos="4153" w:leader="none"/>
        <w:tab w:val="right" w:pos="8306" w:leader="none"/>
      </w:tabs>
    </w:pPr>
    <w:rPr>
      <w:color w:val="auto"/>
    </w:rPr>
  </w:style>
  <w:style w:type="character" w:styleId="842" w:customStyle="1">
    <w:name w:val="Нижний колонтитул Знак"/>
    <w:basedOn w:val="830"/>
    <w:link w:val="841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43">
    <w:name w:val="footnote text"/>
    <w:basedOn w:val="828"/>
    <w:link w:val="844"/>
    <w:uiPriority w:val="99"/>
    <w:semiHidden/>
    <w:rPr>
      <w:color w:val="auto"/>
    </w:rPr>
  </w:style>
  <w:style w:type="character" w:styleId="844" w:customStyle="1">
    <w:name w:val="Текст сноски Знак"/>
    <w:basedOn w:val="830"/>
    <w:link w:val="843"/>
    <w:uiPriority w:val="99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45">
    <w:name w:val="footnote reference"/>
    <w:basedOn w:val="830"/>
    <w:uiPriority w:val="99"/>
    <w:semiHidden/>
    <w:rPr>
      <w:rFonts w:cs="Times New Roman"/>
      <w:vertAlign w:val="superscript"/>
    </w:rPr>
  </w:style>
  <w:style w:type="paragraph" w:styleId="846">
    <w:name w:val="endnote text"/>
    <w:basedOn w:val="828"/>
    <w:link w:val="847"/>
    <w:uiPriority w:val="99"/>
    <w:semiHidden/>
    <w:rPr>
      <w:color w:val="auto"/>
    </w:rPr>
  </w:style>
  <w:style w:type="character" w:styleId="847" w:customStyle="1">
    <w:name w:val="Текст концевой сноски Знак"/>
    <w:basedOn w:val="830"/>
    <w:link w:val="846"/>
    <w:uiPriority w:val="99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48">
    <w:name w:val="endnote reference"/>
    <w:basedOn w:val="830"/>
    <w:uiPriority w:val="99"/>
    <w:semiHidden/>
    <w:rPr>
      <w:rFonts w:cs="Times New Roman"/>
      <w:vertAlign w:val="superscript"/>
    </w:rPr>
  </w:style>
  <w:style w:type="paragraph" w:styleId="849" w:customStyle="1">
    <w:name w:val="ConsNormal"/>
    <w:uiPriority w:val="99"/>
    <w:pPr>
      <w:ind w:right="19772"/>
      <w:jc w:val="both"/>
      <w:spacing w:after="0" w:line="240" w:lineRule="auto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850" w:customStyle="1">
    <w:name w:val="ConsPlusNormal"/>
    <w:uiPriority w:val="99"/>
    <w:pPr>
      <w:spacing w:after="0" w:line="240" w:lineRule="auto"/>
      <w:widowControl w:val="off"/>
    </w:pPr>
    <w:rPr>
      <w:rFonts w:ascii="Arial" w:hAnsi="Arial" w:eastAsia="Times New Roman" w:cs="Arial"/>
      <w:sz w:val="24"/>
      <w:szCs w:val="20"/>
      <w:lang w:eastAsia="ru-RU"/>
    </w:rPr>
  </w:style>
  <w:style w:type="table" w:styleId="851" w:customStyle="1">
    <w:name w:val="Сетка таблицы1"/>
    <w:basedOn w:val="831"/>
    <w:next w:val="852"/>
    <w:uiPriority w:val="5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52">
    <w:name w:val="Table Grid"/>
    <w:basedOn w:val="831"/>
    <w:uiPriority w:val="59"/>
    <w:pPr>
      <w:spacing w:after="0" w:line="240" w:lineRule="auto"/>
    </w:pPr>
    <w:rPr>
      <w:rFonts w:ascii="Times New Roman" w:hAnsi="Times New Roman" w:eastAsia="Times New Roman" w:cs="Times New Roman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53">
    <w:name w:val="Hyperlink"/>
    <w:basedOn w:val="830"/>
    <w:uiPriority w:val="99"/>
    <w:unhideWhenUsed/>
    <w:rPr>
      <w:color w:val="0000ff" w:themeColor="hyperlink"/>
      <w:u w:val="single"/>
    </w:rPr>
  </w:style>
  <w:style w:type="paragraph" w:styleId="854" w:customStyle="1">
    <w:name w:val="s_1"/>
    <w:basedOn w:val="828"/>
    <w:pPr>
      <w:spacing w:before="100" w:beforeAutospacing="1" w:after="100" w:afterAutospacing="1"/>
    </w:pPr>
    <w:rPr>
      <w:color w:val="auto"/>
      <w:sz w:val="24"/>
      <w:szCs w:val="24"/>
    </w:rPr>
  </w:style>
  <w:style w:type="table" w:styleId="855" w:customStyle="1">
    <w:name w:val="Table Normal"/>
    <w:uiPriority w:val="2"/>
    <w:semiHidden/>
    <w:unhideWhenUsed/>
    <w:qFormat/>
    <w:pPr>
      <w:spacing w:after="0" w:line="240" w:lineRule="auto"/>
      <w:widowControl w:val="off"/>
    </w:pPr>
    <w:rPr>
      <w:lang w:val="en-US"/>
    </w:rPr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://pechengamr.gov-murman.ru/" TargetMode="External"/><Relationship Id="rId11" Type="http://schemas.openxmlformats.org/officeDocument/2006/relationships/image" Target="media/image2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Пахтусова Светлана Юрьевна</dc:creator>
  <cp:revision>20</cp:revision>
  <dcterms:created xsi:type="dcterms:W3CDTF">2024-03-19T08:44:00Z</dcterms:created>
  <dcterms:modified xsi:type="dcterms:W3CDTF">2024-05-21T06:05:38Z</dcterms:modified>
</cp:coreProperties>
</file>