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13.05.2024 </w:t>
        <w:tab/>
        <w:tab/>
        <w:tab/>
        <w:tab/>
        <w:tab/>
        <w:tab/>
        <w:tab/>
        <w:tab/>
        <w:tab/>
        <w:tab/>
      </w:r>
      <w:r>
        <w:rPr>
          <w:b/>
          <w:sz w:val="24"/>
        </w:rPr>
        <w:t xml:space="preserve">   № 761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34"/>
        <w:ind w:right="0"/>
        <w:jc w:val="center"/>
        <w:tabs>
          <w:tab w:val="left" w:pos="9355" w:leader="none"/>
        </w:tabs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>
        <w:rPr>
          <w:rFonts w:eastAsia="Times New Roman"/>
          <w:b/>
          <w:bCs/>
          <w:sz w:val="20"/>
          <w:szCs w:val="20"/>
        </w:rPr>
        <w:t xml:space="preserve">установлении публичного сервитута</w:t>
      </w:r>
      <w:r>
        <w:rPr>
          <w:rFonts w:eastAsia="Times New Roman"/>
          <w:b/>
          <w:bCs/>
          <w:sz w:val="20"/>
          <w:szCs w:val="20"/>
        </w:rPr>
      </w:r>
      <w:r>
        <w:rPr>
          <w:rFonts w:eastAsia="Times New Roman"/>
          <w:b/>
          <w:bCs/>
          <w:sz w:val="20"/>
          <w:szCs w:val="20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Земельным кодексом Российской Федерации, Федеральным законом от 25.10.2001 № 137-ФЗ «О введении в действие Земельного кодекса </w:t>
      </w:r>
      <w:r>
        <w:rPr>
          <w:sz w:val="24"/>
          <w:szCs w:val="24"/>
        </w:rPr>
        <w:t xml:space="preserve">Российской Федерации», на основании ходатайства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(ИНН </w:t>
      </w:r>
      <w:r>
        <w:rPr>
          <w:sz w:val="24"/>
          <w:szCs w:val="24"/>
        </w:rPr>
        <w:t xml:space="preserve">5190907139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ОГРН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1095190009111</w:t>
      </w:r>
      <w:r>
        <w:rPr>
          <w:sz w:val="24"/>
          <w:szCs w:val="24"/>
        </w:rPr>
        <w:t xml:space="preserve">) от </w:t>
      </w:r>
      <w:r>
        <w:rPr>
          <w:sz w:val="24"/>
          <w:szCs w:val="24"/>
        </w:rPr>
        <w:t xml:space="preserve">11.04.2024</w:t>
      </w:r>
      <w:r>
        <w:rPr>
          <w:sz w:val="24"/>
          <w:szCs w:val="24"/>
        </w:rPr>
        <w:t xml:space="preserve">, схемы расположения границ публичного сервитута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границы публичного сервитута в соответствии с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схемой расположения границ публичного сервитута согласно приложению</w:t>
      </w:r>
      <w:r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Установить публичный сервитут в интересах </w:t>
      </w:r>
      <w:r>
        <w:rPr>
          <w:sz w:val="24"/>
          <w:szCs w:val="24"/>
        </w:rPr>
        <w:t xml:space="preserve">Акционерного общества «</w:t>
      </w:r>
      <w:r>
        <w:rPr>
          <w:sz w:val="24"/>
          <w:szCs w:val="24"/>
        </w:rPr>
        <w:t xml:space="preserve">Мурманэнергосбыт</w:t>
      </w:r>
      <w:r>
        <w:rPr>
          <w:sz w:val="24"/>
          <w:szCs w:val="24"/>
        </w:rPr>
        <w:t xml:space="preserve">» (ИНН 5190907139, ОГРН 1095190009111) </w:t>
      </w:r>
      <w:r>
        <w:rPr>
          <w:sz w:val="24"/>
          <w:szCs w:val="24"/>
        </w:rPr>
        <w:t xml:space="preserve">с целью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строительства питающей линии от опоры № 47 ВЛЭП 10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 л-3 и КТПС 10/04кВ до щита учета электроэнергии освещения пешеходного перехода, расположенного по адресу: Мурманская область, поселок Никель,</w:t>
      </w:r>
      <w:r>
        <w:rPr>
          <w:sz w:val="24"/>
          <w:szCs w:val="24"/>
        </w:rPr>
        <w:t xml:space="preserve"> участок автодороги Заполярный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Сальмиярви</w:t>
      </w:r>
      <w:r>
        <w:rPr>
          <w:sz w:val="24"/>
          <w:szCs w:val="24"/>
        </w:rPr>
        <w:t xml:space="preserve"> с км 23+410 по 23+414, а также для их дальнейшей эксплуатации, </w:t>
      </w:r>
      <w:r>
        <w:rPr>
          <w:sz w:val="24"/>
          <w:szCs w:val="24"/>
        </w:rPr>
        <w:t xml:space="preserve">в отношении земельного участка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кадастровым номером 51</w:t>
      </w:r>
      <w:r>
        <w:rPr>
          <w:sz w:val="24"/>
          <w:szCs w:val="24"/>
        </w:rPr>
        <w:t xml:space="preserve">:03:0040102:42 (его частей)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по адресу: </w:t>
      </w:r>
      <w:r>
        <w:rPr>
          <w:sz w:val="24"/>
          <w:szCs w:val="24"/>
        </w:rPr>
        <w:t xml:space="preserve">Мурманская обл., МО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р-н, р-н «Старые парники»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площадью </w:t>
      </w:r>
      <w:r>
        <w:rPr>
          <w:sz w:val="24"/>
          <w:szCs w:val="24"/>
        </w:rPr>
        <w:t xml:space="preserve">804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кв</w:t>
      </w:r>
      <w:r>
        <w:rPr>
          <w:sz w:val="24"/>
          <w:szCs w:val="24"/>
        </w:rPr>
        <w:t xml:space="preserve">.м</w:t>
      </w:r>
      <w:r>
        <w:rPr>
          <w:sz w:val="24"/>
          <w:szCs w:val="24"/>
        </w:rPr>
        <w:t xml:space="preserve">, в границах, указанных в прилагаемой схеме расположения границ публичного сервитута.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Установить срок</w:t>
      </w:r>
      <w:r>
        <w:rPr>
          <w:sz w:val="24"/>
          <w:szCs w:val="24"/>
        </w:rPr>
        <w:t xml:space="preserve"> действия публичного сервитута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49 (сорок девять) лет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tabs>
          <w:tab w:val="left" w:pos="993" w:leader="none"/>
          <w:tab w:val="left" w:pos="1276" w:leader="none"/>
        </w:tabs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sz w:val="24"/>
          <w:szCs w:val="24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sz w:val="24"/>
          <w:szCs w:val="24"/>
          <w:highlight w:val="yellow"/>
        </w:rPr>
      </w:r>
      <w:r>
        <w:rPr>
          <w:sz w:val="24"/>
          <w:szCs w:val="24"/>
          <w:highlight w:val="yellow"/>
        </w:rPr>
      </w:r>
    </w:p>
    <w:p>
      <w:pPr>
        <w:pStyle w:val="854"/>
        <w:ind w:firstLine="709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</w:t>
      </w:r>
      <w:r>
        <w:rPr>
          <w:color w:val="000000"/>
        </w:rPr>
        <w:t xml:space="preserve">. </w:t>
      </w:r>
      <w:r>
        <w:rPr>
          <w:color w:val="000000"/>
        </w:rPr>
        <w:t xml:space="preserve">П</w:t>
      </w:r>
      <w:r>
        <w:rPr>
          <w:color w:val="000000"/>
        </w:rPr>
        <w:t xml:space="preserve">убличный сервитут </w:t>
      </w:r>
      <w:r>
        <w:rPr>
          <w:color w:val="000000"/>
        </w:rPr>
        <w:t xml:space="preserve">является безвозмездным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6</w:t>
      </w:r>
      <w:r>
        <w:t xml:space="preserve">. </w:t>
      </w:r>
      <w:r>
        <w:t xml:space="preserve">АО «МЭС</w:t>
      </w:r>
      <w:r>
        <w:t xml:space="preserve">» привести земельный участок в состояние, пригодное для его использования в соответствии с разрешенным использованием, в срок, не </w:t>
      </w:r>
      <w:r>
        <w:t xml:space="preserve">позднее</w:t>
      </w:r>
      <w: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7</w:t>
      </w:r>
      <w:r>
        <w:t xml:space="preserve">. Комитету по управлению имуществом администрации Печенгского </w:t>
      </w:r>
      <w:r>
        <w:t xml:space="preserve">муниципального округа</w:t>
      </w:r>
      <w:r>
        <w:t xml:space="preserve"> (</w:t>
      </w:r>
      <w:r>
        <w:t xml:space="preserve">Лаврущик</w:t>
      </w:r>
      <w:r>
        <w:t xml:space="preserve"> С.С.)</w:t>
      </w:r>
      <w:r>
        <w:t xml:space="preserve"> в течение пяти рабочих дней со дня подписания настоящего постановления: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 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/>
    </w:p>
    <w:p>
      <w:pPr>
        <w:pStyle w:val="854"/>
        <w:ind w:firstLine="709"/>
        <w:jc w:val="both"/>
        <w:spacing w:before="0" w:beforeAutospacing="0" w:after="0" w:afterAutospacing="0"/>
      </w:pPr>
      <w:r>
        <w:t xml:space="preserve">- направить обладателю публичного сервитута коп</w:t>
      </w:r>
      <w:r>
        <w:t xml:space="preserve">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</w:t>
      </w:r>
      <w:r>
        <w:t xml:space="preserve">занных лиц на земельные участки.</w:t>
      </w:r>
      <w:r/>
    </w:p>
    <w:p>
      <w:pPr>
        <w:pStyle w:val="838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 Настоящее постановление вступ</w:t>
      </w:r>
      <w:r>
        <w:rPr>
          <w:sz w:val="24"/>
          <w:szCs w:val="24"/>
        </w:rPr>
        <w:t xml:space="preserve">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38"/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</w:t>
      </w:r>
      <w:r>
        <w:rPr>
          <w:sz w:val="24"/>
          <w:szCs w:val="24"/>
        </w:rPr>
        <w:t xml:space="preserve">размещению на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hyperlink r:id="rId10" w:tooltip="http://pechengamr.gov-murman.ru/" w:history="1">
        <w:r>
          <w:rPr>
            <w:rStyle w:val="853"/>
            <w:color w:val="auto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    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Веверица В.А., 2-52-63</w:t>
      </w:r>
      <w:r/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13.05.2024 № </w:t>
      </w:r>
      <w:r>
        <w:rPr>
          <w:sz w:val="24"/>
          <w:szCs w:val="24"/>
        </w:rPr>
        <w:t xml:space="preserve">761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00" w:line="276" w:lineRule="auto"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1661312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146322</wp:posOffset>
                </wp:positionV>
                <wp:extent cx="5940310" cy="8404827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9573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40308" cy="84048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1312;o:allowoverlap:true;o:allowincell:true;mso-position-horizontal-relative:margin;mso-position-horizontal:center;mso-position-vertical-relative:text;margin-top:11.52pt;mso-position-vertical:absolute;width:467.74pt;height:661.80pt;mso-wrap-distance-left:9.07pt;mso-wrap-distance-top:0.00pt;mso-wrap-distance-right:9.07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br w:type="page" w:clear="all"/>
      </w:r>
      <w:r/>
    </w:p>
    <w:tbl>
      <w:tblPr>
        <w:tblStyle w:val="855"/>
        <w:tblW w:w="9835" w:type="dxa"/>
        <w:tblInd w:w="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7"/>
        <w:gridCol w:w="1614"/>
        <w:gridCol w:w="72"/>
        <w:gridCol w:w="1629"/>
        <w:gridCol w:w="57"/>
        <w:gridCol w:w="3345"/>
        <w:gridCol w:w="590"/>
        <w:gridCol w:w="1023"/>
      </w:tblGrid>
      <w:tr>
        <w:tblPrEx/>
        <w:trPr>
          <w:trHeight w:val="884"/>
        </w:trPr>
        <w:tc>
          <w:tcPr>
            <w:gridSpan w:val="9"/>
            <w:tcW w:w="9835" w:type="dxa"/>
            <w:textDirection w:val="lrTb"/>
            <w:noWrap w:val="false"/>
          </w:tcPr>
          <w:p>
            <w:pPr>
              <w:ind w:left="3179"/>
              <w:spacing w:line="266" w:lineRule="exact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z w:val="24"/>
                <w:szCs w:val="22"/>
                <w:lang w:val="ru-RU" w:eastAsia="en-US"/>
              </w:rPr>
              <w:t xml:space="preserve">Описание</w:t>
            </w:r>
            <w:r>
              <w:rPr>
                <w:color w:val="auto"/>
                <w:spacing w:val="-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границ</w:t>
            </w:r>
            <w:r>
              <w:rPr>
                <w:color w:val="auto"/>
                <w:spacing w:val="-3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публичного сервитута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  <w:p>
            <w:pPr>
              <w:ind w:left="20" w:right="-29"/>
              <w:spacing w:before="93" w:line="244" w:lineRule="auto"/>
              <w:tabs>
                <w:tab w:val="left" w:pos="2260" w:leader="none"/>
                <w:tab w:val="left" w:pos="3213" w:leader="none"/>
                <w:tab w:val="left" w:pos="5568" w:leader="none"/>
                <w:tab w:val="left" w:pos="10480" w:leader="none"/>
              </w:tabs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position w:val="3"/>
                <w:sz w:val="24"/>
                <w:szCs w:val="22"/>
                <w:lang w:val="ru-RU" w:eastAsia="en-US"/>
              </w:rPr>
              <w:t xml:space="preserve">Местоположение</w:t>
            </w:r>
            <w:r>
              <w:rPr>
                <w:color w:val="auto"/>
                <w:position w:val="3"/>
                <w:sz w:val="24"/>
                <w:szCs w:val="22"/>
                <w:lang w:val="ru-RU" w:eastAsia="en-US"/>
              </w:rPr>
              <w:tab/>
            </w:r>
            <w:r>
              <w:rPr>
                <w:color w:val="auto"/>
                <w:sz w:val="24"/>
                <w:szCs w:val="22"/>
                <w:u w:val="single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u w:val="single"/>
                <w:lang w:val="ru-RU" w:eastAsia="en-US"/>
              </w:rPr>
              <w:tab/>
              <w:t xml:space="preserve">Российская Федерация, Мурманская область, </w:t>
            </w:r>
            <w:r>
              <w:rPr>
                <w:color w:val="auto"/>
                <w:sz w:val="24"/>
                <w:szCs w:val="22"/>
                <w:u w:val="single"/>
                <w:lang w:val="ru-RU" w:eastAsia="en-US"/>
              </w:rPr>
              <w:t xml:space="preserve">Печенгский</w:t>
            </w:r>
            <w:r>
              <w:rPr>
                <w:color w:val="auto"/>
                <w:sz w:val="24"/>
                <w:szCs w:val="22"/>
                <w:u w:val="single"/>
                <w:lang w:val="ru-RU" w:eastAsia="en-US"/>
              </w:rPr>
              <w:t xml:space="preserve"> р-н</w:t>
            </w:r>
            <w:r>
              <w:rPr>
                <w:color w:val="auto"/>
                <w:sz w:val="24"/>
                <w:szCs w:val="22"/>
                <w:u w:val="single"/>
                <w:lang w:val="ru-RU" w:eastAsia="en-US"/>
              </w:rPr>
              <w:tab/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 Система координат</w:t>
            </w:r>
            <w:r>
              <w:rPr>
                <w:color w:val="auto"/>
                <w:sz w:val="24"/>
                <w:szCs w:val="22"/>
                <w:lang w:val="ru-RU" w:eastAsia="en-US"/>
              </w:rPr>
              <w:tab/>
            </w:r>
            <w:r>
              <w:rPr>
                <w:color w:val="auto"/>
                <w:sz w:val="24"/>
                <w:szCs w:val="22"/>
                <w:lang w:val="ru-RU" w:eastAsia="en-US"/>
              </w:rPr>
              <w:tab/>
            </w:r>
            <w:r>
              <w:rPr>
                <w:color w:val="auto"/>
                <w:sz w:val="24"/>
                <w:szCs w:val="22"/>
                <w:lang w:val="ru-RU" w:eastAsia="en-US"/>
              </w:rPr>
              <w:tab/>
              <w:t xml:space="preserve">МСК-51, зона 1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</w:tr>
      <w:tr>
        <w:tblPrEx/>
        <w:trPr>
          <w:trHeight w:val="228"/>
        </w:trPr>
        <w:tc>
          <w:tcPr>
            <w:gridSpan w:val="7"/>
            <w:tcBorders>
              <w:bottom w:val="single" w:color="000000" w:sz="12" w:space="0"/>
            </w:tcBorders>
            <w:tcW w:w="8222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22"/>
                <w:szCs w:val="22"/>
                <w:lang w:val="ru-RU" w:eastAsia="en-US"/>
              </w:rPr>
            </w:pPr>
            <w:r>
              <w:rPr>
                <w:color w:val="auto"/>
                <w:sz w:val="22"/>
                <w:szCs w:val="22"/>
                <w:lang w:val="ru-RU" w:eastAsia="en-US"/>
              </w:rPr>
              <w:t xml:space="preserve">Площадь объекта +/- величина погрешности определения площади (</w:t>
            </w:r>
            <w:r>
              <w:rPr>
                <w:color w:val="auto"/>
                <w:sz w:val="22"/>
                <w:szCs w:val="22"/>
                <w:lang w:val="ru-RU" w:eastAsia="en-US"/>
              </w:rPr>
              <w:t xml:space="preserve">Р</w:t>
            </w:r>
            <w:r>
              <w:rPr>
                <w:color w:val="auto"/>
                <w:sz w:val="22"/>
                <w:szCs w:val="22"/>
                <w:lang w:val="ru-RU" w:eastAsia="en-US"/>
              </w:rPr>
              <w:t xml:space="preserve"> +/- Дельта Р)</w:t>
            </w:r>
            <w:r>
              <w:rPr>
                <w:color w:val="auto"/>
                <w:sz w:val="22"/>
                <w:szCs w:val="22"/>
                <w:lang w:val="ru-RU" w:eastAsia="en-US"/>
              </w:rPr>
            </w:r>
            <w:r>
              <w:rPr>
                <w:color w:val="auto"/>
                <w:sz w:val="22"/>
                <w:szCs w:val="22"/>
                <w:lang w:val="ru-RU" w:eastAsia="en-US"/>
              </w:rPr>
            </w:r>
          </w:p>
        </w:tc>
        <w:tc>
          <w:tcPr>
            <w:gridSpan w:val="2"/>
            <w:tcBorders>
              <w:bottom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right="130"/>
              <w:spacing w:line="231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804 ± 14,00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261"/>
        </w:trPr>
        <w:tc>
          <w:tcPr>
            <w:tcBorders>
              <w:top w:val="single" w:color="000000" w:sz="12" w:space="0"/>
              <w:bottom w:val="single" w:color="000000" w:sz="12" w:space="0"/>
            </w:tcBorders>
            <w:tcW w:w="1418" w:type="dxa"/>
            <w:textDirection w:val="lrTb"/>
            <w:noWrap w:val="false"/>
          </w:tcPr>
          <w:p>
            <w:pPr>
              <w:ind w:left="19" w:right="4"/>
              <w:jc w:val="center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Номер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точки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1701" w:type="dxa"/>
            <w:textDirection w:val="lrTb"/>
            <w:noWrap w:val="false"/>
          </w:tcPr>
          <w:p>
            <w:pPr>
              <w:ind w:left="125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Координата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X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1701" w:type="dxa"/>
            <w:textDirection w:val="lrTb"/>
            <w:noWrap w:val="false"/>
          </w:tcPr>
          <w:p>
            <w:pPr>
              <w:ind w:left="125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Координата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Y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3402" w:type="dxa"/>
            <w:textDirection w:val="lrTb"/>
            <w:noWrap w:val="false"/>
          </w:tcPr>
          <w:p>
            <w:pPr>
              <w:ind w:left="972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Метод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eastAsia="en-US"/>
              </w:rPr>
              <w:t xml:space="preserve">определения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  <w:bottom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right="130"/>
              <w:jc w:val="center"/>
              <w:spacing w:before="5" w:line="26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Погрешность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28"/>
        </w:trPr>
        <w:tc>
          <w:tcPr>
            <w:gridSpan w:val="9"/>
            <w:tcBorders>
              <w:top w:val="single" w:color="000000" w:sz="12" w:space="0"/>
              <w:bottom w:val="single" w:color="000000" w:sz="12" w:space="0"/>
            </w:tcBorders>
            <w:tcW w:w="9835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:ЗУ1(1)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1"/>
        </w:trPr>
        <w:tc>
          <w:tcPr>
            <w:tcBorders>
              <w:top w:val="single" w:color="000000" w:sz="12" w:space="0"/>
            </w:tcBorders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top w:val="single" w:color="000000" w:sz="12" w:space="0"/>
            </w:tcBorders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691 332,44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top w:val="single" w:color="000000" w:sz="12" w:space="0"/>
            </w:tcBorders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1 326 784,86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7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691 329,00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1 326 782,47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691 345,28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1 326 770,36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691 365,93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1 326 750,07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691 421,08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1 326 700,74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691 428,06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1 326 692,57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691 431,07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1 326 694,49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691 424,02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1 326 703,48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691 368,66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1 326 752,99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W w:w="1418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691 347,88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1 326 773,40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tcBorders>
              <w:bottom w:val="single" w:color="000000" w:sz="12" w:space="0"/>
            </w:tcBorders>
            <w:tcW w:w="1418" w:type="dxa"/>
            <w:textDirection w:val="lrTb"/>
            <w:noWrap w:val="false"/>
          </w:tcPr>
          <w:p>
            <w:pPr>
              <w:ind w:left="1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3"/>
            <w:tcBorders>
              <w:bottom w:val="single" w:color="000000" w:sz="12" w:space="0"/>
            </w:tcBorders>
            <w:tcW w:w="1773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691 332,44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tcBorders>
              <w:bottom w:val="single" w:color="000000" w:sz="12" w:space="0"/>
            </w:tcBorders>
            <w:tcW w:w="1629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1 326 784,86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bottom w:val="single" w:color="000000" w:sz="12" w:space="0"/>
            </w:tcBorders>
            <w:tcW w:w="3402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gridSpan w:val="2"/>
            <w:tcBorders>
              <w:bottom w:val="single" w:color="000000" w:sz="12" w:space="0"/>
            </w:tcBorders>
            <w:tcW w:w="161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228"/>
        </w:trPr>
        <w:tc>
          <w:tcPr>
            <w:gridSpan w:val="9"/>
            <w:tcBorders>
              <w:top w:val="single" w:color="000000" w:sz="12" w:space="0"/>
              <w:bottom w:val="single" w:color="000000" w:sz="12" w:space="0"/>
            </w:tcBorders>
            <w:tcW w:w="9835" w:type="dxa"/>
            <w:textDirection w:val="lrTb"/>
            <w:noWrap w:val="false"/>
          </w:tcPr>
          <w:p>
            <w:pPr>
              <w:ind w:left="35"/>
              <w:spacing w:line="231" w:lineRule="exact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 xml:space="preserve">:ЗУ1(2)</w:t>
            </w:r>
            <w:r>
              <w:rPr>
                <w:color w:val="auto"/>
                <w:sz w:val="22"/>
                <w:szCs w:val="22"/>
                <w:lang w:eastAsia="en-US"/>
              </w:rPr>
            </w:r>
            <w:r>
              <w:rPr>
                <w:color w:val="auto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521"/>
        </w:trPr>
        <w:tc>
          <w:tcPr>
            <w:gridSpan w:val="2"/>
            <w:tcBorders>
              <w:top w:val="single" w:color="000000" w:sz="12" w:space="0"/>
            </w:tcBorders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691 121,33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1 326 674,96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Borders>
              <w:top w:val="single" w:color="000000" w:sz="12" w:space="0"/>
            </w:tcBorders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Borders>
              <w:top w:val="single" w:color="000000" w:sz="12" w:space="0"/>
            </w:tcBorders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73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691 123,30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1 326 671,48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691 140,32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1 326 681,13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691 161,43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1 326 696,81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691 182,39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1 326 697,63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691 182,23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1 326 701,63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17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691 160,04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1 326 700,75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18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691 138,13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1 326 684,49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  <w:tr>
        <w:tblPrEx/>
        <w:trPr>
          <w:trHeight w:val="527"/>
        </w:trPr>
        <w:tc>
          <w:tcPr>
            <w:gridSpan w:val="2"/>
            <w:tcW w:w="1505" w:type="dxa"/>
            <w:textDirection w:val="lrTb"/>
            <w:noWrap w:val="false"/>
          </w:tcPr>
          <w:p>
            <w:pPr>
              <w:ind w:left="18" w:right="4"/>
              <w:jc w:val="center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11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691 121,33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1686" w:type="dxa"/>
            <w:textDirection w:val="lrTb"/>
            <w:noWrap w:val="false"/>
          </w:tcPr>
          <w:p>
            <w:pPr>
              <w:ind w:right="19"/>
              <w:jc w:val="right"/>
              <w:spacing w:before="148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1 326 674,96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  <w:tc>
          <w:tcPr>
            <w:gridSpan w:val="2"/>
            <w:tcW w:w="3935" w:type="dxa"/>
            <w:textDirection w:val="lrTb"/>
            <w:noWrap w:val="false"/>
          </w:tcPr>
          <w:p>
            <w:pPr>
              <w:ind w:left="34" w:right="329"/>
              <w:rPr>
                <w:color w:val="auto"/>
                <w:sz w:val="24"/>
                <w:szCs w:val="22"/>
                <w:lang w:val="ru-RU" w:eastAsia="en-US"/>
              </w:rPr>
            </w:pP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Метод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спутниковых</w:t>
            </w:r>
            <w:r>
              <w:rPr>
                <w:color w:val="auto"/>
                <w:spacing w:val="-12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геодезических</w:t>
            </w:r>
            <w:r>
              <w:rPr>
                <w:color w:val="auto"/>
                <w:spacing w:val="-57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измерений</w:t>
            </w:r>
            <w:r>
              <w:rPr>
                <w:color w:val="auto"/>
                <w:spacing w:val="-1"/>
                <w:sz w:val="24"/>
                <w:szCs w:val="22"/>
                <w:lang w:val="ru-RU" w:eastAsia="en-US"/>
              </w:rPr>
              <w:t xml:space="preserve"> </w:t>
            </w:r>
            <w:r>
              <w:rPr>
                <w:color w:val="auto"/>
                <w:sz w:val="24"/>
                <w:szCs w:val="22"/>
                <w:lang w:val="ru-RU" w:eastAsia="en-US"/>
              </w:rPr>
              <w:t xml:space="preserve">(определений)</w:t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  <w:r>
              <w:rPr>
                <w:color w:val="auto"/>
                <w:sz w:val="24"/>
                <w:szCs w:val="22"/>
                <w:lang w:val="ru-RU" w:eastAsia="en-US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ind w:left="143" w:right="130"/>
              <w:jc w:val="center"/>
              <w:spacing w:line="266" w:lineRule="exact"/>
              <w:rPr>
                <w:color w:val="auto"/>
                <w:sz w:val="24"/>
                <w:szCs w:val="22"/>
                <w:lang w:eastAsia="en-US"/>
              </w:rPr>
            </w:pPr>
            <w:r>
              <w:rPr>
                <w:color w:val="auto"/>
                <w:sz w:val="24"/>
                <w:szCs w:val="22"/>
                <w:lang w:eastAsia="en-US"/>
              </w:rPr>
              <w:t xml:space="preserve">0,10</w:t>
            </w:r>
            <w:r>
              <w:rPr>
                <w:color w:val="auto"/>
                <w:sz w:val="24"/>
                <w:szCs w:val="22"/>
                <w:lang w:eastAsia="en-US"/>
              </w:rPr>
            </w:r>
            <w:r>
              <w:rPr>
                <w:color w:val="auto"/>
                <w:sz w:val="24"/>
                <w:szCs w:val="22"/>
                <w:lang w:eastAsia="en-US"/>
              </w:rPr>
            </w:r>
          </w:p>
        </w:tc>
      </w:tr>
    </w:tbl>
    <w:p>
      <w:pPr>
        <w:jc w:val="both"/>
        <w:spacing w:after="200" w:line="276" w:lineRule="auto"/>
      </w:pPr>
      <w:r/>
      <w:r/>
    </w:p>
    <w:p>
      <w:pPr>
        <w:shd w:val="nil" w:color="auto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397" w:footer="709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28"/>
    <w:next w:val="828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0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28"/>
    <w:next w:val="82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0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28"/>
    <w:next w:val="82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0"/>
    <w:link w:val="664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28"/>
    <w:next w:val="828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0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28"/>
    <w:next w:val="828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0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28"/>
    <w:next w:val="828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0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28"/>
    <w:next w:val="828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0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28"/>
    <w:next w:val="828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0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28"/>
    <w:next w:val="828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0"/>
    <w:link w:val="678"/>
    <w:uiPriority w:val="10"/>
    <w:rPr>
      <w:sz w:val="48"/>
      <w:szCs w:val="48"/>
    </w:rPr>
  </w:style>
  <w:style w:type="paragraph" w:styleId="680">
    <w:name w:val="Subtitle"/>
    <w:basedOn w:val="828"/>
    <w:next w:val="828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0"/>
    <w:link w:val="680"/>
    <w:uiPriority w:val="11"/>
    <w:rPr>
      <w:sz w:val="24"/>
      <w:szCs w:val="24"/>
    </w:rPr>
  </w:style>
  <w:style w:type="paragraph" w:styleId="682">
    <w:name w:val="Quote"/>
    <w:basedOn w:val="828"/>
    <w:next w:val="828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28"/>
    <w:next w:val="828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0"/>
    <w:link w:val="839"/>
    <w:uiPriority w:val="99"/>
  </w:style>
  <w:style w:type="character" w:styleId="687">
    <w:name w:val="Footer Char"/>
    <w:basedOn w:val="830"/>
    <w:link w:val="841"/>
    <w:uiPriority w:val="99"/>
  </w:style>
  <w:style w:type="paragraph" w:styleId="688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1"/>
    <w:uiPriority w:val="99"/>
  </w:style>
  <w:style w:type="table" w:styleId="690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Footnote Text Char"/>
    <w:link w:val="843"/>
    <w:uiPriority w:val="99"/>
    <w:rPr>
      <w:sz w:val="18"/>
    </w:rPr>
  </w:style>
  <w:style w:type="character" w:styleId="816">
    <w:name w:val="Endnote Text Char"/>
    <w:link w:val="846"/>
    <w:uiPriority w:val="99"/>
    <w:rPr>
      <w:sz w:val="20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29">
    <w:name w:val="Heading 4"/>
    <w:basedOn w:val="828"/>
    <w:next w:val="828"/>
    <w:link w:val="833"/>
    <w:qFormat/>
    <w:pPr>
      <w:ind w:firstLine="709"/>
      <w:keepNext/>
      <w:outlineLvl w:val="3"/>
    </w:pPr>
    <w:rPr>
      <w:sz w:val="28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4 Знак"/>
    <w:basedOn w:val="830"/>
    <w:link w:val="829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834">
    <w:name w:val="Body Text 2"/>
    <w:basedOn w:val="828"/>
    <w:link w:val="835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835" w:customStyle="1">
    <w:name w:val="Основной текст 2 Знак"/>
    <w:basedOn w:val="830"/>
    <w:link w:val="834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836">
    <w:name w:val="Balloon Text"/>
    <w:basedOn w:val="828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0"/>
    <w:link w:val="836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38">
    <w:name w:val="List Paragraph"/>
    <w:basedOn w:val="828"/>
    <w:uiPriority w:val="34"/>
    <w:qFormat/>
    <w:pPr>
      <w:contextualSpacing/>
      <w:ind w:left="720"/>
    </w:pPr>
  </w:style>
  <w:style w:type="paragraph" w:styleId="839">
    <w:name w:val="Header"/>
    <w:basedOn w:val="828"/>
    <w:link w:val="840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0" w:customStyle="1">
    <w:name w:val="Верхний колонтитул Знак"/>
    <w:basedOn w:val="830"/>
    <w:link w:val="8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1">
    <w:name w:val="Footer"/>
    <w:basedOn w:val="828"/>
    <w:link w:val="842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842" w:customStyle="1">
    <w:name w:val="Нижний колонтитул Знак"/>
    <w:basedOn w:val="830"/>
    <w:link w:val="84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43">
    <w:name w:val="footnote text"/>
    <w:basedOn w:val="828"/>
    <w:link w:val="844"/>
    <w:uiPriority w:val="99"/>
    <w:semiHidden/>
    <w:rPr>
      <w:color w:val="auto"/>
    </w:rPr>
  </w:style>
  <w:style w:type="character" w:styleId="844" w:customStyle="1">
    <w:name w:val="Текст сноски Знак"/>
    <w:basedOn w:val="830"/>
    <w:link w:val="84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5">
    <w:name w:val="footnote reference"/>
    <w:basedOn w:val="830"/>
    <w:uiPriority w:val="99"/>
    <w:semiHidden/>
    <w:rPr>
      <w:rFonts w:cs="Times New Roman"/>
      <w:vertAlign w:val="superscript"/>
    </w:rPr>
  </w:style>
  <w:style w:type="paragraph" w:styleId="846">
    <w:name w:val="endnote text"/>
    <w:basedOn w:val="828"/>
    <w:link w:val="847"/>
    <w:uiPriority w:val="99"/>
    <w:semiHidden/>
    <w:rPr>
      <w:color w:val="auto"/>
    </w:rPr>
  </w:style>
  <w:style w:type="character" w:styleId="847" w:customStyle="1">
    <w:name w:val="Текст концевой сноски Знак"/>
    <w:basedOn w:val="830"/>
    <w:link w:val="84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>
    <w:name w:val="endnote reference"/>
    <w:basedOn w:val="830"/>
    <w:uiPriority w:val="99"/>
    <w:semiHidden/>
    <w:rPr>
      <w:rFonts w:cs="Times New Roman"/>
      <w:vertAlign w:val="superscript"/>
    </w:rPr>
  </w:style>
  <w:style w:type="paragraph" w:styleId="849" w:customStyle="1">
    <w:name w:val="ConsNormal"/>
    <w:uiPriority w:val="99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50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851" w:customStyle="1">
    <w:name w:val="Сетка таблицы1"/>
    <w:basedOn w:val="831"/>
    <w:next w:val="8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52">
    <w:name w:val="Table Grid"/>
    <w:basedOn w:val="831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3">
    <w:name w:val="Hyperlink"/>
    <w:basedOn w:val="830"/>
    <w:uiPriority w:val="99"/>
    <w:unhideWhenUsed/>
    <w:rPr>
      <w:color w:val="0000ff" w:themeColor="hyperlink"/>
      <w:u w:val="single"/>
    </w:rPr>
  </w:style>
  <w:style w:type="paragraph" w:styleId="854" w:customStyle="1">
    <w:name w:val="s_1"/>
    <w:basedOn w:val="828"/>
    <w:pPr>
      <w:spacing w:before="100" w:beforeAutospacing="1" w:after="100" w:afterAutospacing="1"/>
    </w:pPr>
    <w:rPr>
      <w:color w:val="auto"/>
      <w:sz w:val="24"/>
      <w:szCs w:val="24"/>
    </w:rPr>
  </w:style>
  <w:style w:type="table" w:styleId="855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Пахтусова Светлана Юрьевна</dc:creator>
  <cp:revision>19</cp:revision>
  <dcterms:created xsi:type="dcterms:W3CDTF">2024-03-19T08:44:00Z</dcterms:created>
  <dcterms:modified xsi:type="dcterms:W3CDTF">2024-05-21T06:05:10Z</dcterms:modified>
</cp:coreProperties>
</file>