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6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 w:themeColor="text1"/>
          <w:sz w:val="24"/>
        </w:rPr>
        <w:t xml:space="preserve">о</w:t>
      </w:r>
      <w:r>
        <w:rPr>
          <w:b/>
          <w:color w:val="000000" w:themeColor="text1"/>
          <w:sz w:val="24"/>
        </w:rPr>
        <w:t xml:space="preserve">т</w:t>
      </w:r>
      <w:r>
        <w:rPr>
          <w:b/>
          <w:color w:val="000000" w:themeColor="text1"/>
          <w:sz w:val="24"/>
        </w:rPr>
        <w:t xml:space="preserve"> </w:t>
      </w:r>
      <w:r>
        <w:rPr>
          <w:b/>
          <w:color w:val="000000" w:themeColor="text1"/>
          <w:sz w:val="24"/>
        </w:rPr>
        <w:t xml:space="preserve">16.05.2024</w:t>
      </w:r>
      <w:r>
        <w:rPr>
          <w:b/>
          <w:color w:val="000000" w:themeColor="text1"/>
          <w:sz w:val="24"/>
        </w:rPr>
        <w:t xml:space="preserve"> </w:t>
      </w:r>
      <w:r>
        <w:rPr>
          <w:b/>
          <w:color w:val="000000" w:themeColor="text1"/>
          <w:sz w:val="24"/>
        </w:rPr>
        <w:tab/>
      </w:r>
      <w:r>
        <w:rPr>
          <w:b/>
          <w:color w:val="000000" w:themeColor="text1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</w:t>
      </w:r>
      <w:r>
        <w:rPr>
          <w:b/>
          <w:color w:val="000000"/>
          <w:sz w:val="24"/>
          <w:lang w:val="en-US"/>
        </w:rPr>
        <w:t xml:space="preserve">806</w:t>
      </w:r>
      <w:r>
        <w:rPr>
          <w:b/>
          <w:color w:val="000000"/>
          <w:sz w:val="24"/>
          <w:lang w:val="ru-RU"/>
        </w:rPr>
        <w:t xml:space="preserve">а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3150" w:leader="none"/>
        </w:tabs>
        <w:rPr>
          <w:b/>
          <w:sz w:val="26"/>
          <w:szCs w:val="26"/>
        </w:rPr>
      </w:pPr>
      <w:r>
        <w:rPr>
          <w:b/>
          <w:szCs w:val="26"/>
        </w:rPr>
        <w:t xml:space="preserve">О</w:t>
      </w:r>
      <w:r>
        <w:rPr>
          <w:b/>
          <w:szCs w:val="26"/>
        </w:rPr>
        <w:t xml:space="preserve"> возможности заключения концессионного соглашения в отношении объектов теплоснабжения, находящихся в муниципальной собственности</w:t>
      </w:r>
      <w:r>
        <w:rPr>
          <w:b/>
          <w:szCs w:val="26"/>
        </w:rPr>
        <w:t xml:space="preserve">, на иных условиях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b/>
          <w:bCs/>
          <w:i/>
          <w:color w:val="ff0000"/>
          <w:sz w:val="24"/>
          <w:szCs w:val="24"/>
        </w:rPr>
      </w:pPr>
      <w:r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 xml:space="preserve">Федеральными законами от 06.10.2003 № 131-ФЗ «Об общих принципах организации местного самоуправления в Российской Федерации», </w:t>
      </w: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от 21.07.2005 № 115-ФЗ «О концессионных соглашениях»,</w:t>
      </w:r>
      <w:r>
        <w:rPr>
          <w:sz w:val="24"/>
          <w:szCs w:val="24"/>
        </w:rPr>
        <w:t xml:space="preserve"> постановлением Правительства Му</w:t>
      </w:r>
      <w:r>
        <w:rPr>
          <w:sz w:val="24"/>
          <w:szCs w:val="24"/>
        </w:rPr>
        <w:t xml:space="preserve">рманской области от 24.05.2017 № 265-ПП «О мерах по реализации отдельных положений Федерального закона от 21.07.2005 № 115-ФЗ «О концессионных соглашениях» на территории Мурманской области», пр</w:t>
      </w:r>
      <w:r>
        <w:rPr>
          <w:sz w:val="24"/>
          <w:szCs w:val="24"/>
        </w:rPr>
        <w:t xml:space="preserve">иказом Министерства энергетики и жилищно-коммунального хозяйства Мурманской области от 15.05.2024 № 92 «О проекте концессионного соглашения ООО «ПромВоенСтрой» в отношении объектов по производству, передаче и распределению тепловой энергии и горячей воды»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b/>
          <w:bCs/>
          <w:i/>
          <w:color w:val="ff0000"/>
          <w:sz w:val="24"/>
          <w:szCs w:val="24"/>
        </w:rPr>
      </w:r>
      <w:r>
        <w:rPr>
          <w:b/>
          <w:bCs/>
          <w:i/>
          <w:color w:val="ff0000"/>
          <w:sz w:val="24"/>
          <w:szCs w:val="24"/>
        </w:rPr>
      </w:r>
    </w:p>
    <w:p>
      <w:pPr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numPr>
          <w:ilvl w:val="0"/>
          <w:numId w:val="6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Определить возможным</w:t>
      </w:r>
      <w:r>
        <w:rPr>
          <w:bCs/>
          <w:sz w:val="24"/>
          <w:szCs w:val="24"/>
        </w:rPr>
        <w:t xml:space="preserve"> заключени</w:t>
      </w: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 концессионного соглашения</w:t>
      </w:r>
      <w:r>
        <w:rPr>
          <w:bCs/>
          <w:sz w:val="24"/>
          <w:szCs w:val="24"/>
        </w:rPr>
        <w:t xml:space="preserve"> в отношении объектов теплоснабжения</w:t>
      </w:r>
      <w:r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находящихся в собственности Печенгского муниципального округа Мурманской области</w:t>
      </w:r>
      <w:r>
        <w:rPr>
          <w:bCs/>
          <w:sz w:val="24"/>
          <w:szCs w:val="24"/>
        </w:rPr>
        <w:t xml:space="preserve">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котельные № 13/73, № 13/55, сеть теплоснабжения и горячего водоснабжения на территории в/г № 13 п.г.т. Печенга;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котельная № 4/152, сеть теплоснабжения и горячего водоснабжения на территории в/г № 4 ж/д ст. Печенга (19 км.);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котельная № 42/138, сеть теплоснабжения и горячего водоснабжения на т</w:t>
      </w:r>
      <w:r>
        <w:rPr>
          <w:sz w:val="24"/>
          <w:szCs w:val="24"/>
        </w:rPr>
        <w:t xml:space="preserve">ерритории в/г № 42 н.п. Спутник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иных условиях, чем предложено</w:t>
      </w:r>
      <w:r>
        <w:rPr>
          <w:sz w:val="24"/>
          <w:szCs w:val="24"/>
        </w:rPr>
        <w:t xml:space="preserve"> обществом с ограниченной ответственностью «ПромВоенСтрой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16.04.2024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6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Провести переговоры с </w:t>
      </w:r>
      <w:r>
        <w:rPr>
          <w:bCs/>
          <w:sz w:val="24"/>
          <w:szCs w:val="24"/>
        </w:rPr>
        <w:t xml:space="preserve">обществом с ограниченной ответственностью</w:t>
      </w:r>
      <w:r>
        <w:rPr>
          <w:bCs/>
          <w:sz w:val="24"/>
          <w:szCs w:val="24"/>
        </w:rPr>
        <w:t xml:space="preserve"> «ПромВоенСтрой» и иных заинтересованных сторон, в целях обсуждения и согласования иных условий концессионного соглашения в </w:t>
      </w:r>
      <w:r>
        <w:rPr>
          <w:bCs/>
          <w:sz w:val="24"/>
          <w:szCs w:val="24"/>
        </w:rPr>
        <w:t xml:space="preserve">течение 90 календарных дней, со дня подписания настоящего постановления, но не позднее </w:t>
      </w:r>
      <w:r>
        <w:rPr>
          <w:bCs/>
          <w:sz w:val="24"/>
          <w:szCs w:val="24"/>
        </w:rPr>
        <w:t xml:space="preserve">14 августа </w:t>
      </w:r>
      <w:r>
        <w:rPr>
          <w:bCs/>
          <w:sz w:val="24"/>
          <w:szCs w:val="24"/>
        </w:rPr>
        <w:t xml:space="preserve">2024 </w:t>
      </w:r>
      <w:r>
        <w:rPr>
          <w:bCs/>
          <w:sz w:val="24"/>
          <w:szCs w:val="24"/>
        </w:rPr>
        <w:t xml:space="preserve">года.</w:t>
      </w:r>
      <w:bookmarkStart w:id="0" w:name="_GoBack"/>
      <w:r/>
      <w:bookmarkEnd w:id="0"/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6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Определить следующий порядок проведения переговоров с </w:t>
      </w:r>
      <w:r>
        <w:rPr>
          <w:bCs/>
          <w:sz w:val="24"/>
          <w:szCs w:val="24"/>
        </w:rPr>
        <w:t xml:space="preserve">обществом с ограниченной ответственностью «ПромВоенСтрой»</w:t>
      </w:r>
      <w:r>
        <w:rPr>
          <w:bCs/>
          <w:sz w:val="24"/>
          <w:szCs w:val="24"/>
        </w:rPr>
        <w:t xml:space="preserve">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1"/>
          <w:numId w:val="6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Переговоры проводятся с участием уполномоченных представителей </w:t>
      </w:r>
      <w:r>
        <w:rPr>
          <w:sz w:val="24"/>
          <w:szCs w:val="24"/>
        </w:rPr>
        <w:t xml:space="preserve">общества с ограниченной ответственностью «ПромВоенСтрой»</w:t>
      </w:r>
      <w:r>
        <w:rPr>
          <w:bCs/>
          <w:sz w:val="24"/>
          <w:szCs w:val="24"/>
        </w:rPr>
        <w:t xml:space="preserve"> и представителей администрации </w:t>
      </w:r>
      <w:r>
        <w:rPr>
          <w:bCs/>
          <w:sz w:val="24"/>
          <w:szCs w:val="24"/>
        </w:rPr>
        <w:t xml:space="preserve">Печенгского муниципального округа, определенных Главой Печенгского муниципального округа,</w:t>
      </w:r>
      <w:r>
        <w:rPr>
          <w:bCs/>
          <w:sz w:val="24"/>
          <w:szCs w:val="24"/>
        </w:rPr>
        <w:t xml:space="preserve"> а также иных заинтересованных лиц,</w:t>
      </w:r>
      <w:r>
        <w:rPr>
          <w:bCs/>
          <w:sz w:val="24"/>
          <w:szCs w:val="24"/>
        </w:rPr>
        <w:t xml:space="preserve"> в форме совместных совещаний, которые проводятся очно или с использованием систем видео-конференц-связи.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1"/>
          <w:numId w:val="6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Даты,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время, место и способы проведения совместных совещаний </w:t>
      </w:r>
      <w:r>
        <w:rPr>
          <w:bCs/>
          <w:sz w:val="24"/>
          <w:szCs w:val="24"/>
        </w:rPr>
        <w:t xml:space="preserve">определяются администрацией Печенгского муниципального округа по согласованию с 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обществом с ограниченной ответственностью «ПромВоенСтрой»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1"/>
          <w:numId w:val="6"/>
        </w:numPr>
        <w:ind w:left="0" w:firstLine="709"/>
        <w:jc w:val="both"/>
        <w:tabs>
          <w:tab w:val="left" w:pos="851" w:leader="none"/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Решение о согласовании условий концессионного соглашения принимается путем оформления протокола и подписания его присутствующими на совместном  совещании</w:t>
      </w:r>
      <w:r>
        <w:rPr>
          <w:bCs/>
          <w:sz w:val="24"/>
          <w:szCs w:val="24"/>
        </w:rPr>
        <w:t xml:space="preserve">, на котором принято решение о согласовании условий концессионного соглашения,</w:t>
      </w:r>
      <w:r>
        <w:rPr>
          <w:bCs/>
          <w:sz w:val="24"/>
          <w:szCs w:val="24"/>
        </w:rPr>
        <w:t xml:space="preserve"> представителями </w:t>
      </w:r>
      <w:r>
        <w:rPr>
          <w:sz w:val="24"/>
          <w:szCs w:val="24"/>
        </w:rPr>
        <w:t xml:space="preserve">общества с ограниченной ответственностью «ПромВоенСтрой»</w:t>
      </w:r>
      <w:r>
        <w:rPr>
          <w:bCs/>
          <w:sz w:val="24"/>
          <w:szCs w:val="24"/>
        </w:rPr>
        <w:t xml:space="preserve"> и администрации Печенгского муниципального округа.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1"/>
          <w:numId w:val="6"/>
        </w:numPr>
        <w:ind w:left="0" w:firstLine="709"/>
        <w:jc w:val="both"/>
        <w:tabs>
          <w:tab w:val="left" w:pos="851" w:leader="none"/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В случае</w:t>
      </w:r>
      <w:r>
        <w:rPr>
          <w:bCs/>
          <w:sz w:val="24"/>
          <w:szCs w:val="24"/>
        </w:rPr>
        <w:t xml:space="preserve"> если в срок</w:t>
      </w:r>
      <w:r>
        <w:rPr>
          <w:bCs/>
          <w:sz w:val="24"/>
          <w:szCs w:val="24"/>
        </w:rPr>
        <w:t xml:space="preserve">,</w:t>
      </w:r>
      <w:r>
        <w:rPr>
          <w:bCs/>
          <w:sz w:val="24"/>
          <w:szCs w:val="24"/>
        </w:rPr>
        <w:t xml:space="preserve"> установленный пунктом 2 настоящего постановления, в ходе проведения переговоров условия концессионного соглашения не будут согласованы</w:t>
      </w:r>
      <w:r>
        <w:rPr>
          <w:bCs/>
          <w:sz w:val="24"/>
          <w:szCs w:val="24"/>
        </w:rPr>
        <w:t xml:space="preserve">,</w:t>
      </w:r>
      <w:r>
        <w:rPr>
          <w:bCs/>
          <w:sz w:val="24"/>
          <w:szCs w:val="24"/>
        </w:rPr>
        <w:t xml:space="preserve"> представители </w:t>
      </w:r>
      <w:r>
        <w:rPr>
          <w:sz w:val="24"/>
          <w:szCs w:val="24"/>
        </w:rPr>
        <w:t xml:space="preserve">общества с ограниченной ответственностью «ПромВоенСтрой»</w:t>
      </w:r>
      <w:r>
        <w:rPr>
          <w:bCs/>
          <w:sz w:val="24"/>
          <w:szCs w:val="24"/>
        </w:rPr>
        <w:t xml:space="preserve"> и администрации Печенгского муниципального округа принимают соответствующее решение, которое оформляется протоколом в соответствии с процедурой, определенной в </w:t>
      </w:r>
      <w:r>
        <w:rPr>
          <w:bCs/>
          <w:sz w:val="24"/>
          <w:szCs w:val="24"/>
        </w:rPr>
        <w:t xml:space="preserve">под</w:t>
      </w:r>
      <w:r>
        <w:rPr>
          <w:bCs/>
          <w:sz w:val="24"/>
          <w:szCs w:val="24"/>
        </w:rPr>
        <w:t xml:space="preserve">пункте 3.3 настоящего постановления.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1"/>
          <w:numId w:val="6"/>
        </w:numPr>
        <w:ind w:left="0" w:firstLine="709"/>
        <w:jc w:val="both"/>
        <w:tabs>
          <w:tab w:val="left" w:pos="851" w:leader="none"/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Протоколы совместных совещаний представляются Главе Печенгского муниципального округа в срок не позднее одного рабочего дня со дня их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ab/>
        <w:t xml:space="preserve">4.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 его</w:t>
      </w:r>
      <w:r>
        <w:rPr>
          <w:sz w:val="24"/>
          <w:szCs w:val="24"/>
        </w:rPr>
        <w:t xml:space="preserve">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6"/>
        <w:ind w:firstLine="709"/>
        <w:jc w:val="both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https://pechengamr.gov-murman.ru/.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6"/>
        <w:ind w:firstLine="709"/>
        <w:jc w:val="both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. Контроль за исполнением настоящего постановления возложить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заместителя Главы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Пономарева А.В.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</w:p>
    <w:p>
      <w:pPr>
        <w:pStyle w:val="924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left"/>
      </w:pPr>
      <w:r>
        <w:rPr>
          <w:rFonts w:eastAsia="Calibri"/>
          <w:bCs/>
          <w:sz w:val="24"/>
          <w:szCs w:val="24"/>
        </w:rPr>
        <w:t xml:space="preserve">Глав</w:t>
      </w:r>
      <w:r>
        <w:rPr>
          <w:rFonts w:eastAsia="Calibri"/>
          <w:bCs/>
          <w:sz w:val="24"/>
          <w:szCs w:val="24"/>
        </w:rPr>
        <w:t xml:space="preserve">а </w:t>
      </w:r>
      <w:r>
        <w:rPr>
          <w:rFonts w:eastAsia="Calibri"/>
          <w:bCs/>
          <w:sz w:val="24"/>
          <w:szCs w:val="24"/>
        </w:rPr>
        <w:t xml:space="preserve">Печенгского</w:t>
      </w:r>
      <w:r>
        <w:rPr>
          <w:rFonts w:eastAsia="Calibri"/>
          <w:bCs/>
          <w:sz w:val="24"/>
          <w:szCs w:val="24"/>
        </w:rPr>
        <w:t xml:space="preserve"> </w:t>
      </w:r>
      <w:r>
        <w:rPr>
          <w:rFonts w:eastAsia="Calibri"/>
          <w:bCs/>
          <w:sz w:val="24"/>
          <w:szCs w:val="24"/>
        </w:rPr>
        <w:t xml:space="preserve">муниципал</w:t>
      </w:r>
      <w:r>
        <w:rPr>
          <w:rFonts w:eastAsia="Calibri"/>
          <w:bCs/>
          <w:sz w:val="24"/>
          <w:szCs w:val="24"/>
        </w:rPr>
        <w:t xml:space="preserve">ьного округа </w:t>
        <w:tab/>
        <w:tab/>
        <w:tab/>
        <w:tab/>
        <w:tab/>
        <w:t xml:space="preserve"> </w:t>
      </w:r>
      <w:r>
        <w:rPr>
          <w:rFonts w:eastAsia="Calibri"/>
          <w:bCs/>
          <w:sz w:val="24"/>
          <w:szCs w:val="24"/>
        </w:rPr>
        <w:t xml:space="preserve">А.В.</w:t>
      </w:r>
      <w:r>
        <w:rPr>
          <w:rFonts w:eastAsia="Calibri"/>
          <w:bCs/>
          <w:sz w:val="24"/>
          <w:szCs w:val="24"/>
        </w:rPr>
        <w:t xml:space="preserve"> Кузнецов</w:t>
      </w:r>
      <w:r>
        <w:rPr>
          <w:rFonts w:eastAsia="Calibri"/>
          <w:bCs/>
          <w:sz w:val="24"/>
          <w:szCs w:val="24"/>
        </w:rPr>
      </w:r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>
        <w:t xml:space="preserve">Жулидова Н.Ю., 51291</w:t>
      </w:r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Calibri">
    <w:panose1 w:val="020F050202020403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6"/>
      <w:rPr>
        <w:rStyle w:val="928"/>
      </w:rPr>
      <w:framePr w:wrap="around" w:vAnchor="text" w:hAnchor="margin" w:xAlign="center" w:y="1"/>
    </w:pPr>
    <w:r>
      <w:rPr>
        <w:rStyle w:val="928"/>
      </w:rPr>
    </w:r>
    <w:r>
      <w:rPr>
        <w:rStyle w:val="928"/>
      </w:rPr>
    </w:r>
  </w:p>
  <w:p>
    <w:pPr>
      <w:pStyle w:val="92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6"/>
      <w:rPr>
        <w:rStyle w:val="928"/>
      </w:rPr>
      <w:framePr w:wrap="around" w:vAnchor="text" w:hAnchor="margin" w:xAlign="center" w:y="1"/>
    </w:pPr>
    <w:r>
      <w:rPr>
        <w:rStyle w:val="928"/>
      </w:rPr>
      <w:fldChar w:fldCharType="begin"/>
    </w:r>
    <w:r>
      <w:rPr>
        <w:rStyle w:val="928"/>
      </w:rPr>
      <w:instrText xml:space="preserve">PAGE  </w:instrText>
    </w:r>
    <w:r>
      <w:rPr>
        <w:rStyle w:val="928"/>
      </w:rPr>
      <w:fldChar w:fldCharType="end"/>
    </w:r>
    <w:r>
      <w:rPr>
        <w:rStyle w:val="928"/>
      </w:rPr>
    </w:r>
    <w:r>
      <w:rPr>
        <w:rStyle w:val="928"/>
      </w:rPr>
    </w:r>
  </w:p>
  <w:p>
    <w:pPr>
      <w:pStyle w:val="92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3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2">
    <w:name w:val="Heading 1 Char"/>
    <w:basedOn w:val="915"/>
    <w:link w:val="911"/>
    <w:uiPriority w:val="9"/>
    <w:rPr>
      <w:rFonts w:ascii="Arial" w:hAnsi="Arial" w:eastAsia="Arial" w:cs="Arial"/>
      <w:sz w:val="40"/>
      <w:szCs w:val="40"/>
    </w:rPr>
  </w:style>
  <w:style w:type="character" w:styleId="743">
    <w:name w:val="Heading 2 Char"/>
    <w:basedOn w:val="915"/>
    <w:link w:val="912"/>
    <w:uiPriority w:val="9"/>
    <w:rPr>
      <w:rFonts w:ascii="Arial" w:hAnsi="Arial" w:eastAsia="Arial" w:cs="Arial"/>
      <w:sz w:val="34"/>
    </w:rPr>
  </w:style>
  <w:style w:type="character" w:styleId="744">
    <w:name w:val="Heading 3 Char"/>
    <w:basedOn w:val="915"/>
    <w:link w:val="913"/>
    <w:uiPriority w:val="9"/>
    <w:rPr>
      <w:rFonts w:ascii="Arial" w:hAnsi="Arial" w:eastAsia="Arial" w:cs="Arial"/>
      <w:sz w:val="30"/>
      <w:szCs w:val="30"/>
    </w:rPr>
  </w:style>
  <w:style w:type="character" w:styleId="745">
    <w:name w:val="Heading 4 Char"/>
    <w:basedOn w:val="915"/>
    <w:link w:val="914"/>
    <w:uiPriority w:val="9"/>
    <w:rPr>
      <w:rFonts w:ascii="Arial" w:hAnsi="Arial" w:eastAsia="Arial" w:cs="Arial"/>
      <w:b/>
      <w:bCs/>
      <w:sz w:val="26"/>
      <w:szCs w:val="26"/>
    </w:rPr>
  </w:style>
  <w:style w:type="paragraph" w:styleId="746">
    <w:name w:val="Heading 5"/>
    <w:basedOn w:val="910"/>
    <w:next w:val="910"/>
    <w:link w:val="74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7">
    <w:name w:val="Heading 5 Char"/>
    <w:basedOn w:val="915"/>
    <w:link w:val="746"/>
    <w:uiPriority w:val="9"/>
    <w:rPr>
      <w:rFonts w:ascii="Arial" w:hAnsi="Arial" w:eastAsia="Arial" w:cs="Arial"/>
      <w:b/>
      <w:bCs/>
      <w:sz w:val="24"/>
      <w:szCs w:val="24"/>
    </w:rPr>
  </w:style>
  <w:style w:type="paragraph" w:styleId="748">
    <w:name w:val="Heading 6"/>
    <w:basedOn w:val="910"/>
    <w:next w:val="910"/>
    <w:link w:val="74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9">
    <w:name w:val="Heading 6 Char"/>
    <w:basedOn w:val="915"/>
    <w:link w:val="748"/>
    <w:uiPriority w:val="9"/>
    <w:rPr>
      <w:rFonts w:ascii="Arial" w:hAnsi="Arial" w:eastAsia="Arial" w:cs="Arial"/>
      <w:b/>
      <w:bCs/>
      <w:sz w:val="22"/>
      <w:szCs w:val="22"/>
    </w:rPr>
  </w:style>
  <w:style w:type="paragraph" w:styleId="750">
    <w:name w:val="Heading 7"/>
    <w:basedOn w:val="910"/>
    <w:next w:val="910"/>
    <w:link w:val="75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1">
    <w:name w:val="Heading 7 Char"/>
    <w:basedOn w:val="915"/>
    <w:link w:val="7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910"/>
    <w:next w:val="910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3">
    <w:name w:val="Heading 8 Char"/>
    <w:basedOn w:val="915"/>
    <w:link w:val="752"/>
    <w:uiPriority w:val="9"/>
    <w:rPr>
      <w:rFonts w:ascii="Arial" w:hAnsi="Arial" w:eastAsia="Arial" w:cs="Arial"/>
      <w:i/>
      <w:iCs/>
      <w:sz w:val="22"/>
      <w:szCs w:val="22"/>
    </w:rPr>
  </w:style>
  <w:style w:type="paragraph" w:styleId="754">
    <w:name w:val="Heading 9"/>
    <w:basedOn w:val="910"/>
    <w:next w:val="910"/>
    <w:link w:val="75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5">
    <w:name w:val="Heading 9 Char"/>
    <w:basedOn w:val="915"/>
    <w:link w:val="754"/>
    <w:uiPriority w:val="9"/>
    <w:rPr>
      <w:rFonts w:ascii="Arial" w:hAnsi="Arial" w:eastAsia="Arial" w:cs="Arial"/>
      <w:i/>
      <w:iCs/>
      <w:sz w:val="21"/>
      <w:szCs w:val="21"/>
    </w:rPr>
  </w:style>
  <w:style w:type="paragraph" w:styleId="756">
    <w:name w:val="No Spacing"/>
    <w:uiPriority w:val="1"/>
    <w:qFormat/>
    <w:pPr>
      <w:spacing w:before="0" w:after="0" w:line="240" w:lineRule="auto"/>
    </w:pPr>
  </w:style>
  <w:style w:type="character" w:styleId="757">
    <w:name w:val="Title Char"/>
    <w:basedOn w:val="915"/>
    <w:link w:val="918"/>
    <w:uiPriority w:val="10"/>
    <w:rPr>
      <w:sz w:val="48"/>
      <w:szCs w:val="48"/>
    </w:rPr>
  </w:style>
  <w:style w:type="paragraph" w:styleId="758">
    <w:name w:val="Subtitle"/>
    <w:basedOn w:val="910"/>
    <w:next w:val="910"/>
    <w:link w:val="759"/>
    <w:uiPriority w:val="11"/>
    <w:qFormat/>
    <w:pPr>
      <w:spacing w:before="200" w:after="200"/>
    </w:pPr>
    <w:rPr>
      <w:sz w:val="24"/>
      <w:szCs w:val="24"/>
    </w:rPr>
  </w:style>
  <w:style w:type="character" w:styleId="759">
    <w:name w:val="Subtitle Char"/>
    <w:basedOn w:val="915"/>
    <w:link w:val="758"/>
    <w:uiPriority w:val="11"/>
    <w:rPr>
      <w:sz w:val="24"/>
      <w:szCs w:val="24"/>
    </w:rPr>
  </w:style>
  <w:style w:type="paragraph" w:styleId="760">
    <w:name w:val="Quote"/>
    <w:basedOn w:val="910"/>
    <w:next w:val="910"/>
    <w:link w:val="761"/>
    <w:uiPriority w:val="29"/>
    <w:qFormat/>
    <w:pPr>
      <w:ind w:left="720" w:right="720"/>
    </w:pPr>
    <w:rPr>
      <w:i/>
    </w:rPr>
  </w:style>
  <w:style w:type="character" w:styleId="761">
    <w:name w:val="Quote Char"/>
    <w:link w:val="760"/>
    <w:uiPriority w:val="29"/>
    <w:rPr>
      <w:i/>
    </w:rPr>
  </w:style>
  <w:style w:type="paragraph" w:styleId="762">
    <w:name w:val="Intense Quote"/>
    <w:basedOn w:val="910"/>
    <w:next w:val="910"/>
    <w:link w:val="7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3">
    <w:name w:val="Intense Quote Char"/>
    <w:link w:val="762"/>
    <w:uiPriority w:val="30"/>
    <w:rPr>
      <w:i/>
    </w:rPr>
  </w:style>
  <w:style w:type="character" w:styleId="764">
    <w:name w:val="Header Char"/>
    <w:basedOn w:val="915"/>
    <w:link w:val="926"/>
    <w:uiPriority w:val="99"/>
  </w:style>
  <w:style w:type="character" w:styleId="765">
    <w:name w:val="Footer Char"/>
    <w:basedOn w:val="915"/>
    <w:link w:val="927"/>
    <w:uiPriority w:val="99"/>
  </w:style>
  <w:style w:type="paragraph" w:styleId="766">
    <w:name w:val="Caption"/>
    <w:basedOn w:val="910"/>
    <w:next w:val="9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7">
    <w:name w:val="Caption Char"/>
    <w:basedOn w:val="766"/>
    <w:link w:val="927"/>
    <w:uiPriority w:val="99"/>
  </w:style>
  <w:style w:type="table" w:styleId="768">
    <w:name w:val="Table Grid Light"/>
    <w:basedOn w:val="91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basedOn w:val="91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2"/>
    <w:basedOn w:val="9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9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basedOn w:val="9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basedOn w:val="9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basedOn w:val="9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basedOn w:val="9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basedOn w:val="9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basedOn w:val="9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0">
    <w:name w:val="Grid Table 6 Colorful 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1">
    <w:name w:val="Grid Table 6 Colorful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2">
    <w:name w:val="Grid Table 6 Colorful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3">
    <w:name w:val="Grid Table 6 Colorful 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4">
    <w:name w:val="Grid Table 6 Colorful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6 Colorful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7 Colorful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6 Colorful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6">
    <w:name w:val="List Table 7 Colorful 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7">
    <w:name w:val="List Table 7 Colorful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8">
    <w:name w:val="List Table 7 Colorful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9">
    <w:name w:val="List Table 7 Colorful 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0">
    <w:name w:val="List Table 7 Colorful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1">
    <w:name w:val="List Table 7 Colorful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2">
    <w:name w:val="Lined - Accent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basedOn w:val="9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basedOn w:val="9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3">
    <w:name w:val="footnote text"/>
    <w:basedOn w:val="910"/>
    <w:link w:val="894"/>
    <w:uiPriority w:val="99"/>
    <w:semiHidden/>
    <w:unhideWhenUsed/>
    <w:pPr>
      <w:spacing w:after="40" w:line="240" w:lineRule="auto"/>
    </w:pPr>
    <w:rPr>
      <w:sz w:val="18"/>
    </w:rPr>
  </w:style>
  <w:style w:type="character" w:styleId="894">
    <w:name w:val="Footnote Text Char"/>
    <w:link w:val="893"/>
    <w:uiPriority w:val="99"/>
    <w:rPr>
      <w:sz w:val="18"/>
    </w:rPr>
  </w:style>
  <w:style w:type="character" w:styleId="895">
    <w:name w:val="footnote reference"/>
    <w:basedOn w:val="915"/>
    <w:uiPriority w:val="99"/>
    <w:unhideWhenUsed/>
    <w:rPr>
      <w:vertAlign w:val="superscript"/>
    </w:rPr>
  </w:style>
  <w:style w:type="paragraph" w:styleId="896">
    <w:name w:val="endnote text"/>
    <w:basedOn w:val="910"/>
    <w:link w:val="897"/>
    <w:uiPriority w:val="99"/>
    <w:semiHidden/>
    <w:unhideWhenUsed/>
    <w:pPr>
      <w:spacing w:after="0" w:line="240" w:lineRule="auto"/>
    </w:pPr>
    <w:rPr>
      <w:sz w:val="20"/>
    </w:rPr>
  </w:style>
  <w:style w:type="character" w:styleId="897">
    <w:name w:val="Endnote Text Char"/>
    <w:link w:val="896"/>
    <w:uiPriority w:val="99"/>
    <w:rPr>
      <w:sz w:val="20"/>
    </w:rPr>
  </w:style>
  <w:style w:type="character" w:styleId="898">
    <w:name w:val="endnote reference"/>
    <w:basedOn w:val="915"/>
    <w:uiPriority w:val="99"/>
    <w:semiHidden/>
    <w:unhideWhenUsed/>
    <w:rPr>
      <w:vertAlign w:val="superscript"/>
    </w:rPr>
  </w:style>
  <w:style w:type="paragraph" w:styleId="899">
    <w:name w:val="toc 1"/>
    <w:basedOn w:val="910"/>
    <w:next w:val="910"/>
    <w:uiPriority w:val="39"/>
    <w:unhideWhenUsed/>
    <w:pPr>
      <w:ind w:left="0" w:right="0" w:firstLine="0"/>
      <w:spacing w:after="57"/>
    </w:pPr>
  </w:style>
  <w:style w:type="paragraph" w:styleId="900">
    <w:name w:val="toc 2"/>
    <w:basedOn w:val="910"/>
    <w:next w:val="910"/>
    <w:uiPriority w:val="39"/>
    <w:unhideWhenUsed/>
    <w:pPr>
      <w:ind w:left="283" w:right="0" w:firstLine="0"/>
      <w:spacing w:after="57"/>
    </w:pPr>
  </w:style>
  <w:style w:type="paragraph" w:styleId="901">
    <w:name w:val="toc 3"/>
    <w:basedOn w:val="910"/>
    <w:next w:val="910"/>
    <w:uiPriority w:val="39"/>
    <w:unhideWhenUsed/>
    <w:pPr>
      <w:ind w:left="567" w:right="0" w:firstLine="0"/>
      <w:spacing w:after="57"/>
    </w:pPr>
  </w:style>
  <w:style w:type="paragraph" w:styleId="902">
    <w:name w:val="toc 4"/>
    <w:basedOn w:val="910"/>
    <w:next w:val="910"/>
    <w:uiPriority w:val="39"/>
    <w:unhideWhenUsed/>
    <w:pPr>
      <w:ind w:left="850" w:right="0" w:firstLine="0"/>
      <w:spacing w:after="57"/>
    </w:pPr>
  </w:style>
  <w:style w:type="paragraph" w:styleId="903">
    <w:name w:val="toc 5"/>
    <w:basedOn w:val="910"/>
    <w:next w:val="910"/>
    <w:uiPriority w:val="39"/>
    <w:unhideWhenUsed/>
    <w:pPr>
      <w:ind w:left="1134" w:right="0" w:firstLine="0"/>
      <w:spacing w:after="57"/>
    </w:pPr>
  </w:style>
  <w:style w:type="paragraph" w:styleId="904">
    <w:name w:val="toc 6"/>
    <w:basedOn w:val="910"/>
    <w:next w:val="910"/>
    <w:uiPriority w:val="39"/>
    <w:unhideWhenUsed/>
    <w:pPr>
      <w:ind w:left="1417" w:right="0" w:firstLine="0"/>
      <w:spacing w:after="57"/>
    </w:pPr>
  </w:style>
  <w:style w:type="paragraph" w:styleId="905">
    <w:name w:val="toc 7"/>
    <w:basedOn w:val="910"/>
    <w:next w:val="910"/>
    <w:uiPriority w:val="39"/>
    <w:unhideWhenUsed/>
    <w:pPr>
      <w:ind w:left="1701" w:right="0" w:firstLine="0"/>
      <w:spacing w:after="57"/>
    </w:pPr>
  </w:style>
  <w:style w:type="paragraph" w:styleId="906">
    <w:name w:val="toc 8"/>
    <w:basedOn w:val="910"/>
    <w:next w:val="910"/>
    <w:uiPriority w:val="39"/>
    <w:unhideWhenUsed/>
    <w:pPr>
      <w:ind w:left="1984" w:right="0" w:firstLine="0"/>
      <w:spacing w:after="57"/>
    </w:pPr>
  </w:style>
  <w:style w:type="paragraph" w:styleId="907">
    <w:name w:val="toc 9"/>
    <w:basedOn w:val="910"/>
    <w:next w:val="910"/>
    <w:uiPriority w:val="39"/>
    <w:unhideWhenUsed/>
    <w:pPr>
      <w:ind w:left="2268" w:right="0" w:firstLine="0"/>
      <w:spacing w:after="57"/>
    </w:pPr>
  </w:style>
  <w:style w:type="paragraph" w:styleId="908">
    <w:name w:val="TOC Heading"/>
    <w:uiPriority w:val="39"/>
    <w:unhideWhenUsed/>
  </w:style>
  <w:style w:type="paragraph" w:styleId="909">
    <w:name w:val="table of figures"/>
    <w:basedOn w:val="910"/>
    <w:next w:val="910"/>
    <w:uiPriority w:val="99"/>
    <w:unhideWhenUsed/>
    <w:pPr>
      <w:spacing w:after="0" w:afterAutospacing="0"/>
    </w:pPr>
  </w:style>
  <w:style w:type="paragraph" w:styleId="910" w:default="1">
    <w:name w:val="Normal"/>
    <w:qFormat/>
  </w:style>
  <w:style w:type="paragraph" w:styleId="911">
    <w:name w:val="Heading 1"/>
    <w:basedOn w:val="910"/>
    <w:next w:val="910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912">
    <w:name w:val="Heading 2"/>
    <w:basedOn w:val="910"/>
    <w:next w:val="910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913">
    <w:name w:val="Heading 3"/>
    <w:basedOn w:val="910"/>
    <w:next w:val="910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914">
    <w:name w:val="Heading 4"/>
    <w:basedOn w:val="910"/>
    <w:next w:val="910"/>
    <w:qFormat/>
    <w:pPr>
      <w:keepNext/>
      <w:spacing w:before="680"/>
      <w:outlineLvl w:val="3"/>
    </w:pPr>
    <w:rPr>
      <w:b/>
      <w:bCs/>
      <w:sz w:val="26"/>
    </w:rPr>
  </w:style>
  <w:style w:type="character" w:styleId="915" w:default="1">
    <w:name w:val="Default Paragraph Font"/>
    <w:uiPriority w:val="1"/>
    <w:semiHidden/>
    <w:unhideWhenUsed/>
  </w:style>
  <w:style w:type="table" w:styleId="91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7" w:default="1">
    <w:name w:val="No List"/>
    <w:uiPriority w:val="99"/>
    <w:semiHidden/>
    <w:unhideWhenUsed/>
  </w:style>
  <w:style w:type="paragraph" w:styleId="918">
    <w:name w:val="Title"/>
    <w:basedOn w:val="910"/>
    <w:qFormat/>
    <w:pPr>
      <w:jc w:val="center"/>
    </w:pPr>
    <w:rPr>
      <w:sz w:val="32"/>
    </w:rPr>
  </w:style>
  <w:style w:type="paragraph" w:styleId="919">
    <w:name w:val="Balloon Text"/>
    <w:basedOn w:val="910"/>
    <w:semiHidden/>
    <w:rPr>
      <w:rFonts w:ascii="Tahoma" w:hAnsi="Tahoma" w:cs="Tahoma"/>
      <w:sz w:val="16"/>
      <w:szCs w:val="16"/>
    </w:rPr>
  </w:style>
  <w:style w:type="paragraph" w:styleId="920">
    <w:name w:val="Body Text 2"/>
    <w:basedOn w:val="910"/>
    <w:pPr>
      <w:spacing w:after="120" w:line="480" w:lineRule="auto"/>
    </w:pPr>
    <w:rPr>
      <w:sz w:val="26"/>
    </w:rPr>
  </w:style>
  <w:style w:type="paragraph" w:styleId="921" w:customStyle="1">
    <w:name w:val="çàãîëîâîê 2"/>
    <w:basedOn w:val="910"/>
    <w:next w:val="910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922">
    <w:name w:val="Body Text Indent"/>
    <w:basedOn w:val="910"/>
    <w:pPr>
      <w:ind w:firstLine="480"/>
    </w:pPr>
    <w:rPr>
      <w:sz w:val="26"/>
      <w:szCs w:val="28"/>
    </w:rPr>
  </w:style>
  <w:style w:type="paragraph" w:styleId="923">
    <w:name w:val="Body Text"/>
    <w:basedOn w:val="910"/>
    <w:pPr>
      <w:jc w:val="both"/>
      <w:tabs>
        <w:tab w:val="left" w:pos="2520" w:leader="none"/>
      </w:tabs>
    </w:pPr>
    <w:rPr>
      <w:sz w:val="24"/>
    </w:rPr>
  </w:style>
  <w:style w:type="paragraph" w:styleId="924">
    <w:name w:val="Body Text 3"/>
    <w:basedOn w:val="910"/>
    <w:link w:val="929"/>
    <w:pPr>
      <w:jc w:val="both"/>
      <w:tabs>
        <w:tab w:val="left" w:pos="2520" w:leader="none"/>
      </w:tabs>
    </w:pPr>
    <w:rPr>
      <w:sz w:val="26"/>
    </w:rPr>
  </w:style>
  <w:style w:type="table" w:styleId="925">
    <w:name w:val="Table Grid"/>
    <w:basedOn w:val="91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6">
    <w:name w:val="Header"/>
    <w:basedOn w:val="910"/>
    <w:link w:val="933"/>
    <w:uiPriority w:val="99"/>
    <w:pPr>
      <w:tabs>
        <w:tab w:val="center" w:pos="4677" w:leader="none"/>
        <w:tab w:val="right" w:pos="9355" w:leader="none"/>
      </w:tabs>
    </w:pPr>
  </w:style>
  <w:style w:type="paragraph" w:styleId="927">
    <w:name w:val="Footer"/>
    <w:basedOn w:val="910"/>
    <w:pPr>
      <w:tabs>
        <w:tab w:val="center" w:pos="4677" w:leader="none"/>
        <w:tab w:val="right" w:pos="9355" w:leader="none"/>
      </w:tabs>
    </w:pPr>
  </w:style>
  <w:style w:type="character" w:styleId="928">
    <w:name w:val="page number"/>
    <w:basedOn w:val="915"/>
  </w:style>
  <w:style w:type="character" w:styleId="929" w:customStyle="1">
    <w:name w:val="Основной текст 3 Знак"/>
    <w:link w:val="924"/>
    <w:rPr>
      <w:sz w:val="26"/>
    </w:rPr>
  </w:style>
  <w:style w:type="paragraph" w:styleId="930">
    <w:name w:val="List Paragraph"/>
    <w:basedOn w:val="910"/>
    <w:uiPriority w:val="34"/>
    <w:qFormat/>
    <w:pPr>
      <w:contextualSpacing/>
      <w:ind w:left="720"/>
    </w:pPr>
    <w:rPr>
      <w:sz w:val="28"/>
      <w:szCs w:val="28"/>
      <w:lang w:val="en-US"/>
    </w:rPr>
  </w:style>
  <w:style w:type="paragraph" w:styleId="931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32" w:customStyle="1">
    <w:name w:val="ConsPlusCell"/>
    <w:uiPriority w:val="99"/>
    <w:pPr>
      <w:widowControl w:val="off"/>
    </w:pPr>
    <w:rPr>
      <w:rFonts w:ascii="Arial" w:hAnsi="Arial" w:cs="Arial"/>
    </w:rPr>
  </w:style>
  <w:style w:type="character" w:styleId="933" w:customStyle="1">
    <w:name w:val="Верхний колонтитул Знак"/>
    <w:link w:val="926"/>
    <w:uiPriority w:val="99"/>
  </w:style>
  <w:style w:type="paragraph" w:styleId="934">
    <w:name w:val="HTML Preformatted"/>
    <w:basedOn w:val="910"/>
    <w:link w:val="935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</w:rPr>
  </w:style>
  <w:style w:type="character" w:styleId="935" w:customStyle="1">
    <w:name w:val="Стандартный HTML Знак"/>
    <w:link w:val="934"/>
    <w:uiPriority w:val="99"/>
    <w:rPr>
      <w:rFonts w:ascii="Courier New" w:hAnsi="Courier New" w:cs="Courier New"/>
    </w:rPr>
  </w:style>
  <w:style w:type="paragraph" w:styleId="936" w:customStyle="1">
    <w:name w:val="ConsPlusNormal"/>
    <w:pPr>
      <w:widowControl w:val="off"/>
    </w:pPr>
    <w:rPr>
      <w:rFonts w:ascii="Calibri" w:hAnsi="Calibri" w:cs="Calibri"/>
      <w:sz w:val="22"/>
    </w:rPr>
  </w:style>
  <w:style w:type="character" w:styleId="937">
    <w:name w:val="Hyperlink"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53E99-FE0B-4411-A293-7CBF87897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6</cp:revision>
  <dcterms:created xsi:type="dcterms:W3CDTF">2024-01-11T08:43:00Z</dcterms:created>
  <dcterms:modified xsi:type="dcterms:W3CDTF">2024-05-24T06:42:47Z</dcterms:modified>
</cp:coreProperties>
</file>