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  <w:u w:val="single"/>
        </w:rPr>
      </w:pPr>
      <w:r>
        <w:rPr>
          <w:sz w:val="24"/>
          <w:szCs w:val="24"/>
          <w:u w:val="single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2700972</wp:posOffset>
                </wp:positionH>
                <wp:positionV relativeFrom="paragraph">
                  <wp:posOffset>-53975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5107090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599" cy="75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3360;o:allowoverlap:true;o:allowincell:true;mso-position-horizontal-relative:text;margin-left:212.67pt;mso-position-horizontal:absolute;mso-position-vertical-relative:text;margin-top:-4.2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sz w:val="24"/>
          <w:szCs w:val="24"/>
          <w:u w:val="single"/>
        </w:rPr>
      </w:r>
      <w:r>
        <w:rPr>
          <w:b/>
          <w:sz w:val="24"/>
          <w:szCs w:val="24"/>
          <w:u w:val="single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28.05.2024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</w:t>
      </w:r>
      <w:r>
        <w:rPr>
          <w:b/>
          <w:sz w:val="24"/>
        </w:rPr>
        <w:t xml:space="preserve"> № 886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pStyle w:val="925"/>
        <w:jc w:val="center"/>
        <w:rPr>
          <w:b/>
          <w:b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Об утверждении </w:t>
      </w:r>
      <w:r>
        <w:rPr>
          <w:b/>
          <w:bCs/>
          <w:sz w:val="20"/>
          <w:szCs w:val="20"/>
        </w:rPr>
        <w:t xml:space="preserve">положения по оплате труда руководителей муниципальных бюджетных учреждений</w:t>
      </w:r>
      <w:r>
        <w:rPr>
          <w:b/>
          <w:bCs/>
          <w:sz w:val="20"/>
          <w:szCs w:val="20"/>
        </w:rPr>
        <w:t xml:space="preserve"> культуры и</w:t>
      </w:r>
      <w:r>
        <w:rPr>
          <w:b/>
          <w:bCs/>
          <w:sz w:val="20"/>
          <w:szCs w:val="20"/>
        </w:rPr>
        <w:t xml:space="preserve"> спорта, подведомственных </w:t>
      </w:r>
      <w:r>
        <w:rPr>
          <w:b/>
          <w:bCs/>
          <w:sz w:val="20"/>
          <w:szCs w:val="20"/>
        </w:rPr>
        <w:t xml:space="preserve">отделу культуры, спорта и молодежной политики </w:t>
      </w:r>
      <w:r>
        <w:rPr>
          <w:b/>
          <w:bCs/>
          <w:sz w:val="20"/>
          <w:szCs w:val="20"/>
        </w:rPr>
        <w:t xml:space="preserve">администрации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Печенгского муниципального округа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pStyle w:val="925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25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целях реализации постановления Правительства Мурманск</w:t>
      </w:r>
      <w:r>
        <w:rPr>
          <w:sz w:val="24"/>
          <w:szCs w:val="24"/>
        </w:rPr>
        <w:t xml:space="preserve">ой области</w:t>
      </w:r>
      <w:r>
        <w:rPr>
          <w:sz w:val="24"/>
          <w:szCs w:val="24"/>
        </w:rPr>
        <w:t xml:space="preserve"> </w:t>
        <w:br/>
        <w:t xml:space="preserve">от 12.05.2014 № 243-ПП «Об оплате труда работников областных бюджетных, автономных и казенных учреждений Мурманской области», приказа Министерства культуры Мурманской области от 11.11.2022 № 305 «Об утверждении Примерного положе</w:t>
      </w:r>
      <w:r>
        <w:rPr>
          <w:sz w:val="24"/>
          <w:szCs w:val="24"/>
        </w:rPr>
        <w:t xml:space="preserve">ния об оплате труда работников государственных областных бюджетных и автономных учреждений культуры и искусства, подведомственных Министерству культуры Мурманской области», руководствуясь «Едиными рекомендациями по установлению на федеральном, региональном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местном уровнях систем оплаты труда работников государственных и муниципальных учреждений на 2023 год», утвержденными решением Российской трехсторонней комиссии по регулированию социально-трудовых отношений от 23.12.2022, протокол 12,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</w:pPr>
      <w:r/>
      <w:r/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25"/>
        <w:ind w:firstLine="709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25"/>
        <w:ind w:firstLine="720"/>
        <w:jc w:val="both"/>
      </w:pPr>
      <w:r>
        <w:t xml:space="preserve">1. Утвердить положение по оплате труда руководителей </w:t>
      </w:r>
      <w:r>
        <w:rPr>
          <w:bCs/>
        </w:rPr>
        <w:t xml:space="preserve">муниципальных бюджетных учреждений </w:t>
      </w:r>
      <w:r>
        <w:rPr>
          <w:bCs/>
        </w:rPr>
        <w:t xml:space="preserve">культуры и </w:t>
      </w:r>
      <w:r>
        <w:rPr>
          <w:bCs/>
        </w:rPr>
        <w:t xml:space="preserve">спорта, подведомственных</w:t>
      </w:r>
      <w:r>
        <w:t xml:space="preserve"> </w:t>
      </w:r>
      <w:r>
        <w:rPr>
          <w:bCs/>
        </w:rPr>
        <w:t xml:space="preserve">отделу культу</w:t>
      </w:r>
      <w:r>
        <w:rPr>
          <w:bCs/>
        </w:rPr>
        <w:t xml:space="preserve">ры, спорта и молодежной политики </w:t>
      </w:r>
      <w:r>
        <w:rPr>
          <w:bCs/>
        </w:rPr>
        <w:t xml:space="preserve">администрации Печенгского муниципального округа, согласно приложению</w:t>
      </w:r>
      <w:r>
        <w:t xml:space="preserve">.  </w:t>
      </w:r>
      <w:r/>
    </w:p>
    <w:p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2. Расходы, связанные с реализацией настоящего постановления, осуществляются в пределах бюджетных ассигнований, предусмо</w:t>
      </w:r>
      <w:r>
        <w:rPr>
          <w:rFonts w:eastAsia="Times New Roman"/>
          <w:sz w:val="24"/>
          <w:szCs w:val="24"/>
        </w:rPr>
        <w:t xml:space="preserve">тренных в бюджете </w:t>
      </w:r>
      <w:r>
        <w:rPr>
          <w:rFonts w:eastAsia="Times New Roman"/>
          <w:sz w:val="24"/>
          <w:szCs w:val="24"/>
        </w:rPr>
        <w:t xml:space="preserve">муниципального образования Печенгский муниципальный округ</w:t>
      </w:r>
      <w:r>
        <w:rPr>
          <w:rFonts w:eastAsia="Times New Roman"/>
          <w:sz w:val="24"/>
          <w:szCs w:val="24"/>
        </w:rPr>
        <w:t xml:space="preserve"> на обеспечение выполнения функций учреждений </w:t>
      </w:r>
      <w:r>
        <w:rPr>
          <w:rFonts w:eastAsia="Times New Roman"/>
          <w:sz w:val="24"/>
          <w:szCs w:val="24"/>
        </w:rPr>
        <w:t xml:space="preserve">в части оплаты труда </w:t>
      </w:r>
      <w:r>
        <w:rPr>
          <w:rFonts w:eastAsia="Times New Roman"/>
          <w:sz w:val="24"/>
          <w:szCs w:val="24"/>
        </w:rPr>
        <w:t xml:space="preserve">руководителей учреждений.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20"/>
        <w:jc w:val="both"/>
      </w:pPr>
      <w:r>
        <w:rPr>
          <w:rFonts w:eastAsia="Times New Roman"/>
          <w:sz w:val="24"/>
          <w:szCs w:val="24"/>
        </w:rPr>
        <w:t xml:space="preserve">3.</w:t>
      </w:r>
      <w:r>
        <w:t xml:space="preserve"> </w:t>
      </w:r>
      <w:r>
        <w:rPr>
          <w:sz w:val="24"/>
          <w:szCs w:val="24"/>
        </w:rPr>
        <w:t xml:space="preserve">Настоящее постановление вступает в силу после его опубликования в газете «Печенга» и подлежит размещению на официальном сайте Печенгского муниципального округа </w:t>
      </w:r>
      <w:hyperlink r:id="rId12" w:tooltip="https://pechengamr.gov-murman.ru/" w:history="1">
        <w:r>
          <w:rPr>
            <w:rStyle w:val="898"/>
            <w:color w:val="000000" w:themeColor="text1"/>
            <w:sz w:val="24"/>
            <w:szCs w:val="24"/>
          </w:rPr>
          <w:t xml:space="preserve">https://pechengamr.gov-murman.ru/</w:t>
        </w:r>
      </w:hyperlink>
      <w:r>
        <w:rPr>
          <w:sz w:val="24"/>
          <w:szCs w:val="24"/>
        </w:rPr>
        <w:t xml:space="preserve"> и распространяется на правоотношения, возникшие с 01.01.2024.</w:t>
      </w:r>
      <w:r>
        <w:rPr>
          <w:sz w:val="24"/>
          <w:szCs w:val="24"/>
        </w:rPr>
      </w:r>
      <w:r/>
    </w:p>
    <w:p>
      <w:pPr>
        <w:pStyle w:val="925"/>
        <w:ind w:firstLine="720"/>
        <w:jc w:val="both"/>
        <w:rPr>
          <w:i/>
          <w:color w:val="ff0000"/>
        </w:rPr>
      </w:pPr>
      <w:r>
        <w:t xml:space="preserve">4</w:t>
      </w:r>
      <w:r>
        <w:t xml:space="preserve">. </w:t>
      </w:r>
      <w:r>
        <w:t xml:space="preserve">Контроль за</w:t>
      </w:r>
      <w:r>
        <w:t xml:space="preserve"> исполнением настоящего постановления оставляю за собой.</w:t>
      </w:r>
      <w:r>
        <w:rPr>
          <w:i/>
          <w:color w:val="ff0000"/>
        </w:rPr>
      </w:r>
      <w:r>
        <w:rPr>
          <w:i/>
          <w:color w:val="ff0000"/>
        </w:rPr>
      </w:r>
    </w:p>
    <w:p>
      <w:pPr>
        <w:pStyle w:val="925"/>
        <w:ind w:firstLine="720"/>
        <w:jc w:val="both"/>
        <w:rPr>
          <w:i/>
          <w:color w:val="ff0000"/>
        </w:rPr>
      </w:pPr>
      <w:r>
        <w:rPr>
          <w:i/>
          <w:color w:val="ff0000"/>
        </w:rPr>
      </w:r>
      <w:r>
        <w:rPr>
          <w:i/>
          <w:color w:val="ff0000"/>
        </w:rPr>
      </w:r>
      <w:r>
        <w:rPr>
          <w:i/>
          <w:color w:val="ff0000"/>
        </w:rPr>
      </w:r>
    </w:p>
    <w:p>
      <w:pPr>
        <w:pStyle w:val="925"/>
        <w:ind w:firstLine="720"/>
        <w:jc w:val="both"/>
        <w:rPr>
          <w:i/>
          <w:color w:val="ff0000"/>
        </w:rPr>
      </w:pPr>
      <w:r>
        <w:rPr>
          <w:i/>
          <w:color w:val="ff0000"/>
        </w:rPr>
      </w:r>
      <w:r>
        <w:rPr>
          <w:i/>
          <w:color w:val="ff0000"/>
        </w:rPr>
      </w:r>
      <w:r>
        <w:rPr>
          <w:i/>
          <w:color w:val="ff0000"/>
        </w:rPr>
      </w:r>
    </w:p>
    <w:p>
      <w:pPr>
        <w:pStyle w:val="925"/>
        <w:jc w:val="both"/>
        <w:rPr>
          <w:bCs/>
        </w:rPr>
      </w:pPr>
      <w:r>
        <w:rPr>
          <w:color w:val="auto"/>
        </w:rPr>
        <w:t xml:space="preserve">Глава</w:t>
      </w:r>
      <w:r>
        <w:rPr>
          <w:color w:val="auto"/>
        </w:rPr>
        <w:t xml:space="preserve"> Печенгского муниципального округа                 </w:t>
      </w:r>
      <w:r>
        <w:rPr>
          <w:color w:val="auto"/>
        </w:rPr>
        <w:t xml:space="preserve">                              </w:t>
      </w:r>
      <w:r>
        <w:rPr>
          <w:color w:val="auto"/>
        </w:rPr>
        <w:t xml:space="preserve">     </w:t>
      </w:r>
      <w:r>
        <w:rPr>
          <w:color w:val="auto"/>
        </w:rPr>
        <w:t xml:space="preserve">    А.В. Кузнецов</w:t>
      </w:r>
      <w:r>
        <w:rPr>
          <w:bCs/>
        </w:rPr>
      </w:r>
      <w:r>
        <w:rPr>
          <w:bCs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</w:rPr>
      </w:pPr>
      <w:r>
        <w:rPr>
          <w:bCs/>
          <w:color w:val="000000"/>
        </w:rPr>
        <w:t xml:space="preserve">Морозова М.Е., 50179</w:t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ind w:left="5528"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8" w:right="0" w:firstLine="0"/>
        <w:jc w:val="both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постановлению администрации 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28.05.2024 № 886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14"/>
        <w:jc w:val="center"/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right="14"/>
        <w:jc w:val="center"/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right="14"/>
        <w:jc w:val="center"/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ПОЛОЖЕНИЕ 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right="14"/>
        <w:jc w:val="center"/>
        <w:shd w:val="clear" w:color="auto" w:fill="ffff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по оплате труда руководителей муниципальных бюджетных учреждений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культуры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right="14"/>
        <w:jc w:val="center"/>
        <w:shd w:val="clear" w:color="auto" w:fill="ffff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и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спорта,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подведомственных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отделу культу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ры, спорта и молодежной политики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 администрации Печенгского муниципального округа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right="14" w:firstLine="709"/>
        <w:shd w:val="clear" w:color="auto" w:fill="ffff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left="68" w:hanging="68"/>
        <w:jc w:val="center"/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1. ОБЩИЕ ПОЛОЖЕНИЯ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68" w:hanging="68"/>
        <w:jc w:val="center"/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720"/>
        <w:jc w:val="both"/>
        <w:shd w:val="clear" w:color="auto" w:fill="ffff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1.1.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Настоящее положение разработано в целях повышения эффективности деятельности руководителей муниципальных бюджетных учреждений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культуры и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спорта, подведомственных администрации Печенгского муниципального округа (далее – Положение, руководители учреждений), создания условий для повышения качества работы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руководителей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 учреждений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 развития спортивной, творческой активности и инициативы при выполнении поставленных задач, успешного и добросовестного исполнения должностных обязанностей и включает в себя: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20"/>
        <w:jc w:val="both"/>
        <w:shd w:val="clear" w:color="auto" w:fill="ffff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- порядок определения должностного оклада руководителя учреждения;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20"/>
        <w:jc w:val="both"/>
        <w:shd w:val="clear" w:color="auto" w:fill="ffff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- порядок и условия применения выплат компенсационного характера;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20"/>
        <w:jc w:val="both"/>
        <w:shd w:val="clear" w:color="auto" w:fill="ffff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- порядок и условия применения выплат стимулирующего характера.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1.2. В настоящем Положении используются следующие понятия и термины: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Заработная плата - вознаграждение за труд в зависимости от сложности, количества, качества и условий выполняемой работы, а также выплаты компенсационного и стимулирующего характера.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Повышающий коэффициент - коэффициент, устанавливаемый к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должностному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окладу, в результате чего образуется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новый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должностной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оклад, применяемый при исчислении заработной платы.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Должностной оклад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- фиксированный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размер оплаты труда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работника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 исполнение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должностных (трудовых) обязанностей в течение соответствующего календарного месяца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 учета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повышающих коэффициентов, образующих новый должностной оклад.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center"/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2. ПОРЯДОК ОПРЕДЕЛЕНИЯ ДОЛЖНОСТНОГО ОКЛАДА РУКОВОДИТЕЛЯ УЧРЕЖДЕНИЯ 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2.1.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Должностные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оклады руководителей учреждений устанавливаются в следующих размерах: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7763"/>
        <w:gridCol w:w="1811"/>
      </w:tblGrid>
      <w:tr>
        <w:tblPrEx/>
        <w:trPr/>
        <w:tc>
          <w:tcPr>
            <w:shd w:val="clear" w:color="auto" w:fill="auto"/>
            <w:tcW w:w="776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Наименование должности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81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Должностной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оклад,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76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Руководитель учреждения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81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618,00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76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Руководитель учреждения дополнительного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81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151,00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76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Руководитель учреждения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81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618,00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76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Руководитель учреждения молодежной политики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81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18 618,00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2.2.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 формировании должностного оклада руководителей учреждений учитываются следующие повышающие коэффициенты, образующие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новый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должностной оклад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руководителей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учреждений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6"/>
        <w:ind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- за работу в сельских населенных пунктах и поселках городского типа специалистам, указанным в </w:t>
      </w:r>
      <w:hyperlink r:id="rId13" w:tooltip="consultantplus://offline/ref=8E88993A0FC8BDC5ADF3F8BAC2FD495AD5A3BB3F059F3BDCC337E9750431B8654EF34C6DC591464C18ECBD2FR8Q" w:history="1">
        <w:r>
          <w:rPr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 xml:space="preserve">статье 1</w:t>
        </w:r>
      </w:hyperlink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Закона Мурманской области от 27.12.2004 № 561-01-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ЗМО «О мерах социальной поддержки отдельных категорий граждан, работающих в сельских населенных пунктах или поселках городского типа»  - на 25 процентов;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Компенсационные и стимулирующие выплаты устанавливаются в процентах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к должностному окладу руководителей учреждений.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3. ПОРЯДОК И УСЛОВИЯ ПРИМЕНЕНИЯ ВЫПЛАТ КОМПЕНСАЦИОННОГО ХАРАКТЕРА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3.1. В соответствии с трудовы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 законодательством 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учреждениях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устанавливаются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следующие выплаты компенсационного характера: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 совмещение профессий (должностей);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 увеличение объема работы или исполнение обязанностей временно отсутствующего работника без освобождения от работы, определенной трудовым договором;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 работу в выходные и нерабочие праздничные дни;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районный коэффициент и процентная надбавка за стаж работы в районах Крайнего Севера.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3.2. Доплата за совмещение профессий (должностей) устанавливается руководителю учреждения при совмещении им профессий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(должностей). Размер доплаты и срок, на который она устанавливается, определяется по соглашению сторон трудового договора с учетом содержания и (или) объема дополнительной работы и оформляется распоряжением администрации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3.3. Доплата за увеличение объема работы или исполнение обязанностей временно отсутствующего работника без освобождения от работы, определенной трудовым договором, устанавливается руководителю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учреждения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в случае увеличения установленного ему объема работы или возложения на него обязанностей временно отсутствующего работника без освобождения от работы,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определенной трудовым договором. Размер доплаты и срок, на который она устанавливается, определяется по соглашению сторон трудового договора с учетом содержания и (или) объема дополнительной работы и оформляется распоряжением администрации Печенгского мун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3.4. Повышенная оплата за работу в выходные и нерабочие праздничные дни производится руководителям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учреждений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привлекавшимся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к работе в выходные и нерабочие праздничные дни в соответствии со статьей 153 Трудового кодекса Российской Федерации.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3.5. Размер районного коэффициента и полярных надбавок за стаж работы в районах Крайнего Севера устанавливается в соответствии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решением Совета депутатов Печенгского муниципального округа от 28.10.2022 № 344 «О гарантиях и компенсациях для лиц, работающих и проживающих в районах Крайнего Севера, финансируемых за счет средств бюджета Печенгского  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4. ПОРЯДОК И УСЛОВИЯ ПРИМЕНЕНИЯ ВЫПЛАТ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СТИМУЛИРУЮЩЕГО ХАРАКТЕРА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4.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Главой Печенгского муниципального округа руководителям учреждения устанавливается стимулирующая надбавка за сложность, напряженность (интенсив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ность), высокие результаты работы. Стимулирующая надбавка за сложность, напряженность (интенсивность), высокие результаты работы устанавливается в процентном отношении к должностному окладу руководителя учреждения и предельными размерами не ограничивается.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4.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целях поощрения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руководителям учреждений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в соответствии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приказ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ом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отдела культуры, спорта и молодежной политики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администрации Печенгского муниципального округа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от 13.03.2023 № 57 «О целевых</w:t>
      </w:r>
      <w:bookmarkStart w:id="0" w:name="_GoBack"/>
      <w:r>
        <w:rPr>
          <w:rFonts w:ascii="Times New Roman" w:hAnsi="Times New Roman" w:eastAsia="Times New Roman" w:cs="Times New Roman"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показателях эффективности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деятельности учреждений подведомственных отделу культуры, спорта и молодежной политики администрации Печенгского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муниципального округа и критериях оценки эффективности работы их руководителей»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Главой Печенгского муниципального округа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могут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устанавливаться следующие выплаты стимулирующего характера: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36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sz w:val="24"/>
          <w:szCs w:val="24"/>
        </w:rPr>
        <w:t xml:space="preserve">- премии за основные результаты работы (месяц, квартал, год);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936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sz w:val="24"/>
          <w:szCs w:val="24"/>
        </w:rPr>
        <w:t xml:space="preserve">- премии за выполнение особо важных или срочных работ;</w:t>
      </w:r>
      <w:r>
        <w:rPr>
          <w:rFonts w:ascii="Times New Roman" w:hAnsi="Times New Roman" w:eastAsia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936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sz w:val="24"/>
          <w:szCs w:val="24"/>
        </w:rPr>
        <w:t xml:space="preserve">- единовременные премии.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932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Премирование осуществ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ляется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пределах бюджетных ассигнова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ний на оплату труда работников 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чреждения, а также средств от приносящей д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оход деятельности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2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Премия по итогам работы за период (за месяц, квартал, год) выплачивается с целью поощрения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руководителей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за общие результаты труда по итогам работы.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2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 премировании учитываются: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2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успешное и добросовестное исполнение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руководителем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своих должностных обязанностей в соответствующем периоде;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2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инициатива, творчество и применение в работе современных форм и методов организации труда;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2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качественная подготовка и проведение мероприятий, связанных с уставной деятельностью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чреждени</w:t>
      </w:r>
      <w:r>
        <w:rPr>
          <w:rFonts w:hint="eastAsia" w:ascii="Times New Roman" w:hAnsi="Times New Roman" w:eastAsia="Times New Roman" w:cs="Times New Roman"/>
          <w:sz w:val="24"/>
          <w:szCs w:val="24"/>
        </w:rPr>
        <w:t xml:space="preserve">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2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выполнение порученной работы, связанной с обеспечением рабочего процесса или уставной деятельностью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чреждения;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2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качественная подготовка и своевременная сдача отчетности;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2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участие в течение месяца в выполнении важных работ и мероприятий.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2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Премия по итогам работы за период (месяц, квартал, год) выплачивается</w:t>
      </w:r>
      <w:r>
        <w:rPr>
          <w:rFonts w:ascii="Times New Roman" w:hAnsi="Times New Roman" w:eastAsia="Times New Roman" w:cs="Times New Roman"/>
          <w:sz w:val="24"/>
          <w:szCs w:val="24"/>
        </w:rPr>
        <w:br/>
        <w:t xml:space="preserve">в пределах имеющихся средств. Конкретный размер премии устанавливается в</w:t>
      </w:r>
      <w:r>
        <w:rPr>
          <w:rFonts w:ascii="Times New Roman" w:hAnsi="Times New Roman" w:eastAsia="Times New Roman" w:cs="Times New Roman"/>
          <w:sz w:val="24"/>
          <w:szCs w:val="24"/>
        </w:rPr>
        <w:br/>
        <w:t xml:space="preserve">процентном отношении к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месячному фонду оплаты труда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либо в абсолютной</w:t>
      </w:r>
      <w:r>
        <w:rPr>
          <w:rFonts w:ascii="Times New Roman" w:hAnsi="Times New Roman" w:eastAsia="Times New Roman" w:cs="Times New Roman"/>
          <w:sz w:val="24"/>
          <w:szCs w:val="24"/>
        </w:rPr>
        <w:br/>
        <w:t xml:space="preserve">сумме в рублях. Максимальным размером премия по итогам работы не</w:t>
      </w:r>
      <w:r>
        <w:rPr>
          <w:rFonts w:ascii="Times New Roman" w:hAnsi="Times New Roman" w:eastAsia="Times New Roman" w:cs="Times New Roman"/>
          <w:sz w:val="24"/>
          <w:szCs w:val="24"/>
        </w:rPr>
        <w:br/>
        <w:t xml:space="preserve">ограничена.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2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 увольнении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руководителя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 собственному желанию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истечении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календарного месяца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руководитель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лишается права на получении премии по итогам работы за месяц.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2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Размер премии может быть снижен или премия отменена полностью в случаях: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2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применения к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руководителю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дисциплинарного взыскания;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2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нарушение трудовой или производственной дисциплины;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2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невыполнение должностных инструкций;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2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ухудшение качества оказываемой услуги;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2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нарушение правил внутреннего распорядка;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2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нарушение требований охраны труда работников, пожарной безопасности, техники безопасности;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2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наличия обоснованных устных и письменных обращений (жалоб) граждан;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2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необеспечение сохранности имущества.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4.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Премирование за выполнение особо важных и срочных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 – выплачивается руководителям учреждений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единовременно по итогам выполнения особо важных и срочных ра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бот с целью поощрения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за оперативность и качественный результат труда.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Премия за выполнение особо важных и срочных работ устанавливается и вы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плачивается по распоряжению администрации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в котором указывается конкретное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задание, выполненное руководителем учреждения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и размер премии.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Размер премии устанавливается в процентном отношении к месячн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ому фонду оплаты труда руководителя учреждения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либо в абсолютной сумме в рублях. Максимальным размером премия за выполнение особо важных и срочных работ не ограничена. Выплата премии производится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начислени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районного коэффициента и полярных надбавок за работу в условиях Крайнего Севера.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4.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Руководителям учр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еждений по решению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Главы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может выплачива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ься единовременная премия и материальная помощь, не обусловленные системой оплаты труда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в твердой денежной сумме.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4.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.1. Единовременная премия выплачивается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размере полутора должностных окладов: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 связи с 50, 55-летием со дня рождения и далее каждые 5 лет;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 связи с юбилейными датами учреждения;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 связи с государственными и профессиональными праздниками;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увольнением в связи с уходом на заслуженный отдых.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4.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При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наличии экономии по фонду оплаты труда материальная помощь руководителю учреждения может выплачиваться в связи: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 свадьбой, рождением ребенка – в размере 5000 рублей;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 смертью руководителя или членов его семьи (супруг, дети и родители обоих супругов) -  в размере 10000 рублей;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 тяжелым материальным положением, вызванным иными вескими причинами – в размере до полутора должностных окладов (в зависимости от конкретной ситуации).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4.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 указанные единовременные премии и материальную помощь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предусмотренные пункт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ом 4.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Положения,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начисление райо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нного коэффициента и полярных 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адбавок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за работу в условиях Крайнего Севера не производится.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4.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7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о выплате единовременной премии 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материальной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помощи принимает Глава Печенгского муниципального округа на основании письменного заявления руководителя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учреждения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и оформляется распоряжением администрации Печенгского муниципального округа.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sectPr>
      <w:headerReference w:type="default" r:id="rId9"/>
      <w:footnotePr/>
      <w:endnotePr/>
      <w:type w:val="nextPage"/>
      <w:pgSz w:w="11909" w:h="16834" w:orient="portrait"/>
      <w:pgMar w:top="1134" w:right="850" w:bottom="1134" w:left="1701" w:header="720" w:footer="720" w:gutter="0"/>
      <w:cols w:num="1" w:sep="0" w:space="6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Times New Roman">
    <w:panose1 w:val="02020603050405020304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3.4.%1."/>
      <w:legacy w:legacy="1" w:legacyIndent="691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4.%1."/>
      <w:legacy w:legacy="1" w:legacyIndent="684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0" w:firstLine="0"/>
        <w:tabs>
          <w:tab w:val="num" w:pos="284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240" w:hanging="144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  <w:tabs>
          <w:tab w:val="num" w:pos="175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1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  <w:tabs>
          <w:tab w:val="num" w:pos="108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  <w:tabs>
          <w:tab w:val="num" w:pos="216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  <w:tabs>
          <w:tab w:val="num" w:pos="288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  <w:tabs>
          <w:tab w:val="num" w:pos="39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  <w:tabs>
          <w:tab w:val="num" w:pos="46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  <w:tabs>
          <w:tab w:val="num" w:pos="57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  <w:tabs>
          <w:tab w:val="num" w:pos="64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  <w:tabs>
          <w:tab w:val="num" w:pos="7560" w:leader="none"/>
        </w:tabs>
      </w:pPr>
      <w:rPr>
        <w:rFonts w:hint="default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9">
    <w:multiLevelType w:val="hybridMultilevel"/>
    <w:lvl w:ilvl="0">
      <w:start w:val="3"/>
      <w:numFmt w:val="decimal"/>
      <w:isLgl w:val="false"/>
      <w:suff w:val="tab"/>
      <w:lvlText w:val="3.2.%1."/>
      <w:legacy w:legacy="1" w:legacyIndent="122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288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577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830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118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37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660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912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016" w:hanging="1800"/>
      </w:pPr>
      <w:rPr>
        <w:rFonts w:hint="default"/>
      </w:rPr>
    </w:lvl>
  </w:abstractNum>
  <w:abstractNum w:abstractNumId="2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2"/>
      <w:numFmt w:val="decimal"/>
      <w:isLgl w:val="false"/>
      <w:suff w:val="tab"/>
      <w:lvlText w:val="3.1.%1."/>
      <w:legacy w:legacy="1" w:legacyIndent="1224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lvl w:ilvl="0">
      <w:start w:val="3"/>
      <w:numFmt w:val="decimal"/>
      <w:isLgl w:val="false"/>
      <w:suff w:val="tab"/>
      <w:lvlText w:val="5.%1."/>
      <w:legacy w:legacy="1" w:legacyIndent="46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5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isLgl w:val="false"/>
      <w:suff w:val="tab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8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6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3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0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7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4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2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9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647" w:hanging="180"/>
      </w:pPr>
    </w:lvl>
  </w:abstractNum>
  <w:abstractNum w:abstractNumId="2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egacy w:legacy="1" w:legacyIndent="370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0">
    <w:multiLevelType w:val="hybridMultilevel"/>
    <w:lvl w:ilvl="0">
      <w:start w:val="4"/>
      <w:numFmt w:val="decimal"/>
      <w:isLgl w:val="false"/>
      <w:suff w:val="tab"/>
      <w:lvlText w:val="3.4.%1."/>
      <w:legacy w:legacy="1" w:legacyIndent="72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28"/>
  </w:num>
  <w:num w:numId="2">
    <w:abstractNumId w:val="13"/>
    <w:lvlOverride w:ilvl="0">
      <w:lvl w:ilvl="0">
        <w:start w:val="65535"/>
        <w:numFmt w:val="bullet"/>
        <w:isLgl w:val="false"/>
        <w:suff w:val="tab"/>
        <w:lvlText w:val="-"/>
        <w:legacy w:legacy="1" w:legacyIndent="18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3">
    <w:abstractNumId w:val="23"/>
  </w:num>
  <w:num w:numId="4">
    <w:abstractNumId w:val="19"/>
  </w:num>
  <w:num w:numId="5">
    <w:abstractNumId w:val="3"/>
  </w:num>
  <w:num w:numId="6">
    <w:abstractNumId w:val="30"/>
  </w:num>
  <w:num w:numId="7">
    <w:abstractNumId w:val="4"/>
  </w:num>
  <w:num w:numId="8">
    <w:abstractNumId w:val="24"/>
  </w:num>
  <w:num w:numId="9">
    <w:abstractNumId w:val="5"/>
  </w:num>
  <w:num w:numId="10">
    <w:abstractNumId w:val="2"/>
  </w:num>
  <w:num w:numId="11">
    <w:abstractNumId w:val="26"/>
  </w:num>
  <w:num w:numId="12">
    <w:abstractNumId w:val="33"/>
  </w:num>
  <w:num w:numId="13">
    <w:abstractNumId w:val="6"/>
  </w:num>
  <w:num w:numId="14">
    <w:abstractNumId w:val="20"/>
  </w:num>
  <w:num w:numId="15">
    <w:abstractNumId w:val="18"/>
  </w:num>
  <w:num w:numId="16">
    <w:abstractNumId w:val="31"/>
  </w:num>
  <w:num w:numId="17">
    <w:abstractNumId w:val="21"/>
  </w:num>
  <w:num w:numId="18">
    <w:abstractNumId w:val="25"/>
  </w:num>
  <w:num w:numId="19">
    <w:abstractNumId w:val="9"/>
  </w:num>
  <w:num w:numId="20">
    <w:abstractNumId w:val="0"/>
  </w:num>
  <w:num w:numId="21">
    <w:abstractNumId w:val="1"/>
  </w:num>
  <w:num w:numId="22">
    <w:abstractNumId w:val="32"/>
  </w:num>
  <w:num w:numId="23">
    <w:abstractNumId w:val="12"/>
  </w:num>
  <w:num w:numId="24">
    <w:abstractNumId w:val="10"/>
  </w:num>
  <w:num w:numId="25">
    <w:abstractNumId w:val="15"/>
  </w:num>
  <w:num w:numId="26">
    <w:abstractNumId w:val="27"/>
  </w:num>
  <w:num w:numId="27">
    <w:abstractNumId w:val="8"/>
  </w:num>
  <w:num w:numId="28">
    <w:abstractNumId w:val="11"/>
  </w:num>
  <w:num w:numId="29">
    <w:abstractNumId w:val="22"/>
  </w:num>
  <w:num w:numId="30">
    <w:abstractNumId w:val="7"/>
  </w:num>
  <w:num w:numId="31">
    <w:abstractNumId w:val="17"/>
  </w:num>
  <w:num w:numId="32">
    <w:abstractNumId w:val="29"/>
  </w:num>
  <w:num w:numId="33">
    <w:abstractNumId w:val="16"/>
  </w:num>
  <w:num w:numId="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2">
    <w:name w:val="Heading 1 Char"/>
    <w:basedOn w:val="747"/>
    <w:link w:val="738"/>
    <w:uiPriority w:val="9"/>
    <w:rPr>
      <w:rFonts w:ascii="Arial" w:hAnsi="Arial" w:eastAsia="Arial" w:cs="Arial"/>
      <w:sz w:val="40"/>
      <w:szCs w:val="40"/>
    </w:rPr>
  </w:style>
  <w:style w:type="character" w:styleId="723">
    <w:name w:val="Heading 2 Char"/>
    <w:basedOn w:val="747"/>
    <w:link w:val="739"/>
    <w:uiPriority w:val="9"/>
    <w:rPr>
      <w:rFonts w:ascii="Arial" w:hAnsi="Arial" w:eastAsia="Arial" w:cs="Arial"/>
      <w:sz w:val="34"/>
    </w:rPr>
  </w:style>
  <w:style w:type="character" w:styleId="724">
    <w:name w:val="Heading 3 Char"/>
    <w:basedOn w:val="747"/>
    <w:link w:val="740"/>
    <w:uiPriority w:val="9"/>
    <w:rPr>
      <w:rFonts w:ascii="Arial" w:hAnsi="Arial" w:eastAsia="Arial" w:cs="Arial"/>
      <w:sz w:val="30"/>
      <w:szCs w:val="30"/>
    </w:rPr>
  </w:style>
  <w:style w:type="character" w:styleId="725">
    <w:name w:val="Heading 5 Char"/>
    <w:basedOn w:val="747"/>
    <w:link w:val="742"/>
    <w:uiPriority w:val="9"/>
    <w:rPr>
      <w:rFonts w:ascii="Arial" w:hAnsi="Arial" w:eastAsia="Arial" w:cs="Arial"/>
      <w:b/>
      <w:bCs/>
      <w:sz w:val="24"/>
      <w:szCs w:val="24"/>
    </w:rPr>
  </w:style>
  <w:style w:type="character" w:styleId="726">
    <w:name w:val="Heading 6 Char"/>
    <w:basedOn w:val="747"/>
    <w:link w:val="743"/>
    <w:uiPriority w:val="9"/>
    <w:rPr>
      <w:rFonts w:ascii="Arial" w:hAnsi="Arial" w:eastAsia="Arial" w:cs="Arial"/>
      <w:b/>
      <w:bCs/>
      <w:sz w:val="22"/>
      <w:szCs w:val="22"/>
    </w:rPr>
  </w:style>
  <w:style w:type="character" w:styleId="727">
    <w:name w:val="Heading 7 Char"/>
    <w:basedOn w:val="747"/>
    <w:link w:val="74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8">
    <w:name w:val="Heading 8 Char"/>
    <w:basedOn w:val="747"/>
    <w:link w:val="745"/>
    <w:uiPriority w:val="9"/>
    <w:rPr>
      <w:rFonts w:ascii="Arial" w:hAnsi="Arial" w:eastAsia="Arial" w:cs="Arial"/>
      <w:i/>
      <w:iCs/>
      <w:sz w:val="22"/>
      <w:szCs w:val="22"/>
    </w:rPr>
  </w:style>
  <w:style w:type="character" w:styleId="729">
    <w:name w:val="Heading 9 Char"/>
    <w:basedOn w:val="747"/>
    <w:link w:val="746"/>
    <w:uiPriority w:val="9"/>
    <w:rPr>
      <w:rFonts w:ascii="Arial" w:hAnsi="Arial" w:eastAsia="Arial" w:cs="Arial"/>
      <w:i/>
      <w:iCs/>
      <w:sz w:val="21"/>
      <w:szCs w:val="21"/>
    </w:rPr>
  </w:style>
  <w:style w:type="character" w:styleId="730">
    <w:name w:val="Title Char"/>
    <w:basedOn w:val="747"/>
    <w:link w:val="760"/>
    <w:uiPriority w:val="10"/>
    <w:rPr>
      <w:sz w:val="48"/>
      <w:szCs w:val="48"/>
    </w:rPr>
  </w:style>
  <w:style w:type="character" w:styleId="731">
    <w:name w:val="Subtitle Char"/>
    <w:basedOn w:val="747"/>
    <w:link w:val="762"/>
    <w:uiPriority w:val="11"/>
    <w:rPr>
      <w:sz w:val="24"/>
      <w:szCs w:val="24"/>
    </w:rPr>
  </w:style>
  <w:style w:type="character" w:styleId="732">
    <w:name w:val="Quote Char"/>
    <w:link w:val="764"/>
    <w:uiPriority w:val="29"/>
    <w:rPr>
      <w:i/>
    </w:rPr>
  </w:style>
  <w:style w:type="character" w:styleId="733">
    <w:name w:val="Intense Quote Char"/>
    <w:link w:val="766"/>
    <w:uiPriority w:val="30"/>
    <w:rPr>
      <w:i/>
    </w:rPr>
  </w:style>
  <w:style w:type="character" w:styleId="734">
    <w:name w:val="Caption Char"/>
    <w:basedOn w:val="770"/>
    <w:link w:val="768"/>
    <w:uiPriority w:val="99"/>
  </w:style>
  <w:style w:type="character" w:styleId="735">
    <w:name w:val="Footnote Text Char"/>
    <w:link w:val="899"/>
    <w:uiPriority w:val="99"/>
    <w:rPr>
      <w:sz w:val="18"/>
    </w:rPr>
  </w:style>
  <w:style w:type="character" w:styleId="736">
    <w:name w:val="Endnote Text Char"/>
    <w:link w:val="902"/>
    <w:uiPriority w:val="99"/>
    <w:rPr>
      <w:sz w:val="20"/>
    </w:rPr>
  </w:style>
  <w:style w:type="paragraph" w:styleId="737" w:default="1">
    <w:name w:val="Normal"/>
    <w:qFormat/>
    <w:rPr>
      <w:rFonts w:eastAsia="Calibri"/>
    </w:rPr>
  </w:style>
  <w:style w:type="paragraph" w:styleId="738">
    <w:name w:val="Heading 1"/>
    <w:basedOn w:val="737"/>
    <w:next w:val="737"/>
    <w:link w:val="75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39">
    <w:name w:val="Heading 2"/>
    <w:basedOn w:val="737"/>
    <w:next w:val="737"/>
    <w:link w:val="75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40">
    <w:name w:val="Heading 3"/>
    <w:basedOn w:val="737"/>
    <w:next w:val="737"/>
    <w:link w:val="75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1">
    <w:name w:val="Heading 4"/>
    <w:basedOn w:val="737"/>
    <w:next w:val="737"/>
    <w:link w:val="916"/>
    <w:qFormat/>
    <w:pPr>
      <w:ind w:firstLine="709"/>
      <w:keepNext/>
      <w:outlineLvl w:val="3"/>
    </w:pPr>
    <w:rPr>
      <w:sz w:val="28"/>
    </w:rPr>
  </w:style>
  <w:style w:type="paragraph" w:styleId="742">
    <w:name w:val="Heading 5"/>
    <w:basedOn w:val="737"/>
    <w:next w:val="737"/>
    <w:link w:val="75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3">
    <w:name w:val="Heading 6"/>
    <w:basedOn w:val="737"/>
    <w:next w:val="737"/>
    <w:link w:val="7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4">
    <w:name w:val="Heading 7"/>
    <w:basedOn w:val="737"/>
    <w:next w:val="737"/>
    <w:link w:val="75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5">
    <w:name w:val="Heading 8"/>
    <w:basedOn w:val="737"/>
    <w:next w:val="737"/>
    <w:link w:val="7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6">
    <w:name w:val="Heading 9"/>
    <w:basedOn w:val="737"/>
    <w:next w:val="737"/>
    <w:link w:val="75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7" w:default="1">
    <w:name w:val="Default Paragraph Font"/>
    <w:uiPriority w:val="1"/>
    <w:semiHidden/>
    <w:unhideWhenUsed/>
  </w:style>
  <w:style w:type="table" w:styleId="74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9" w:default="1">
    <w:name w:val="No List"/>
    <w:uiPriority w:val="99"/>
    <w:semiHidden/>
    <w:unhideWhenUsed/>
  </w:style>
  <w:style w:type="character" w:styleId="750" w:customStyle="1">
    <w:name w:val="Заголовок 1 Знак"/>
    <w:basedOn w:val="747"/>
    <w:link w:val="738"/>
    <w:uiPriority w:val="9"/>
    <w:rPr>
      <w:rFonts w:ascii="Arial" w:hAnsi="Arial" w:eastAsia="Arial" w:cs="Arial"/>
      <w:sz w:val="40"/>
      <w:szCs w:val="40"/>
    </w:rPr>
  </w:style>
  <w:style w:type="character" w:styleId="751" w:customStyle="1">
    <w:name w:val="Заголовок 2 Знак"/>
    <w:basedOn w:val="747"/>
    <w:link w:val="739"/>
    <w:uiPriority w:val="9"/>
    <w:rPr>
      <w:rFonts w:ascii="Arial" w:hAnsi="Arial" w:eastAsia="Arial" w:cs="Arial"/>
      <w:sz w:val="34"/>
    </w:rPr>
  </w:style>
  <w:style w:type="character" w:styleId="752" w:customStyle="1">
    <w:name w:val="Заголовок 3 Знак"/>
    <w:basedOn w:val="747"/>
    <w:link w:val="740"/>
    <w:uiPriority w:val="9"/>
    <w:rPr>
      <w:rFonts w:ascii="Arial" w:hAnsi="Arial" w:eastAsia="Arial" w:cs="Arial"/>
      <w:sz w:val="30"/>
      <w:szCs w:val="30"/>
    </w:rPr>
  </w:style>
  <w:style w:type="character" w:styleId="753" w:customStyle="1">
    <w:name w:val="Heading 4 Char"/>
    <w:basedOn w:val="747"/>
    <w:uiPriority w:val="9"/>
    <w:rPr>
      <w:rFonts w:ascii="Arial" w:hAnsi="Arial" w:eastAsia="Arial" w:cs="Arial"/>
      <w:b/>
      <w:bCs/>
      <w:sz w:val="26"/>
      <w:szCs w:val="26"/>
    </w:rPr>
  </w:style>
  <w:style w:type="character" w:styleId="754" w:customStyle="1">
    <w:name w:val="Заголовок 5 Знак"/>
    <w:basedOn w:val="747"/>
    <w:link w:val="742"/>
    <w:uiPriority w:val="9"/>
    <w:rPr>
      <w:rFonts w:ascii="Arial" w:hAnsi="Arial" w:eastAsia="Arial" w:cs="Arial"/>
      <w:b/>
      <w:bCs/>
      <w:sz w:val="24"/>
      <w:szCs w:val="24"/>
    </w:rPr>
  </w:style>
  <w:style w:type="character" w:styleId="755" w:customStyle="1">
    <w:name w:val="Заголовок 6 Знак"/>
    <w:basedOn w:val="747"/>
    <w:link w:val="743"/>
    <w:uiPriority w:val="9"/>
    <w:rPr>
      <w:rFonts w:ascii="Arial" w:hAnsi="Arial" w:eastAsia="Arial" w:cs="Arial"/>
      <w:b/>
      <w:bCs/>
      <w:sz w:val="22"/>
      <w:szCs w:val="22"/>
    </w:rPr>
  </w:style>
  <w:style w:type="character" w:styleId="756" w:customStyle="1">
    <w:name w:val="Заголовок 7 Знак"/>
    <w:basedOn w:val="747"/>
    <w:link w:val="74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7" w:customStyle="1">
    <w:name w:val="Заголовок 8 Знак"/>
    <w:basedOn w:val="747"/>
    <w:link w:val="745"/>
    <w:uiPriority w:val="9"/>
    <w:rPr>
      <w:rFonts w:ascii="Arial" w:hAnsi="Arial" w:eastAsia="Arial" w:cs="Arial"/>
      <w:i/>
      <w:iCs/>
      <w:sz w:val="22"/>
      <w:szCs w:val="22"/>
    </w:rPr>
  </w:style>
  <w:style w:type="character" w:styleId="758" w:customStyle="1">
    <w:name w:val="Заголовок 9 Знак"/>
    <w:basedOn w:val="747"/>
    <w:link w:val="746"/>
    <w:uiPriority w:val="9"/>
    <w:rPr>
      <w:rFonts w:ascii="Arial" w:hAnsi="Arial" w:eastAsia="Arial" w:cs="Arial"/>
      <w:i/>
      <w:iCs/>
      <w:sz w:val="21"/>
      <w:szCs w:val="21"/>
    </w:rPr>
  </w:style>
  <w:style w:type="paragraph" w:styleId="759">
    <w:name w:val="No Spacing"/>
    <w:uiPriority w:val="1"/>
    <w:qFormat/>
  </w:style>
  <w:style w:type="paragraph" w:styleId="760">
    <w:name w:val="Title"/>
    <w:basedOn w:val="737"/>
    <w:next w:val="737"/>
    <w:link w:val="76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1" w:customStyle="1">
    <w:name w:val="Название Знак"/>
    <w:basedOn w:val="747"/>
    <w:link w:val="760"/>
    <w:uiPriority w:val="10"/>
    <w:rPr>
      <w:sz w:val="48"/>
      <w:szCs w:val="48"/>
    </w:rPr>
  </w:style>
  <w:style w:type="paragraph" w:styleId="762">
    <w:name w:val="Subtitle"/>
    <w:basedOn w:val="737"/>
    <w:next w:val="737"/>
    <w:link w:val="763"/>
    <w:uiPriority w:val="11"/>
    <w:qFormat/>
    <w:pPr>
      <w:spacing w:before="200" w:after="200"/>
    </w:pPr>
    <w:rPr>
      <w:sz w:val="24"/>
      <w:szCs w:val="24"/>
    </w:rPr>
  </w:style>
  <w:style w:type="character" w:styleId="763" w:customStyle="1">
    <w:name w:val="Подзаголовок Знак"/>
    <w:basedOn w:val="747"/>
    <w:link w:val="762"/>
    <w:uiPriority w:val="11"/>
    <w:rPr>
      <w:sz w:val="24"/>
      <w:szCs w:val="24"/>
    </w:rPr>
  </w:style>
  <w:style w:type="paragraph" w:styleId="764">
    <w:name w:val="Quote"/>
    <w:basedOn w:val="737"/>
    <w:next w:val="737"/>
    <w:link w:val="765"/>
    <w:uiPriority w:val="29"/>
    <w:qFormat/>
    <w:pPr>
      <w:ind w:left="720" w:right="720"/>
    </w:pPr>
    <w:rPr>
      <w:i/>
    </w:rPr>
  </w:style>
  <w:style w:type="character" w:styleId="765" w:customStyle="1">
    <w:name w:val="Цитата 2 Знак"/>
    <w:link w:val="764"/>
    <w:uiPriority w:val="29"/>
    <w:rPr>
      <w:i/>
    </w:rPr>
  </w:style>
  <w:style w:type="paragraph" w:styleId="766">
    <w:name w:val="Intense Quote"/>
    <w:basedOn w:val="737"/>
    <w:next w:val="737"/>
    <w:link w:val="76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7" w:customStyle="1">
    <w:name w:val="Выделенная цитата Знак"/>
    <w:link w:val="766"/>
    <w:uiPriority w:val="30"/>
    <w:rPr>
      <w:i/>
    </w:rPr>
  </w:style>
  <w:style w:type="paragraph" w:styleId="768">
    <w:name w:val="Footer"/>
    <w:basedOn w:val="737"/>
    <w:link w:val="77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9" w:customStyle="1">
    <w:name w:val="Footer Char"/>
    <w:basedOn w:val="747"/>
    <w:uiPriority w:val="99"/>
  </w:style>
  <w:style w:type="paragraph" w:styleId="770">
    <w:name w:val="Caption"/>
    <w:basedOn w:val="737"/>
    <w:next w:val="73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1" w:customStyle="1">
    <w:name w:val="Нижний колонтитул Знак"/>
    <w:link w:val="768"/>
    <w:uiPriority w:val="99"/>
  </w:style>
  <w:style w:type="table" w:styleId="772">
    <w:name w:val="Table Grid"/>
    <w:basedOn w:val="74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73" w:customStyle="1">
    <w:name w:val="Table Grid Light"/>
    <w:basedOn w:val="74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4" w:customStyle="1">
    <w:name w:val="Plain Table 1"/>
    <w:basedOn w:val="74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5" w:customStyle="1">
    <w:name w:val="Plain Table 2"/>
    <w:basedOn w:val="74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6" w:customStyle="1">
    <w:name w:val="Plain Table 3"/>
    <w:basedOn w:val="74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7" w:customStyle="1">
    <w:name w:val="Plain Table 4"/>
    <w:basedOn w:val="74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Plain Table 5"/>
    <w:basedOn w:val="74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1 Light"/>
    <w:basedOn w:val="74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1"/>
    <w:basedOn w:val="74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2"/>
    <w:basedOn w:val="74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3"/>
    <w:basedOn w:val="74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4"/>
    <w:basedOn w:val="74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5"/>
    <w:basedOn w:val="74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6"/>
    <w:basedOn w:val="74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2"/>
    <w:basedOn w:val="74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1"/>
    <w:basedOn w:val="74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2"/>
    <w:basedOn w:val="74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3"/>
    <w:basedOn w:val="74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4"/>
    <w:basedOn w:val="74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5"/>
    <w:basedOn w:val="74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6"/>
    <w:basedOn w:val="74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"/>
    <w:basedOn w:val="74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1"/>
    <w:basedOn w:val="74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2"/>
    <w:basedOn w:val="74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3"/>
    <w:basedOn w:val="74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4"/>
    <w:basedOn w:val="74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5"/>
    <w:basedOn w:val="74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6"/>
    <w:basedOn w:val="74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4"/>
    <w:basedOn w:val="74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1" w:customStyle="1">
    <w:name w:val="Grid Table 4 - Accent 1"/>
    <w:basedOn w:val="74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2" w:customStyle="1">
    <w:name w:val="Grid Table 4 - Accent 2"/>
    <w:basedOn w:val="74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3" w:customStyle="1">
    <w:name w:val="Grid Table 4 - Accent 3"/>
    <w:basedOn w:val="74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4" w:customStyle="1">
    <w:name w:val="Grid Table 4 - Accent 4"/>
    <w:basedOn w:val="74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5" w:customStyle="1">
    <w:name w:val="Grid Table 4 - Accent 5"/>
    <w:basedOn w:val="74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6" w:customStyle="1">
    <w:name w:val="Grid Table 4 - Accent 6"/>
    <w:basedOn w:val="74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7" w:customStyle="1">
    <w:name w:val="Grid Table 5 Dark"/>
    <w:basedOn w:val="74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- Accent 1"/>
    <w:basedOn w:val="74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 - Accent 2"/>
    <w:basedOn w:val="74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3"/>
    <w:basedOn w:val="74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- Accent 4"/>
    <w:basedOn w:val="74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 - Accent 5"/>
    <w:basedOn w:val="74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6"/>
    <w:basedOn w:val="74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6 Colorful"/>
    <w:basedOn w:val="74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5" w:customStyle="1">
    <w:name w:val="Grid Table 6 Colorful - Accent 1"/>
    <w:basedOn w:val="74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6" w:customStyle="1">
    <w:name w:val="Grid Table 6 Colorful - Accent 2"/>
    <w:basedOn w:val="74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7" w:customStyle="1">
    <w:name w:val="Grid Table 6 Colorful - Accent 3"/>
    <w:basedOn w:val="74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8" w:customStyle="1">
    <w:name w:val="Grid Table 6 Colorful - Accent 4"/>
    <w:basedOn w:val="74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9" w:customStyle="1">
    <w:name w:val="Grid Table 6 Colorful - Accent 5"/>
    <w:basedOn w:val="74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0" w:customStyle="1">
    <w:name w:val="Grid Table 6 Colorful - Accent 6"/>
    <w:basedOn w:val="74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1" w:customStyle="1">
    <w:name w:val="Grid Table 7 Colorful"/>
    <w:basedOn w:val="74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Grid Table 7 Colorful - Accent 1"/>
    <w:basedOn w:val="74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2"/>
    <w:basedOn w:val="74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3"/>
    <w:basedOn w:val="74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4"/>
    <w:basedOn w:val="74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5"/>
    <w:basedOn w:val="74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6"/>
    <w:basedOn w:val="74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st Table 1 Light"/>
    <w:basedOn w:val="74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1"/>
    <w:basedOn w:val="74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2"/>
    <w:basedOn w:val="74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3"/>
    <w:basedOn w:val="74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4"/>
    <w:basedOn w:val="74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5"/>
    <w:basedOn w:val="74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6"/>
    <w:basedOn w:val="74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2"/>
    <w:basedOn w:val="74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1"/>
    <w:basedOn w:val="74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2"/>
    <w:basedOn w:val="74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3"/>
    <w:basedOn w:val="74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4"/>
    <w:basedOn w:val="74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5"/>
    <w:basedOn w:val="74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6"/>
    <w:basedOn w:val="74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2" w:customStyle="1">
    <w:name w:val="List Table 3"/>
    <w:basedOn w:val="74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1"/>
    <w:basedOn w:val="74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2"/>
    <w:basedOn w:val="74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3"/>
    <w:basedOn w:val="74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4"/>
    <w:basedOn w:val="74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5"/>
    <w:basedOn w:val="74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6"/>
    <w:basedOn w:val="74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"/>
    <w:basedOn w:val="74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1"/>
    <w:basedOn w:val="74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2"/>
    <w:basedOn w:val="74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3"/>
    <w:basedOn w:val="74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4"/>
    <w:basedOn w:val="74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5"/>
    <w:basedOn w:val="74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6"/>
    <w:basedOn w:val="74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5 Dark"/>
    <w:basedOn w:val="74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 w:customStyle="1">
    <w:name w:val="List Table 5 Dark - Accent 1"/>
    <w:basedOn w:val="74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2"/>
    <w:basedOn w:val="74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3"/>
    <w:basedOn w:val="74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4"/>
    <w:basedOn w:val="74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5"/>
    <w:basedOn w:val="74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6"/>
    <w:basedOn w:val="74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6 Colorful"/>
    <w:basedOn w:val="74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4" w:customStyle="1">
    <w:name w:val="List Table 6 Colorful - Accent 1"/>
    <w:basedOn w:val="74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5" w:customStyle="1">
    <w:name w:val="List Table 6 Colorful - Accent 2"/>
    <w:basedOn w:val="74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6" w:customStyle="1">
    <w:name w:val="List Table 6 Colorful - Accent 3"/>
    <w:basedOn w:val="74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7" w:customStyle="1">
    <w:name w:val="List Table 6 Colorful - Accent 4"/>
    <w:basedOn w:val="74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8" w:customStyle="1">
    <w:name w:val="List Table 6 Colorful - Accent 5"/>
    <w:basedOn w:val="74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9" w:customStyle="1">
    <w:name w:val="List Table 6 Colorful - Accent 6"/>
    <w:basedOn w:val="74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0" w:customStyle="1">
    <w:name w:val="List Table 7 Colorful"/>
    <w:basedOn w:val="74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List Table 7 Colorful - Accent 1"/>
    <w:basedOn w:val="74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2"/>
    <w:basedOn w:val="74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3"/>
    <w:basedOn w:val="74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4"/>
    <w:basedOn w:val="74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5"/>
    <w:basedOn w:val="74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6"/>
    <w:basedOn w:val="74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ned - Accent"/>
    <w:basedOn w:val="74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8" w:customStyle="1">
    <w:name w:val="Lined - Accent 1"/>
    <w:basedOn w:val="74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9" w:customStyle="1">
    <w:name w:val="Lined - Accent 2"/>
    <w:basedOn w:val="74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0" w:customStyle="1">
    <w:name w:val="Lined - Accent 3"/>
    <w:basedOn w:val="74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1" w:customStyle="1">
    <w:name w:val="Lined - Accent 4"/>
    <w:basedOn w:val="74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2" w:customStyle="1">
    <w:name w:val="Lined - Accent 5"/>
    <w:basedOn w:val="74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3" w:customStyle="1">
    <w:name w:val="Lined - Accent 6"/>
    <w:basedOn w:val="74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4" w:customStyle="1">
    <w:name w:val="Bordered &amp; Lined - Accent"/>
    <w:basedOn w:val="74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5" w:customStyle="1">
    <w:name w:val="Bordered &amp; Lined - Accent 1"/>
    <w:basedOn w:val="74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6" w:customStyle="1">
    <w:name w:val="Bordered &amp; Lined - Accent 2"/>
    <w:basedOn w:val="74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7" w:customStyle="1">
    <w:name w:val="Bordered &amp; Lined - Accent 3"/>
    <w:basedOn w:val="74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8" w:customStyle="1">
    <w:name w:val="Bordered &amp; Lined - Accent 4"/>
    <w:basedOn w:val="74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9" w:customStyle="1">
    <w:name w:val="Bordered &amp; Lined - Accent 5"/>
    <w:basedOn w:val="74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0" w:customStyle="1">
    <w:name w:val="Bordered &amp; Lined - Accent 6"/>
    <w:basedOn w:val="74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1" w:customStyle="1">
    <w:name w:val="Bordered"/>
    <w:basedOn w:val="74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2" w:customStyle="1">
    <w:name w:val="Bordered - Accent 1"/>
    <w:basedOn w:val="74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3" w:customStyle="1">
    <w:name w:val="Bordered - Accent 2"/>
    <w:basedOn w:val="74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4" w:customStyle="1">
    <w:name w:val="Bordered - Accent 3"/>
    <w:basedOn w:val="74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5" w:customStyle="1">
    <w:name w:val="Bordered - Accent 4"/>
    <w:basedOn w:val="74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6" w:customStyle="1">
    <w:name w:val="Bordered - Accent 5"/>
    <w:basedOn w:val="74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7" w:customStyle="1">
    <w:name w:val="Bordered - Accent 6"/>
    <w:basedOn w:val="74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98">
    <w:name w:val="Hyperlink"/>
    <w:uiPriority w:val="99"/>
    <w:unhideWhenUsed/>
    <w:rPr>
      <w:color w:val="0000ff" w:themeColor="hyperlink"/>
      <w:u w:val="single"/>
    </w:rPr>
  </w:style>
  <w:style w:type="paragraph" w:styleId="899">
    <w:name w:val="footnote text"/>
    <w:basedOn w:val="737"/>
    <w:link w:val="900"/>
    <w:uiPriority w:val="99"/>
    <w:semiHidden/>
    <w:unhideWhenUsed/>
    <w:pPr>
      <w:spacing w:after="40"/>
    </w:pPr>
    <w:rPr>
      <w:sz w:val="18"/>
    </w:rPr>
  </w:style>
  <w:style w:type="character" w:styleId="900" w:customStyle="1">
    <w:name w:val="Текст сноски Знак"/>
    <w:link w:val="899"/>
    <w:uiPriority w:val="99"/>
    <w:rPr>
      <w:sz w:val="18"/>
    </w:rPr>
  </w:style>
  <w:style w:type="character" w:styleId="901">
    <w:name w:val="footnote reference"/>
    <w:basedOn w:val="747"/>
    <w:uiPriority w:val="99"/>
    <w:unhideWhenUsed/>
    <w:rPr>
      <w:vertAlign w:val="superscript"/>
    </w:rPr>
  </w:style>
  <w:style w:type="paragraph" w:styleId="902">
    <w:name w:val="endnote text"/>
    <w:basedOn w:val="737"/>
    <w:link w:val="903"/>
    <w:uiPriority w:val="99"/>
    <w:semiHidden/>
    <w:unhideWhenUsed/>
  </w:style>
  <w:style w:type="character" w:styleId="903" w:customStyle="1">
    <w:name w:val="Текст концевой сноски Знак"/>
    <w:link w:val="902"/>
    <w:uiPriority w:val="99"/>
    <w:rPr>
      <w:sz w:val="20"/>
    </w:rPr>
  </w:style>
  <w:style w:type="character" w:styleId="904">
    <w:name w:val="endnote reference"/>
    <w:basedOn w:val="747"/>
    <w:uiPriority w:val="99"/>
    <w:semiHidden/>
    <w:unhideWhenUsed/>
    <w:rPr>
      <w:vertAlign w:val="superscript"/>
    </w:rPr>
  </w:style>
  <w:style w:type="paragraph" w:styleId="905">
    <w:name w:val="toc 1"/>
    <w:basedOn w:val="737"/>
    <w:next w:val="737"/>
    <w:uiPriority w:val="39"/>
    <w:unhideWhenUsed/>
    <w:pPr>
      <w:spacing w:after="57"/>
    </w:pPr>
  </w:style>
  <w:style w:type="paragraph" w:styleId="906">
    <w:name w:val="toc 2"/>
    <w:basedOn w:val="737"/>
    <w:next w:val="737"/>
    <w:uiPriority w:val="39"/>
    <w:unhideWhenUsed/>
    <w:pPr>
      <w:ind w:left="283"/>
      <w:spacing w:after="57"/>
    </w:pPr>
  </w:style>
  <w:style w:type="paragraph" w:styleId="907">
    <w:name w:val="toc 3"/>
    <w:basedOn w:val="737"/>
    <w:next w:val="737"/>
    <w:uiPriority w:val="39"/>
    <w:unhideWhenUsed/>
    <w:pPr>
      <w:ind w:left="567"/>
      <w:spacing w:after="57"/>
    </w:pPr>
  </w:style>
  <w:style w:type="paragraph" w:styleId="908">
    <w:name w:val="toc 4"/>
    <w:basedOn w:val="737"/>
    <w:next w:val="737"/>
    <w:uiPriority w:val="39"/>
    <w:unhideWhenUsed/>
    <w:pPr>
      <w:ind w:left="850"/>
      <w:spacing w:after="57"/>
    </w:pPr>
  </w:style>
  <w:style w:type="paragraph" w:styleId="909">
    <w:name w:val="toc 5"/>
    <w:basedOn w:val="737"/>
    <w:next w:val="737"/>
    <w:uiPriority w:val="39"/>
    <w:unhideWhenUsed/>
    <w:pPr>
      <w:ind w:left="1134"/>
      <w:spacing w:after="57"/>
    </w:pPr>
  </w:style>
  <w:style w:type="paragraph" w:styleId="910">
    <w:name w:val="toc 6"/>
    <w:basedOn w:val="737"/>
    <w:next w:val="737"/>
    <w:uiPriority w:val="39"/>
    <w:unhideWhenUsed/>
    <w:pPr>
      <w:ind w:left="1417"/>
      <w:spacing w:after="57"/>
    </w:pPr>
  </w:style>
  <w:style w:type="paragraph" w:styleId="911">
    <w:name w:val="toc 7"/>
    <w:basedOn w:val="737"/>
    <w:next w:val="737"/>
    <w:uiPriority w:val="39"/>
    <w:unhideWhenUsed/>
    <w:pPr>
      <w:ind w:left="1701"/>
      <w:spacing w:after="57"/>
    </w:pPr>
  </w:style>
  <w:style w:type="paragraph" w:styleId="912">
    <w:name w:val="toc 8"/>
    <w:basedOn w:val="737"/>
    <w:next w:val="737"/>
    <w:uiPriority w:val="39"/>
    <w:unhideWhenUsed/>
    <w:pPr>
      <w:ind w:left="1984"/>
      <w:spacing w:after="57"/>
    </w:pPr>
  </w:style>
  <w:style w:type="paragraph" w:styleId="913">
    <w:name w:val="toc 9"/>
    <w:basedOn w:val="737"/>
    <w:next w:val="737"/>
    <w:uiPriority w:val="39"/>
    <w:unhideWhenUsed/>
    <w:pPr>
      <w:ind w:left="2268"/>
      <w:spacing w:after="57"/>
    </w:pPr>
  </w:style>
  <w:style w:type="paragraph" w:styleId="914">
    <w:name w:val="TOC Heading"/>
    <w:uiPriority w:val="39"/>
    <w:unhideWhenUsed/>
  </w:style>
  <w:style w:type="paragraph" w:styleId="915">
    <w:name w:val="table of figures"/>
    <w:basedOn w:val="737"/>
    <w:next w:val="737"/>
    <w:uiPriority w:val="99"/>
    <w:unhideWhenUsed/>
  </w:style>
  <w:style w:type="character" w:styleId="916" w:customStyle="1">
    <w:name w:val="Заголовок 4 Знак"/>
    <w:link w:val="741"/>
    <w:rPr>
      <w:rFonts w:eastAsia="Calibri"/>
      <w:sz w:val="28"/>
      <w:lang w:val="ru-RU" w:eastAsia="ru-RU" w:bidi="ar-SA"/>
    </w:rPr>
  </w:style>
  <w:style w:type="paragraph" w:styleId="917" w:customStyle="1">
    <w:name w:val="Абзац списка1"/>
    <w:basedOn w:val="737"/>
    <w:pPr>
      <w:contextualSpacing/>
      <w:ind w:left="720"/>
    </w:pPr>
  </w:style>
  <w:style w:type="paragraph" w:styleId="918">
    <w:name w:val="Body Text"/>
    <w:basedOn w:val="737"/>
    <w:link w:val="919"/>
    <w:pPr>
      <w:jc w:val="both"/>
    </w:pPr>
    <w:rPr>
      <w:sz w:val="24"/>
    </w:rPr>
  </w:style>
  <w:style w:type="character" w:styleId="919" w:customStyle="1">
    <w:name w:val="Основной текст Знак"/>
    <w:link w:val="918"/>
    <w:rPr>
      <w:rFonts w:eastAsia="Calibri"/>
      <w:sz w:val="24"/>
      <w:lang w:val="ru-RU" w:eastAsia="ru-RU" w:bidi="ar-SA"/>
    </w:rPr>
  </w:style>
  <w:style w:type="paragraph" w:styleId="920">
    <w:name w:val="Body Text Indent"/>
    <w:basedOn w:val="737"/>
    <w:link w:val="921"/>
    <w:semiHidden/>
    <w:pPr>
      <w:ind w:right="76" w:firstLine="900"/>
      <w:jc w:val="both"/>
    </w:pPr>
    <w:rPr>
      <w:sz w:val="24"/>
    </w:rPr>
  </w:style>
  <w:style w:type="character" w:styleId="921" w:customStyle="1">
    <w:name w:val="Основной текст с отступом Знак"/>
    <w:link w:val="920"/>
    <w:semiHidden/>
    <w:rPr>
      <w:rFonts w:eastAsia="Calibri"/>
      <w:sz w:val="24"/>
      <w:lang w:val="ru-RU" w:eastAsia="ru-RU" w:bidi="ar-SA"/>
    </w:rPr>
  </w:style>
  <w:style w:type="paragraph" w:styleId="922">
    <w:name w:val="Body Text Indent 2"/>
    <w:basedOn w:val="737"/>
    <w:link w:val="923"/>
    <w:pPr>
      <w:ind w:left="283"/>
      <w:spacing w:after="120" w:line="480" w:lineRule="auto"/>
    </w:pPr>
  </w:style>
  <w:style w:type="character" w:styleId="923" w:customStyle="1">
    <w:name w:val="Основной текст с отступом 2 Знак"/>
    <w:link w:val="922"/>
    <w:rPr>
      <w:rFonts w:eastAsia="Calibri"/>
      <w:lang w:val="ru-RU" w:eastAsia="ru-RU" w:bidi="ar-SA"/>
    </w:rPr>
  </w:style>
  <w:style w:type="paragraph" w:styleId="924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25" w:customStyle="1">
    <w:name w:val="Default"/>
    <w:rPr>
      <w:color w:val="000000"/>
      <w:sz w:val="24"/>
      <w:szCs w:val="24"/>
    </w:rPr>
  </w:style>
  <w:style w:type="paragraph" w:styleId="926">
    <w:name w:val="Balloon Text"/>
    <w:basedOn w:val="737"/>
    <w:link w:val="927"/>
    <w:rPr>
      <w:rFonts w:ascii="Tahoma" w:hAnsi="Tahoma" w:cs="Tahoma"/>
      <w:sz w:val="16"/>
      <w:szCs w:val="16"/>
    </w:rPr>
  </w:style>
  <w:style w:type="character" w:styleId="927" w:customStyle="1">
    <w:name w:val="Текст выноски Знак"/>
    <w:link w:val="926"/>
    <w:rPr>
      <w:rFonts w:ascii="Tahoma" w:hAnsi="Tahoma" w:eastAsia="Calibri" w:cs="Tahoma"/>
      <w:sz w:val="16"/>
      <w:szCs w:val="16"/>
      <w:lang w:val="ru-RU" w:eastAsia="ru-RU" w:bidi="ar-SA"/>
    </w:rPr>
  </w:style>
  <w:style w:type="paragraph" w:styleId="928">
    <w:name w:val="Plain Text"/>
    <w:basedOn w:val="737"/>
    <w:link w:val="929"/>
    <w:rPr>
      <w:rFonts w:ascii="Courier New" w:hAnsi="Courier New" w:eastAsia="Times New Roman" w:cs="Courier New"/>
    </w:rPr>
  </w:style>
  <w:style w:type="character" w:styleId="929" w:customStyle="1">
    <w:name w:val="Текст Знак"/>
    <w:link w:val="928"/>
    <w:rPr>
      <w:rFonts w:ascii="Courier New" w:hAnsi="Courier New" w:cs="Courier New"/>
      <w:lang w:val="ru-RU" w:eastAsia="ru-RU" w:bidi="ar-SA"/>
    </w:rPr>
  </w:style>
  <w:style w:type="paragraph" w:styleId="930">
    <w:name w:val="Header"/>
    <w:basedOn w:val="737"/>
    <w:link w:val="931"/>
    <w:pPr>
      <w:tabs>
        <w:tab w:val="center" w:pos="4677" w:leader="none"/>
        <w:tab w:val="right" w:pos="9355" w:leader="none"/>
      </w:tabs>
    </w:pPr>
    <w:rPr>
      <w:rFonts w:eastAsia="Times New Roman"/>
      <w:sz w:val="24"/>
      <w:szCs w:val="24"/>
    </w:rPr>
  </w:style>
  <w:style w:type="character" w:styleId="931" w:customStyle="1">
    <w:name w:val="Верхний колонтитул Знак"/>
    <w:link w:val="930"/>
    <w:rPr>
      <w:sz w:val="24"/>
      <w:szCs w:val="24"/>
      <w:lang w:val="ru-RU" w:eastAsia="ru-RU" w:bidi="ar-SA"/>
    </w:rPr>
  </w:style>
  <w:style w:type="paragraph" w:styleId="932">
    <w:name w:val="List Paragraph"/>
    <w:basedOn w:val="737"/>
    <w:uiPriority w:val="34"/>
    <w:qFormat/>
    <w:pPr>
      <w:ind w:left="720"/>
    </w:pPr>
    <w:rPr>
      <w:rFonts w:eastAsia="Times New Roman"/>
      <w:sz w:val="24"/>
      <w:szCs w:val="24"/>
    </w:rPr>
  </w:style>
  <w:style w:type="character" w:styleId="933" w:customStyle="1">
    <w:name w:val="Header Char"/>
    <w:rPr>
      <w:rFonts w:ascii="Times New Roman" w:hAnsi="Times New Roman" w:cs="Times New Roman"/>
      <w:sz w:val="24"/>
      <w:szCs w:val="24"/>
      <w:lang w:eastAsia="ru-RU"/>
    </w:rPr>
  </w:style>
  <w:style w:type="paragraph" w:styleId="934" w:customStyle="1">
    <w:name w:val="Без интервала1"/>
    <w:rPr>
      <w:rFonts w:ascii="Calibri" w:hAnsi="Calibri"/>
      <w:sz w:val="22"/>
      <w:szCs w:val="22"/>
      <w:lang w:eastAsia="en-US"/>
    </w:rPr>
  </w:style>
  <w:style w:type="paragraph" w:styleId="935">
    <w:name w:val="Normal (Web)"/>
    <w:basedOn w:val="737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36" w:customStyle="1">
    <w:name w:val="ConsPlusNormal"/>
    <w:rPr>
      <w:b/>
      <w:bCs/>
      <w:sz w:val="24"/>
      <w:szCs w:val="24"/>
    </w:rPr>
  </w:style>
  <w:style w:type="character" w:styleId="937" w:customStyle="1">
    <w:name w:val="WW8Num2z0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https://pechengamr.gov-murman.ru/" TargetMode="External"/><Relationship Id="rId13" Type="http://schemas.openxmlformats.org/officeDocument/2006/relationships/hyperlink" Target="consultantplus://offline/ref=8E88993A0FC8BDC5ADF3F8BAC2FD495AD5A3BB3F059F3BDCC337E9750431B8654EF34C6DC591464C18ECBD2FR8Q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F2A82-3B88-4663-B445-F7303BFA4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Tycoon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ivanovae</dc:creator>
  <cp:revision>9</cp:revision>
  <dcterms:created xsi:type="dcterms:W3CDTF">2024-05-21T06:21:00Z</dcterms:created>
  <dcterms:modified xsi:type="dcterms:W3CDTF">2024-05-29T12:37:21Z</dcterms:modified>
</cp:coreProperties>
</file>