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22.05.2024 </w:t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  <w:t xml:space="preserve">   № 836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О внесении изменений в муниципальную программу</w:t>
      </w:r>
      <w:r>
        <w:rPr>
          <w:rFonts w:ascii="Times New Roman" w:hAnsi="Times New Roman" w:cs="Times New Roman"/>
          <w:b/>
          <w:sz w:val="20"/>
          <w:szCs w:val="20"/>
        </w:rPr>
        <w:t xml:space="preserve"> Печенгского муниципального округа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«Муниципальное управление и гражданское общество» на 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4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-202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6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годы</w:t>
      </w:r>
      <w:r>
        <w:rPr>
          <w:rFonts w:ascii="Times New Roman" w:hAnsi="Times New Roman" w:cs="Times New Roman"/>
          <w:b/>
          <w:sz w:val="20"/>
          <w:szCs w:val="20"/>
        </w:rPr>
        <w:t xml:space="preserve">, утвержденную постановлением администрации Печенгского муниципального округа от </w:t>
      </w:r>
      <w:r>
        <w:rPr>
          <w:rFonts w:ascii="Times New Roman" w:hAnsi="Times New Roman" w:cs="Times New Roman"/>
          <w:b/>
          <w:sz w:val="20"/>
          <w:szCs w:val="20"/>
        </w:rPr>
        <w:t xml:space="preserve">03.11.202</w:t>
      </w:r>
      <w:r>
        <w:rPr>
          <w:rFonts w:ascii="Times New Roman" w:hAnsi="Times New Roman" w:cs="Times New Roman"/>
          <w:b/>
          <w:sz w:val="20"/>
          <w:szCs w:val="20"/>
        </w:rPr>
        <w:t xml:space="preserve">3</w:t>
      </w:r>
      <w:r>
        <w:rPr>
          <w:rFonts w:ascii="Times New Roman" w:hAnsi="Times New Roman" w:cs="Times New Roman"/>
          <w:b/>
          <w:sz w:val="20"/>
          <w:szCs w:val="20"/>
        </w:rPr>
        <w:t xml:space="preserve"> № </w:t>
      </w:r>
      <w:r>
        <w:rPr>
          <w:rFonts w:ascii="Times New Roman" w:hAnsi="Times New Roman" w:cs="Times New Roman"/>
          <w:b/>
          <w:sz w:val="20"/>
          <w:szCs w:val="20"/>
        </w:rPr>
        <w:t xml:space="preserve">1</w:t>
      </w:r>
      <w:r>
        <w:rPr>
          <w:rFonts w:ascii="Times New Roman" w:hAnsi="Times New Roman" w:cs="Times New Roman"/>
          <w:b/>
          <w:sz w:val="20"/>
          <w:szCs w:val="20"/>
        </w:rPr>
        <w:t xml:space="preserve">630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ind w:left="34" w:firstLine="675"/>
        <w:jc w:val="center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left="34" w:firstLine="675"/>
        <w:jc w:val="center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pStyle w:val="919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Руководствуясь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постановлением администрации Печенгск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ого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муниципального округа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от 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6.08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№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838, в целях повышения эффективности использования бюджетных средств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pStyle w:val="925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5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Внести в муниципальную программу </w:t>
      </w:r>
      <w:r>
        <w:rPr>
          <w:sz w:val="24"/>
          <w:szCs w:val="24"/>
        </w:rPr>
        <w:t xml:space="preserve">Печенгского муниципального округа  </w:t>
      </w:r>
      <w:r>
        <w:rPr>
          <w:sz w:val="24"/>
          <w:szCs w:val="24"/>
        </w:rPr>
        <w:t xml:space="preserve">«Муниципальное управление и гражданское общество» на </w:t>
      </w:r>
      <w:r>
        <w:rPr>
          <w:sz w:val="24"/>
          <w:szCs w:val="24"/>
        </w:rPr>
        <w:t xml:space="preserve">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утвержденную постановлением администрации Печенгского муниципального округа от </w:t>
      </w:r>
      <w:r>
        <w:rPr>
          <w:sz w:val="24"/>
          <w:szCs w:val="24"/>
        </w:rPr>
        <w:t xml:space="preserve">03.11.2023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1630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(в редакции постановления администрации Печенгского муниципального округа от 14.03.2024 № 383) </w:t>
      </w:r>
      <w:r>
        <w:rPr>
          <w:sz w:val="24"/>
          <w:szCs w:val="24"/>
        </w:rPr>
        <w:t xml:space="preserve">(далее - Программа)</w:t>
      </w:r>
      <w:r>
        <w:rPr>
          <w:sz w:val="24"/>
          <w:szCs w:val="24"/>
        </w:rPr>
        <w:t xml:space="preserve">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5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«Показатели программы» в паспорте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615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85"/>
        <w:gridCol w:w="7630"/>
      </w:tblGrid>
      <w:tr>
        <w:tblPrEx/>
        <w:trPr>
          <w:jc w:val="center"/>
          <w:trHeight w:val="28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программы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30" w:type="dxa"/>
            <w:textDirection w:val="lrTb"/>
            <w:noWrap w:val="false"/>
          </w:tcPr>
          <w:p>
            <w:pPr>
              <w:contextualSpacing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 Своевременное и эффективное выполнение функций в сфере развития муниципального самоуправления и гражданского общества.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  <w:p>
            <w:pPr>
              <w:contextualSpacing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 Доля муниципальных служащих и лиц, замещавших муниципальные должности, получивших выплаты пенсий за выслугу лет, в общем числе муниципальных служащих и лиц, замещавших муниципальные должности, обратившихся за получением выплаты пенсий за выслугу лет.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  <w:p>
            <w:pPr>
              <w:contextualSpacing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 Отсутствие замечаний Главы округа, его заместителей в части обеспечения деятельности.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  <w:p>
            <w:pPr>
              <w:contextualSpacing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 Доля удовлетворенных заявок на транспортное обеспечение из общего числа поступивших заявок.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  <w:p>
            <w:pPr>
              <w:contextualSpacing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 Количество автомобилей, содержащихся в соответствии с техническими требованиями.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  <w:p>
            <w:pPr>
              <w:contextualSpacing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 Доля удовлетворенных заявок на материально-техническое снабжение и обеспечение средствами связи из общего числа поступивших заявок.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  <w:p>
            <w:pPr>
              <w:contextualSpacing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Доля помещений, соответствующих требованиям пожарных и санитарно-технических норм и правил.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contextualSpacing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Отсутствие аварийных ситуаций при эксплуатации и обслуживании недвижимого имущества.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contextualSpacing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Своевременное и качественное выполнение ОМСУ других обязательств.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Разработка проектов нормативных правовых актов в связи с изменениями законодательства о муниципальной службе.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Доля муниципальных служащих состоящих в кадровом резерве, имеющих индивидуальный план профессионального развития от общего числа муниципальных служащих, состоящих в кадровом резерве.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Доля муниципальных служащих и лиц, замещающих муниципальные должности, повысивших квалификацию, от общего числа лиц, направленных на повышение квалификации, профессиональную переподготовку.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Доля муниципальных служащих, прошедших диспансеризацию, от общего числа муниципальных служащих.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Качественное исполнение государственных полномочий по государственной регистрации актов гражданского состояния.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Качественное исполнение государственных полномочий по организационному обеспечению деятельности административных комиссий.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Количество должностных лиц, уполномоченных составлять протоколы об административных правонарушениях.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Своевременное осуществление первичного воинского учёта на территориях, где отсутствуют военные комиссариаты.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Количество составленных списков кандидатов в присяжные заседатели федеральных судов общей юрисдикции в Российской Федерации.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Количество обновленных списков кандидатов в присяжные заседатели федеральных судов общей юрисдикции в Российской Федерации.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Количество составленных списков при осуществлении государственных полномочий в области жилищных отношений и жилищного строительства.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Наличие утвержденного плана мероприятий по предупреждению (профилактике) коррупции 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контроль за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его реализацией.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рабочих мест, обеспеченных необходимым компьютерным оборудованием и оргтехникой, расходными материалами, комплектующими и программными комплексами.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  <w:p>
            <w:pPr>
              <w:contextualSpacing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 Отсутствие сбоев в работе программного обеспечения.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24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. Доля работников ОМСУ, обеспеченных средствами электронной подписи и защиты информации в соответствии с установленными требованиями и задачами.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25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. Доля опубликованных на сайте нормативных правовых актов и сведений о размещении информации об официальном опубликовании нормативных правовых актов от общего количества поступивших за отчетный период.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 Освещение наиболее значимых событий и мероприятий в СМИ.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 Доля опубликованных нормативных правовых актов Печенгского муниципального округа от общего количества поступивших.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 Доля опубликованной информации о деятельности органов местного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самоуправления в общем объеме публикации газеты «Печенга»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;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</w:tbl>
    <w:p>
      <w:pPr>
        <w:pStyle w:val="925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программы» паспорта Программы</w:t>
      </w:r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5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82"/>
        <w:gridCol w:w="7627"/>
      </w:tblGrid>
      <w:tr>
        <w:tblPrEx/>
        <w:trPr>
          <w:jc w:val="center"/>
          <w:trHeight w:val="542"/>
        </w:trPr>
        <w:tc>
          <w:tcPr>
            <w:tcW w:w="1072" w:type="pct"/>
            <w:textDirection w:val="lrTb"/>
            <w:noWrap w:val="false"/>
          </w:tcPr>
          <w:p>
            <w:pPr>
              <w:pStyle w:val="9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928" w:type="pct"/>
            <w:textDirection w:val="lrTb"/>
            <w:noWrap w:val="false"/>
          </w:tcPr>
          <w:p>
            <w:pPr>
              <w:pStyle w:val="91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02 365,3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ФБ: 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8698,8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6023,8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6259,0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год: 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416,0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ОБ: 3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311,1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103,7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год: 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103,7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год: 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103,7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779355,4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80091,5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49395,8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49868,1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300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строк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 «Исполнители программы» в паспорте Программы </w:t>
      </w:r>
      <w:r>
        <w:rPr>
          <w:rFonts w:ascii="Times New Roman" w:hAnsi="Times New Roman" w:cs="Times New Roman"/>
          <w:sz w:val="24"/>
          <w:szCs w:val="24"/>
        </w:rPr>
        <w:t xml:space="preserve">слова «</w:t>
      </w:r>
      <w:r>
        <w:rPr>
          <w:rFonts w:ascii="Times New Roman" w:hAnsi="Times New Roman" w:cs="Times New Roman"/>
          <w:sz w:val="24"/>
          <w:szCs w:val="24"/>
        </w:rPr>
        <w:t xml:space="preserve">Совет депутатов Печенгского муниципального округа (далее – Совет депутатов)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исключить;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таблицу</w:t>
      </w:r>
      <w:r>
        <w:rPr>
          <w:rFonts w:ascii="Times New Roman" w:hAnsi="Times New Roman" w:cs="Times New Roman"/>
          <w:sz w:val="24"/>
          <w:szCs w:val="24"/>
        </w:rPr>
        <w:t xml:space="preserve"> «Основные показатели эффективности реализации программы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раздела 2 «Основные цели и задачи программы с указанием сроков и этапов ее реализации, а также перечень основных мероприятий и показателей» Программы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923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2410"/>
        <w:gridCol w:w="709"/>
        <w:gridCol w:w="850"/>
        <w:gridCol w:w="851"/>
        <w:gridCol w:w="850"/>
        <w:gridCol w:w="851"/>
        <w:gridCol w:w="850"/>
        <w:gridCol w:w="1701"/>
      </w:tblGrid>
      <w:tr>
        <w:tblPrEx/>
        <w:trPr>
          <w:trHeight w:val="227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№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/п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Цели, мероприятия и показатели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Ед. изм.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Значение показателя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Источник данных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5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отчёт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оценка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Годы реализации программы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blPrEx/>
        <w:trPr>
          <w:gridAfter w:val="1"/>
          <w:trHeight w:val="235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pStyle w:val="909"/>
              <w:ind w:left="0"/>
              <w:jc w:val="center"/>
              <w:spacing w:after="0" w:line="240" w:lineRule="auto"/>
              <w:widowControl w:val="off"/>
              <w:tabs>
                <w:tab w:val="left" w:pos="300" w:leader="none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1.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72" w:type="dxa"/>
            <w:textDirection w:val="lrTb"/>
            <w:noWrap w:val="false"/>
          </w:tcPr>
          <w:p>
            <w:pPr>
              <w:pStyle w:val="909"/>
              <w:ind w:left="0"/>
              <w:jc w:val="both"/>
              <w:spacing w:after="0" w:line="240" w:lineRule="auto"/>
              <w:widowControl w:val="off"/>
              <w:tabs>
                <w:tab w:val="left" w:pos="300" w:leader="none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Показатели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цели программы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pStyle w:val="909"/>
              <w:ind w:left="0"/>
              <w:jc w:val="center"/>
              <w:spacing w:after="0" w:line="240" w:lineRule="auto"/>
              <w:widowControl w:val="off"/>
              <w:tabs>
                <w:tab w:val="left" w:pos="300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1.1.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72" w:type="dxa"/>
            <w:textDirection w:val="lrTb"/>
            <w:noWrap w:val="false"/>
          </w:tcPr>
          <w:p>
            <w:pPr>
              <w:pStyle w:val="909"/>
              <w:ind w:left="0"/>
              <w:jc w:val="both"/>
              <w:spacing w:after="0" w:line="240" w:lineRule="auto"/>
              <w:widowControl w:val="off"/>
              <w:tabs>
                <w:tab w:val="left" w:pos="300" w:leader="none"/>
              </w:tabs>
              <w:rPr>
                <w:rFonts w:ascii="Times New Roman" w:hAnsi="Times New Roman"/>
                <w:sz w:val="20"/>
                <w:szCs w:val="20"/>
                <w:highlight w:val="gree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Эффективное функционирование системы муниципального управления в Печенгском муниципальном округе. Повыше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ние качества жизни населения Печенгского муниципального округа на основе использования современных информационных и телекоммуникационных технологий. Своевременное, качественное и объективное информирование населения о деятельности ОМСУ и учреждений округа.</w:t>
            </w:r>
            <w:r>
              <w:rPr>
                <w:rFonts w:ascii="Times New Roman" w:hAnsi="Times New Roman"/>
                <w:sz w:val="20"/>
                <w:szCs w:val="20"/>
                <w:highlight w:val="green"/>
              </w:rPr>
            </w:r>
            <w:r>
              <w:rPr>
                <w:rFonts w:ascii="Times New Roman" w:hAnsi="Times New Roman"/>
                <w:sz w:val="20"/>
                <w:szCs w:val="20"/>
                <w:highlight w:val="green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pStyle w:val="909"/>
              <w:ind w:left="0"/>
              <w:jc w:val="center"/>
              <w:spacing w:after="0" w:line="240" w:lineRule="auto"/>
              <w:widowControl w:val="off"/>
              <w:tabs>
                <w:tab w:val="left" w:pos="300" w:leader="none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72" w:type="dxa"/>
            <w:textDirection w:val="lrTb"/>
            <w:noWrap w:val="false"/>
          </w:tcPr>
          <w:p>
            <w:pPr>
              <w:pStyle w:val="909"/>
              <w:ind w:left="0"/>
              <w:jc w:val="both"/>
              <w:spacing w:after="0" w:line="240" w:lineRule="auto"/>
              <w:widowControl w:val="off"/>
              <w:tabs>
                <w:tab w:val="left" w:pos="300" w:leader="none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Показатели мероприятий программы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</w:tr>
      <w:tr>
        <w:tblPrEx/>
        <w:trPr>
          <w:trHeight w:val="236"/>
        </w:trPr>
        <w:tc>
          <w:tcPr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Подпрограмма 1. «Создание условий для обеспечения муниципального управления»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6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1.1.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Своевременное и эффективное выполнени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функций в сфере развития муниципального самоуправления и гражданского общества 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да/ нет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администрации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2.1.2.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Style w:val="931"/>
              <w:jc w:val="both"/>
              <w:widowControl/>
              <w:rPr>
                <w:b w:val="0"/>
                <w:sz w:val="20"/>
                <w:szCs w:val="20"/>
              </w:rPr>
              <w:outlineLvl w:val="2"/>
            </w:pPr>
            <w:r>
              <w:rPr>
                <w:b w:val="0"/>
                <w:sz w:val="20"/>
                <w:szCs w:val="20"/>
              </w:rPr>
              <w:t xml:space="preserve">Доля муниципальных служащих и лиц, замещавших муниципальные должности, получивших выплаты пенсий за выслугу лет, в общем числе муниципальных служащих и лиц, замещавших </w:t>
            </w:r>
            <w:r>
              <w:rPr>
                <w:b w:val="0"/>
                <w:sz w:val="20"/>
                <w:szCs w:val="20"/>
              </w:rPr>
              <w:t xml:space="preserve">муниципальные должности, обратившихся за получением выплаты пенсий за выслугу лет</w:t>
            </w:r>
            <w:r>
              <w:rPr>
                <w:b w:val="0"/>
                <w:sz w:val="20"/>
                <w:szCs w:val="20"/>
              </w:rPr>
            </w:r>
            <w:r>
              <w:rPr>
                <w:b w:val="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96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сектор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муниципальной службы и кадров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2.1.3.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Отсутствие замечаний Главы округа, его заместителей 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части обеспечения деятельности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да/ нет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МКУ «Управление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ОДА»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2.1.4.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Доля удовлетворенных заявок на транспортное обеспечение из общего числа поступивших заявок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90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90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МКУ «Управление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ОДА»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Количество автомобилей, содержащихся в соответствии с техническими требованиями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Ед.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МКУ «Управление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ОДА»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2.1.6.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Доля удовлетворенных заявок на материально-техническое снабжение и обеспечение средствами связи из общего числа поступивших заявок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90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90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МКУ «Управление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ОДА»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2.1.7.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Доля помещений, соответствующих требованиям пожарных и санитарно-технических норм и правил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90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90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90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МКУ «Управление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ОДА»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2.1.8.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Отсутствие аварийных ситуаций при эксплуатации и обслуживании недвижимого имущества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да/ нет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МКУ «Управление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ОДА»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2.1.9.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Своевременное и качественное выполнение ОМСУ других обязательств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да/ нет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Отчеты исполнителей программы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2.1.10.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Style w:val="9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Разработка проектов нормативных правовых актов в связи с изменениями законодательства о муниципальной службе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юридическ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ого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отдел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а, сектора муниципальной службы и кадров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2.1.11.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Доля муниципальных служащих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состоящих в кадровом резерве,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имеющих индивидуальный план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профессионального развития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от общего числа муниципальных служащих состоящих в кадровом резерве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сектора муниципальной службы и кадров                      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2.1.12.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Style w:val="931"/>
              <w:jc w:val="both"/>
              <w:widowControl/>
              <w:rPr>
                <w:b w:val="0"/>
                <w:sz w:val="20"/>
                <w:szCs w:val="20"/>
              </w:rPr>
              <w:outlineLvl w:val="2"/>
            </w:pPr>
            <w:r>
              <w:rPr>
                <w:b w:val="0"/>
                <w:sz w:val="20"/>
                <w:szCs w:val="20"/>
              </w:rPr>
              <w:t xml:space="preserve">Доля муниципальных служащих и лиц, </w:t>
            </w:r>
            <w:r>
              <w:rPr>
                <w:b w:val="0"/>
                <w:sz w:val="20"/>
                <w:szCs w:val="20"/>
              </w:rPr>
              <w:t xml:space="preserve">замещающих муниципальные должности, повысивших квалификацию, от общего числа лиц, направленных на повышение квалификации, профессиональную подготовку</w:t>
            </w:r>
            <w:r>
              <w:rPr>
                <w:b w:val="0"/>
                <w:sz w:val="20"/>
                <w:szCs w:val="20"/>
              </w:rPr>
            </w:r>
            <w:r>
              <w:rPr>
                <w:b w:val="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76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сектора муниципальной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службы и кадров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2.1.13.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Доля муниципальных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служащих,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прошедших диспансеризацию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от общего числа муниципальных служащих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сектора муниципальной службы и кадров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2.1.14.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Качественное исполнение государственных полномочий по государственной регистрации актов гражданского состояния</w:t>
            </w:r>
            <w:r>
              <w:rPr>
                <w:rFonts w:ascii="Times New Roman" w:hAnsi="Times New Roman"/>
                <w:i/>
                <w:sz w:val="20"/>
                <w:szCs w:val="20"/>
              </w:rPr>
            </w:r>
            <w:r>
              <w:rPr>
                <w:rFonts w:ascii="Times New Roman" w:hAnsi="Times New Roman"/>
                <w:i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да/ нет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отдела ЗАГС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2.1.15.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Качественное исполнение государственных полномочий по организационному обеспечению деятельности административных комиссий</w:t>
            </w:r>
            <w:r>
              <w:rPr>
                <w:rFonts w:ascii="Times New Roman" w:hAnsi="Times New Roman"/>
                <w:i/>
                <w:sz w:val="20"/>
                <w:szCs w:val="20"/>
              </w:rPr>
            </w:r>
            <w:r>
              <w:rPr>
                <w:rFonts w:ascii="Times New Roman" w:hAnsi="Times New Roman"/>
                <w:i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да/ нет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административн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ой комиссии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2.1.16.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Количество должностных лиц, уполномоченных составлять протоколы об административных правонарушениях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чел.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26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26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26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26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26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Администрации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2.1.17.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Своевременное осуществление первичного воинского учёта на территориях, где отсутствуют военные комиссариаты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да/ нет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ОПВУ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4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2.1.18.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Количество составленных списков кандидатов в присяжные заседатели федеральных судов общей юрисдикции в Российской Федерации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основных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                1 запасной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основных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                1 запасной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основных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                1 запасной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дминистрации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2.1.19.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Количество обновленных списков кандидатов в присяжные заседатели федеральных судов общей юрисдикции в Российской Федерации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основных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                1 запасной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основных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                1 запасной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дминистрации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2.1.20.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Количество составленных списков при осуществлении государственных полномочий в области жилищных отношений и жилищного строительства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trike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ОС и ЖКХ</w:t>
            </w:r>
            <w:r>
              <w:rPr>
                <w:rFonts w:ascii="Times New Roman" w:hAnsi="Times New Roman"/>
                <w:strike/>
                <w:sz w:val="20"/>
                <w:szCs w:val="20"/>
              </w:rPr>
            </w:r>
            <w:r>
              <w:rPr>
                <w:rFonts w:ascii="Times New Roman" w:hAnsi="Times New Roman"/>
                <w:strike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2.1.21.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Наличие утвержденного плана мероприятий по предупреждению (профилактике) коррупци</w:t>
            </w:r>
            <w:r>
              <w:rPr>
                <w:rFonts w:ascii="Times New Roman" w:hAnsi="Times New Roman"/>
                <w:sz w:val="20"/>
                <w:szCs w:val="24"/>
              </w:rPr>
              <w:t xml:space="preserve">и и </w:t>
            </w:r>
            <w:r>
              <w:rPr>
                <w:rFonts w:ascii="Times New Roman" w:hAnsi="Times New Roman"/>
                <w:sz w:val="20"/>
                <w:szCs w:val="24"/>
              </w:rPr>
              <w:t xml:space="preserve">контроль за</w:t>
            </w:r>
            <w:r>
              <w:rPr>
                <w:rFonts w:ascii="Times New Roman" w:hAnsi="Times New Roman"/>
                <w:sz w:val="20"/>
                <w:szCs w:val="24"/>
              </w:rPr>
              <w:t xml:space="preserve"> его реализацией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да/ нет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юридическ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ого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отдел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Подпрограмма 2. «Развитие информационной и технологической инфраструктуры системы муниципального управления в Печенгском муниципальном округе»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2.2.1.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Доля рабочих мест, обеспеченных необходимым компьютерным оборудованием, оргтехникой, расходными материалами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комплектую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щими и программными комплексами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Отчеты МКУ «Управление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ОДА»,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ФИНУ, КУИ, МБУ «ЦБ»; 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МКУ «ЦБ»;     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2.2.2.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Отсутствие сбоев в работе программного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беспечения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да/ нет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МКУ «Управление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ОДА»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2.2.3.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Доля работников ОМСУ, обеспеченных средствами электронной подписи и защиты информации в соответствии с установленными требованиями и задачами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МКУ «Управление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ОДА»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2.2.4.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Доля опубликованных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на сайте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нормативных правовых актов и сведений о размещении информации об официальном  опубликовании  нормативных правовых актов  от общего количества поступивших за отчетный период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МКУ «Управление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ОДА»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Подпрограмма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. «Деятельность и развитие муниципальных средств массовой информации Печенгского муниципального округа»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2.3.1.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Освещение наиболее значимых событий и мероприятий в СМИ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да/ нет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МАУ «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Информцентр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2.3.2.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Доля опубликованных нормативных правовых актов муниципального образования Печенгский муниципальный округ от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общего количества поступивших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МАУ «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Информцентр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2.3.3.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Доля опубликованной информации о деятельности органов местного самоуправления в общем объеме публикации газеты «Печенга»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МАУ «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Информцентр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»;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абзац </w:t>
      </w:r>
      <w:r>
        <w:rPr>
          <w:rFonts w:ascii="Times New Roman" w:hAnsi="Times New Roman" w:cs="Times New Roman"/>
          <w:sz w:val="24"/>
          <w:szCs w:val="24"/>
        </w:rPr>
        <w:t xml:space="preserve">второй</w:t>
      </w:r>
      <w:r>
        <w:rPr>
          <w:rFonts w:ascii="Times New Roman" w:hAnsi="Times New Roman" w:cs="Times New Roman"/>
          <w:sz w:val="24"/>
          <w:szCs w:val="24"/>
        </w:rPr>
        <w:t xml:space="preserve"> раздела 3 «</w:t>
      </w:r>
      <w:r>
        <w:rPr>
          <w:rFonts w:ascii="Times New Roman" w:hAnsi="Times New Roman"/>
          <w:sz w:val="24"/>
          <w:szCs w:val="24"/>
        </w:rPr>
        <w:t xml:space="preserve">Перечень и краткое описание подпрограмм»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Программы изложить в следующей редакции: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 структуру программы входят три подпрограммы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строку «Показатели подпрограммы» в паспорте 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</w:t>
      </w:r>
      <w:r>
        <w:rPr>
          <w:rFonts w:ascii="Times New Roman" w:hAnsi="Times New Roman" w:cs="Times New Roman"/>
          <w:sz w:val="24"/>
          <w:szCs w:val="24"/>
        </w:rPr>
        <w:t xml:space="preserve">1 «</w:t>
      </w:r>
      <w:r>
        <w:rPr>
          <w:rFonts w:ascii="Times New Roman" w:hAnsi="Times New Roman"/>
          <w:sz w:val="24"/>
          <w:szCs w:val="24"/>
        </w:rPr>
        <w:t xml:space="preserve">Создание условий для обеспечения муниципального управления</w:t>
      </w:r>
      <w:r>
        <w:rPr>
          <w:rFonts w:ascii="Times New Roman" w:hAnsi="Times New Roman" w:cs="Times New Roman"/>
          <w:sz w:val="24"/>
          <w:szCs w:val="24"/>
        </w:rPr>
        <w:t xml:space="preserve">» (далее – Подпрограмма 1)</w:t>
      </w:r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545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32"/>
        <w:gridCol w:w="7513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3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подпрограммы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3" w:type="dxa"/>
            <w:textDirection w:val="lrTb"/>
            <w:noWrap w:val="false"/>
          </w:tcPr>
          <w:p>
            <w:pPr>
              <w:contextualSpacing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 Своевременное и эффективное выполнение функций в сфере развития муниципального самоуправления и гражданского общества.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  <w:p>
            <w:pPr>
              <w:contextualSpacing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 Доля муниципальных служащих и лиц, замещавших муниципальные должности, получивших выплаты пенсий за выслугу лет, в общем числе муниципальных служащих и лиц, замещавших муниципальные должности, обратившихся за получением выплаты пенсий за выслугу лет.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  <w:p>
            <w:pPr>
              <w:contextualSpacing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 Отсутствие замечаний Главы округа, его заместителей в части обеспечения деятельности.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  <w:p>
            <w:pPr>
              <w:contextualSpacing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 Доля удовлетворенных заявок на транспортное обеспечение из общего числа поступивших заявок.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  <w:p>
            <w:pPr>
              <w:contextualSpacing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 Количество автомобилей, содержащихся в соответствии с техническими требованиями.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  <w:p>
            <w:pPr>
              <w:contextualSpacing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 Доля удовлетворенных заявок на материально-техническое снабжение и обеспечение средствами связи из общего числа поступивших заявок.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  <w:p>
            <w:pPr>
              <w:contextualSpacing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Доля помещений, соответствующих требованиям пожарных и санитарно-технических норм и правил.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contextualSpacing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Отсутствие аварийных ситуаций при эксплуатации и обслуживании недвижимого имущества.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Своевременное и качественное выполнение ОМСУ других обязательств.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Разработка проектов нормативных правовых актов в связи с изменениями законодательства о муниципальной службе.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Доля муниципальных служащих состоящих в кадровом резерве, имеющих индивидуальный план профессионального развития от общего числа муниципальных служащих, состоящих в кадровом резерве.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Доля муниципальных служащих и лиц, замещающих муниципальные должности, повысивших квалификацию, от общего числа лиц, направленных на повышение квалификации, профессиональную переподготовку.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Доля муниципальных служащих, прошедших диспансеризацию, от общего числа муниципальных служащих.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Качественное исполнение государственных полномочий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государственной регистрации актов гражданского состояния.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Качественное исполнение государственных полномочий по организационному обеспечению деятельности административных комиссий.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Количество должностных лиц, уполномоченных составлять протоколы об административных правонарушениях.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Своевременное осуществление первичного воинского учёта на территориях, где отсутствуют военные комиссариаты.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Количество составленных списков кандидатов в присяжные заседатели федеральных судов общей юрисдикции в Российской Федерации.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Количество обновленных списков кандидатов в присяжные заседатели федеральных судов общей юрисдикции в Российской Федерации.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Количество составленных списков при осуществлении государственных полномочий в области жилищных отношений и жилищного строительства.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Наличие утвержденного плана мероприятий по предупреждению (профилактике) коррупции и контроль за его реализацией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»;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</w:tbl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</w:t>
      </w:r>
      <w:r>
        <w:rPr>
          <w:rFonts w:ascii="Times New Roman" w:hAnsi="Times New Roman" w:cs="Times New Roman"/>
          <w:sz w:val="24"/>
          <w:szCs w:val="24"/>
        </w:rPr>
        <w:t xml:space="preserve">троку «Финансовое обеспечение подпрограммы» </w:t>
      </w:r>
      <w:r>
        <w:rPr>
          <w:rFonts w:ascii="Times New Roman" w:hAnsi="Times New Roman" w:cs="Times New Roman"/>
          <w:sz w:val="24"/>
          <w:szCs w:val="24"/>
        </w:rPr>
        <w:t xml:space="preserve">в паспорте Подпрограммы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21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44"/>
        <w:gridCol w:w="7590"/>
      </w:tblGrid>
      <w:tr>
        <w:tblPrEx/>
        <w:trPr>
          <w:jc w:val="center"/>
          <w:trHeight w:val="542"/>
        </w:trPr>
        <w:tc>
          <w:tcPr>
            <w:tcW w:w="1061" w:type="pct"/>
            <w:textDirection w:val="lrTb"/>
            <w:noWrap w:val="false"/>
          </w:tcPr>
          <w:p>
            <w:pPr>
              <w:pStyle w:val="9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939" w:type="pct"/>
            <w:textDirection w:val="lrTb"/>
            <w:noWrap w:val="false"/>
          </w:tcPr>
          <w:p>
            <w:pPr>
              <w:pStyle w:val="91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47 338,3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ФБ: 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8698,8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6023,8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6259,0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год: 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416,0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ОБ: 3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201,3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год: 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067,1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год: 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067,1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год: 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067,1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МБ: 7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25438,2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год: 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58681,0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33145,1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33612,1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</w:tr>
    </w:tbl>
    <w:p>
      <w:pPr>
        <w:ind w:right="-5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строк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 «Исполнители подпрограммы в паспорте Подпрограммы 1 </w:t>
      </w:r>
      <w:r>
        <w:rPr>
          <w:rFonts w:ascii="Times New Roman" w:hAnsi="Times New Roman" w:cs="Times New Roman"/>
          <w:sz w:val="24"/>
          <w:szCs w:val="24"/>
        </w:rPr>
        <w:t xml:space="preserve">слова «</w:t>
      </w:r>
      <w:r>
        <w:rPr>
          <w:rFonts w:ascii="Times New Roman" w:hAnsi="Times New Roman" w:cs="Times New Roman"/>
          <w:sz w:val="24"/>
          <w:szCs w:val="24"/>
        </w:rPr>
        <w:t xml:space="preserve">Совет депутатов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исключить;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строк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 1.1.2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таблиц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ы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1 «Перечень мероприятий подпрограммы с объёмом финансирования» к Подпрограмме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изложить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следующей редакции: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tbl>
      <w:tblPr>
        <w:tblW w:w="5047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26"/>
        <w:gridCol w:w="1344"/>
        <w:gridCol w:w="771"/>
        <w:gridCol w:w="1050"/>
        <w:gridCol w:w="1139"/>
        <w:gridCol w:w="1105"/>
        <w:gridCol w:w="1103"/>
        <w:gridCol w:w="1242"/>
        <w:gridCol w:w="1079"/>
      </w:tblGrid>
      <w:tr>
        <w:tblPrEx/>
        <w:trPr>
          <w:trHeight w:val="220"/>
        </w:trPr>
        <w:tc>
          <w:tcPr>
            <w:shd w:val="clear" w:color="auto" w:fill="auto"/>
            <w:tcW w:w="44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</w:t>
            </w:r>
            <w:r>
              <w:rPr>
                <w:rFonts w:ascii="Times New Roman" w:hAnsi="Times New Roman" w:cs="Times New Roman"/>
              </w:rPr>
              <w:t xml:space="preserve">1.1.</w:t>
            </w:r>
            <w:r>
              <w:rPr>
                <w:rFonts w:ascii="Times New Roman" w:hAnsi="Times New Roman" w:cs="Times New Roman"/>
              </w:rPr>
              <w:t xml:space="preserve">2</w:t>
            </w:r>
            <w:r>
              <w:rPr>
                <w:rFonts w:ascii="Times New Roman" w:hAnsi="Times New Roman" w:cs="Times New Roman"/>
              </w:rPr>
              <w:t xml:space="preserve">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716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Выплата пенсий за выслугу лет муниципальным служащим и лицам, замещавши</w:t>
            </w:r>
            <w:r>
              <w:rPr>
                <w:rFonts w:ascii="Times New Roman" w:hAnsi="Times New Roman" w:cs="Times New Roman"/>
              </w:rPr>
              <w:t xml:space="preserve">м муниципальные должности в органах местного самоуправления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2024-2026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0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58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6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11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Администрация,  </w:t>
            </w:r>
            <w:r>
              <w:rPr>
                <w:rFonts w:ascii="Times New Roman" w:hAnsi="Times New Roman" w:cs="Times New Roman"/>
              </w:rPr>
              <w:t xml:space="preserve">          сектор муниципальной службы и </w:t>
            </w:r>
            <w:r>
              <w:rPr>
                <w:rFonts w:ascii="Times New Roman" w:hAnsi="Times New Roman" w:cs="Times New Roman"/>
              </w:rPr>
              <w:t xml:space="preserve">кадров</w:t>
            </w:r>
            <w:r>
              <w:rPr>
                <w:rFonts w:ascii="Times New Roman" w:hAnsi="Times New Roman" w:cs="Times New Roman"/>
              </w:rPr>
              <w:t xml:space="preserve">»;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20"/>
        </w:trPr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716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0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58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6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110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173"/>
        </w:trPr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716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0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60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18535,6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5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6483,0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6026,3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66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6026,3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110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20"/>
        </w:trPr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716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0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ВБС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58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6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110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18"/>
        </w:trPr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716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0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60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18535,6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5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6483,0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6026,3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66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6026,3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110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строку 1.1.3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таблиц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ы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1 «Перечень мероприятий подпрограммы с объёмом финансирования» к Подпрограмме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исключить.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строки «Итого по основному мероприятию 1» и «Всего по подпрограмме 1»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таблиц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ы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1 «Перечень мероприятий подпрограммы с объёмом финансирования» к Подпрограмме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изложить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следующей редакции: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tbl>
      <w:tblPr>
        <w:tblW w:w="5002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2934"/>
        <w:gridCol w:w="1100"/>
        <w:gridCol w:w="1136"/>
        <w:gridCol w:w="1102"/>
        <w:gridCol w:w="1100"/>
        <w:gridCol w:w="1239"/>
        <w:gridCol w:w="962"/>
      </w:tblGrid>
      <w:tr>
        <w:tblPrEx/>
        <w:trPr>
          <w:trHeight w:val="67"/>
        </w:trPr>
        <w:tc>
          <w:tcPr>
            <w:shd w:val="clear" w:color="auto" w:fill="auto"/>
            <w:tcW w:w="156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  <w:t xml:space="preserve">«</w:t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  <w:t xml:space="preserve">Итого по основному мероприятию 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10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ФБ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58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6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51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</w:tr>
      <w:tr>
        <w:tblPrEx/>
        <w:trPr>
          <w:trHeight w:val="67"/>
        </w:trPr>
        <w:tc>
          <w:tcPr>
            <w:shd w:val="clear" w:color="auto" w:fill="auto"/>
            <w:tcW w:w="15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10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ОБ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58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6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51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28"/>
        </w:trPr>
        <w:tc>
          <w:tcPr>
            <w:shd w:val="clear" w:color="auto" w:fill="auto"/>
            <w:tcW w:w="15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10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МБ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60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491125,2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5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179229,8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155937,7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66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155957,7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51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67"/>
        </w:trPr>
        <w:tc>
          <w:tcPr>
            <w:shd w:val="clear" w:color="auto" w:fill="auto"/>
            <w:tcW w:w="15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10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ВБС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58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6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51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67"/>
        </w:trPr>
        <w:tc>
          <w:tcPr>
            <w:shd w:val="clear" w:color="auto" w:fill="auto"/>
            <w:tcW w:w="15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10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60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491125,2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5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179229,8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155937,7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66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155957,7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51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182"/>
        </w:trPr>
        <w:tc>
          <w:tcPr>
            <w:shd w:val="clear" w:color="auto" w:fill="auto"/>
            <w:tcW w:w="156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  <w:t xml:space="preserve">Всего по подпрограмме 1</w:t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10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ФБ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18698,8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6023,8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8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6259,0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6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6416,0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161"/>
        </w:trPr>
        <w:tc>
          <w:tcPr>
            <w:shd w:val="clear" w:color="auto" w:fill="auto"/>
            <w:tcW w:w="15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10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ОБ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3201,3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1067,1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8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1067,1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6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1067,1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198"/>
        </w:trPr>
        <w:tc>
          <w:tcPr>
            <w:shd w:val="clear" w:color="auto" w:fill="auto"/>
            <w:tcW w:w="15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10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МБ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60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7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25438,2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258681,0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233145,1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66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233612,1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15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10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ВБС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8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6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15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10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60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747338,3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265771,9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240471,2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66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241095,2»;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строку 1.1.2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таблиц</w:t>
      </w:r>
      <w:r>
        <w:rPr>
          <w:rFonts w:ascii="Times New Roman" w:hAnsi="Times New Roman" w:cs="Times New Roman"/>
          <w:sz w:val="24"/>
          <w:szCs w:val="24"/>
        </w:rPr>
        <w:t xml:space="preserve">ы</w:t>
      </w:r>
      <w:r>
        <w:rPr>
          <w:rFonts w:ascii="Times New Roman" w:hAnsi="Times New Roman" w:cs="Times New Roman"/>
          <w:sz w:val="24"/>
          <w:szCs w:val="24"/>
        </w:rPr>
        <w:t xml:space="preserve"> 2 «Перечень мероприятий подпрограммы с показателями результативности выполнения мероприятий» к Под</w:t>
      </w:r>
      <w:r>
        <w:rPr>
          <w:rFonts w:ascii="Times New Roman" w:hAnsi="Times New Roman" w:cs="Times New Roman"/>
          <w:sz w:val="24"/>
          <w:szCs w:val="24"/>
        </w:rPr>
        <w:t xml:space="preserve">программе 1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843"/>
        <w:gridCol w:w="850"/>
        <w:gridCol w:w="2977"/>
        <w:gridCol w:w="425"/>
        <w:gridCol w:w="567"/>
        <w:gridCol w:w="567"/>
        <w:gridCol w:w="567"/>
        <w:gridCol w:w="992"/>
      </w:tblGrid>
      <w:tr>
        <w:tblPrEx/>
        <w:trPr>
          <w:trHeight w:val="567"/>
        </w:trPr>
        <w:tc>
          <w:tcPr>
            <w:shd w:val="clear" w:color="auto" w:fill="auto"/>
            <w:tcBorders>
              <w:bottom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</w:t>
            </w:r>
            <w:r>
              <w:rPr>
                <w:rFonts w:ascii="Times New Roman" w:hAnsi="Times New Roman" w:cs="Times New Roman"/>
              </w:rPr>
              <w:t xml:space="preserve">1.1.</w:t>
            </w:r>
            <w:r>
              <w:rPr>
                <w:rFonts w:ascii="Times New Roman" w:hAnsi="Times New Roman" w:cs="Times New Roman"/>
              </w:rPr>
              <w:t xml:space="preserve">2</w:t>
            </w:r>
            <w:r>
              <w:rPr>
                <w:rFonts w:ascii="Times New Roman" w:hAnsi="Times New Roman" w:cs="Times New Roman"/>
              </w:rPr>
              <w:t xml:space="preserve">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Выплата пенсий за выслугу лет муниципальным служащим и лицам, замещавшим муниципальные должности в органах местного самоуправления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2024-2026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297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Доля муниципальных служащих и лиц, замещавших муниципальные должности, получивших выплаты пенсий за выслугу лет, в общем числе муниципальных служащих и лиц, замещавших муниципальные должности, обратившихся за получением выплаты пенсий за выслугу лет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%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Администрация,             сектор муниципальной службы и кадров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</w:tbl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строку 1.1.3 таблицы 2 «Перечень мероприятий подпрограммы с показателями результативности выполнения мероприятий» к Подпрограмме 1 исключить.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09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Настоящее постановление опубликова</w:t>
      </w:r>
      <w:r>
        <w:rPr>
          <w:rFonts w:ascii="Times New Roman" w:hAnsi="Times New Roman" w:cs="Times New Roman"/>
          <w:sz w:val="24"/>
        </w:rPr>
        <w:t xml:space="preserve">ть</w:t>
      </w:r>
      <w:r>
        <w:rPr>
          <w:rFonts w:ascii="Times New Roman" w:hAnsi="Times New Roman" w:cs="Times New Roman"/>
          <w:sz w:val="24"/>
        </w:rPr>
        <w:t xml:space="preserve"> в </w:t>
      </w:r>
      <w:r>
        <w:rPr>
          <w:rFonts w:ascii="Times New Roman" w:hAnsi="Times New Roman" w:cs="Times New Roman"/>
          <w:sz w:val="24"/>
        </w:rPr>
        <w:t xml:space="preserve">официальном издании </w:t>
      </w:r>
      <w:r>
        <w:rPr>
          <w:rFonts w:ascii="Times New Roman" w:hAnsi="Times New Roman" w:cs="Times New Roman"/>
          <w:sz w:val="24"/>
        </w:rPr>
        <w:t xml:space="preserve">газет</w:t>
      </w:r>
      <w:r>
        <w:rPr>
          <w:rFonts w:ascii="Times New Roman" w:hAnsi="Times New Roman" w:cs="Times New Roman"/>
          <w:sz w:val="24"/>
        </w:rPr>
        <w:t xml:space="preserve">а</w:t>
      </w:r>
      <w:r>
        <w:rPr>
          <w:rFonts w:ascii="Times New Roman" w:hAnsi="Times New Roman" w:cs="Times New Roman"/>
          <w:sz w:val="24"/>
        </w:rPr>
        <w:t xml:space="preserve"> «Печенга» и разме</w:t>
      </w:r>
      <w:r>
        <w:rPr>
          <w:rFonts w:ascii="Times New Roman" w:hAnsi="Times New Roman" w:cs="Times New Roman"/>
          <w:sz w:val="24"/>
        </w:rPr>
        <w:t xml:space="preserve">стить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 сайте Печенгского муниципального округа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в сети Интернет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 </w:t>
        <w:tab/>
        <w:tab/>
        <w:tab/>
        <w:tab/>
        <w:tab/>
      </w:r>
      <w:r>
        <w:rPr>
          <w:rFonts w:ascii="Times New Roman" w:hAnsi="Times New Roman" w:cs="Times New Roman"/>
          <w:sz w:val="24"/>
          <w:szCs w:val="24"/>
        </w:rPr>
        <w:t xml:space="preserve"> А.В. Кузнецов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Рыжкова А.А.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, 51543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center"/>
        <w:spacing w:after="0" w:line="240" w:lineRule="auto"/>
        <w:tabs>
          <w:tab w:val="left" w:pos="2977" w:leader="none"/>
        </w:tabs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sectPr>
          <w:footnotePr/>
          <w:endnotePr/>
          <w:type w:val="nextPage"/>
          <w:pgSz w:w="11905" w:h="16838" w:orient="portrait"/>
          <w:pgMar w:top="1134" w:right="850" w:bottom="1134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sectPr>
      <w:footnotePr/>
      <w:endnotePr/>
      <w:type w:val="nextPage"/>
      <w:pgSz w:w="11905" w:h="16838" w:orient="portrait"/>
      <w:pgMar w:top="1134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Tahoma">
    <w:panose1 w:val="020B0604030504040204"/>
  </w:font>
  <w:font w:name="Courier New">
    <w:panose1 w:val="02070309020205020404"/>
  </w:font>
  <w:font w:name="Verdan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8" w:hanging="43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622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3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5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7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9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1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3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5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7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94" w:hanging="180"/>
      </w:pPr>
    </w:lvl>
  </w:abstractNum>
  <w:abstractNum w:abstractNumId="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396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89" w:hanging="108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8" w:hanging="43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367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7" w:hanging="180"/>
      </w:p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67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98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7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5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087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8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7" w:hanging="360"/>
      </w:pPr>
      <w:rPr>
        <w:rFonts w:hint="default" w:ascii="Wingdings" w:hAnsi="Wingdings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8" w:hanging="43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1"/>
  </w:num>
  <w:num w:numId="3">
    <w:abstractNumId w:val="0"/>
  </w:num>
  <w:num w:numId="4">
    <w:abstractNumId w:val="14"/>
  </w:num>
  <w:num w:numId="5">
    <w:abstractNumId w:val="3"/>
  </w:num>
  <w:num w:numId="6">
    <w:abstractNumId w:val="5"/>
  </w:num>
  <w:num w:numId="7">
    <w:abstractNumId w:val="19"/>
  </w:num>
  <w:num w:numId="8">
    <w:abstractNumId w:val="33"/>
  </w:num>
  <w:num w:numId="9">
    <w:abstractNumId w:val="6"/>
  </w:num>
  <w:num w:numId="10">
    <w:abstractNumId w:val="16"/>
  </w:num>
  <w:num w:numId="11">
    <w:abstractNumId w:val="28"/>
  </w:num>
  <w:num w:numId="12">
    <w:abstractNumId w:val="12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</w:num>
  <w:num w:numId="15">
    <w:abstractNumId w:val="21"/>
  </w:num>
  <w:num w:numId="16">
    <w:abstractNumId w:val="25"/>
  </w:num>
  <w:num w:numId="17">
    <w:abstractNumId w:val="24"/>
  </w:num>
  <w:num w:numId="18">
    <w:abstractNumId w:val="8"/>
  </w:num>
  <w:num w:numId="19">
    <w:abstractNumId w:val="2"/>
  </w:num>
  <w:num w:numId="20">
    <w:abstractNumId w:val="4"/>
  </w:num>
  <w:num w:numId="21">
    <w:abstractNumId w:val="13"/>
  </w:num>
  <w:num w:numId="22">
    <w:abstractNumId w:val="22"/>
  </w:num>
  <w:num w:numId="23">
    <w:abstractNumId w:val="7"/>
  </w:num>
  <w:num w:numId="24">
    <w:abstractNumId w:val="10"/>
  </w:num>
  <w:num w:numId="25">
    <w:abstractNumId w:val="9"/>
  </w:num>
  <w:num w:numId="26">
    <w:abstractNumId w:val="31"/>
  </w:num>
  <w:num w:numId="27">
    <w:abstractNumId w:val="38"/>
  </w:num>
  <w:num w:numId="28">
    <w:abstractNumId w:val="29"/>
  </w:num>
  <w:num w:numId="29">
    <w:abstractNumId w:val="17"/>
  </w:num>
  <w:num w:numId="30">
    <w:abstractNumId w:val="35"/>
  </w:num>
  <w:num w:numId="31">
    <w:abstractNumId w:val="18"/>
  </w:num>
  <w:num w:numId="32">
    <w:abstractNumId w:val="1"/>
  </w:num>
  <w:num w:numId="33">
    <w:abstractNumId w:val="32"/>
  </w:num>
  <w:num w:numId="34">
    <w:abstractNumId w:val="26"/>
  </w:num>
  <w:num w:numId="35">
    <w:abstractNumId w:val="27"/>
  </w:num>
  <w:num w:numId="36">
    <w:abstractNumId w:val="36"/>
  </w:num>
  <w:num w:numId="37">
    <w:abstractNumId w:val="37"/>
  </w:num>
  <w:num w:numId="38">
    <w:abstractNumId w:val="20"/>
  </w:num>
  <w:num w:numId="39">
    <w:abstractNumId w:val="34"/>
  </w:num>
  <w:num w:numId="4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3">
    <w:name w:val="Heading 1 Char"/>
    <w:basedOn w:val="904"/>
    <w:link w:val="901"/>
    <w:uiPriority w:val="9"/>
    <w:rPr>
      <w:rFonts w:ascii="Arial" w:hAnsi="Arial" w:eastAsia="Arial" w:cs="Arial"/>
      <w:sz w:val="40"/>
      <w:szCs w:val="40"/>
    </w:rPr>
  </w:style>
  <w:style w:type="character" w:styleId="734">
    <w:name w:val="Heading 2 Char"/>
    <w:basedOn w:val="904"/>
    <w:link w:val="902"/>
    <w:uiPriority w:val="9"/>
    <w:rPr>
      <w:rFonts w:ascii="Arial" w:hAnsi="Arial" w:eastAsia="Arial" w:cs="Arial"/>
      <w:sz w:val="34"/>
    </w:rPr>
  </w:style>
  <w:style w:type="character" w:styleId="735">
    <w:name w:val="Heading 3 Char"/>
    <w:basedOn w:val="904"/>
    <w:link w:val="903"/>
    <w:uiPriority w:val="9"/>
    <w:rPr>
      <w:rFonts w:ascii="Arial" w:hAnsi="Arial" w:eastAsia="Arial" w:cs="Arial"/>
      <w:sz w:val="30"/>
      <w:szCs w:val="30"/>
    </w:rPr>
  </w:style>
  <w:style w:type="paragraph" w:styleId="736">
    <w:name w:val="Heading 4"/>
    <w:basedOn w:val="900"/>
    <w:next w:val="900"/>
    <w:link w:val="73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37">
    <w:name w:val="Heading 4 Char"/>
    <w:basedOn w:val="904"/>
    <w:link w:val="736"/>
    <w:uiPriority w:val="9"/>
    <w:rPr>
      <w:rFonts w:ascii="Arial" w:hAnsi="Arial" w:eastAsia="Arial" w:cs="Arial"/>
      <w:b/>
      <w:bCs/>
      <w:sz w:val="26"/>
      <w:szCs w:val="26"/>
    </w:rPr>
  </w:style>
  <w:style w:type="paragraph" w:styleId="738">
    <w:name w:val="Heading 5"/>
    <w:basedOn w:val="900"/>
    <w:next w:val="900"/>
    <w:link w:val="73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9">
    <w:name w:val="Heading 5 Char"/>
    <w:basedOn w:val="904"/>
    <w:link w:val="738"/>
    <w:uiPriority w:val="9"/>
    <w:rPr>
      <w:rFonts w:ascii="Arial" w:hAnsi="Arial" w:eastAsia="Arial" w:cs="Arial"/>
      <w:b/>
      <w:bCs/>
      <w:sz w:val="24"/>
      <w:szCs w:val="24"/>
    </w:rPr>
  </w:style>
  <w:style w:type="paragraph" w:styleId="740">
    <w:name w:val="Heading 6"/>
    <w:basedOn w:val="900"/>
    <w:next w:val="900"/>
    <w:link w:val="74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1">
    <w:name w:val="Heading 6 Char"/>
    <w:basedOn w:val="904"/>
    <w:link w:val="740"/>
    <w:uiPriority w:val="9"/>
    <w:rPr>
      <w:rFonts w:ascii="Arial" w:hAnsi="Arial" w:eastAsia="Arial" w:cs="Arial"/>
      <w:b/>
      <w:bCs/>
      <w:sz w:val="22"/>
      <w:szCs w:val="22"/>
    </w:rPr>
  </w:style>
  <w:style w:type="paragraph" w:styleId="742">
    <w:name w:val="Heading 7"/>
    <w:basedOn w:val="900"/>
    <w:next w:val="900"/>
    <w:link w:val="74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3">
    <w:name w:val="Heading 7 Char"/>
    <w:basedOn w:val="904"/>
    <w:link w:val="74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4">
    <w:name w:val="Heading 8"/>
    <w:basedOn w:val="900"/>
    <w:next w:val="900"/>
    <w:link w:val="74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5">
    <w:name w:val="Heading 8 Char"/>
    <w:basedOn w:val="904"/>
    <w:link w:val="744"/>
    <w:uiPriority w:val="9"/>
    <w:rPr>
      <w:rFonts w:ascii="Arial" w:hAnsi="Arial" w:eastAsia="Arial" w:cs="Arial"/>
      <w:i/>
      <w:iCs/>
      <w:sz w:val="22"/>
      <w:szCs w:val="22"/>
    </w:rPr>
  </w:style>
  <w:style w:type="paragraph" w:styleId="746">
    <w:name w:val="Heading 9"/>
    <w:basedOn w:val="900"/>
    <w:next w:val="900"/>
    <w:link w:val="74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7">
    <w:name w:val="Heading 9 Char"/>
    <w:basedOn w:val="904"/>
    <w:link w:val="746"/>
    <w:uiPriority w:val="9"/>
    <w:rPr>
      <w:rFonts w:ascii="Arial" w:hAnsi="Arial" w:eastAsia="Arial" w:cs="Arial"/>
      <w:i/>
      <w:iCs/>
      <w:sz w:val="21"/>
      <w:szCs w:val="21"/>
    </w:rPr>
  </w:style>
  <w:style w:type="character" w:styleId="748">
    <w:name w:val="Title Char"/>
    <w:basedOn w:val="904"/>
    <w:link w:val="978"/>
    <w:uiPriority w:val="10"/>
    <w:rPr>
      <w:sz w:val="48"/>
      <w:szCs w:val="48"/>
    </w:rPr>
  </w:style>
  <w:style w:type="paragraph" w:styleId="749">
    <w:name w:val="Subtitle"/>
    <w:basedOn w:val="900"/>
    <w:next w:val="900"/>
    <w:link w:val="750"/>
    <w:uiPriority w:val="11"/>
    <w:qFormat/>
    <w:pPr>
      <w:spacing w:before="200" w:after="200"/>
    </w:pPr>
    <w:rPr>
      <w:sz w:val="24"/>
      <w:szCs w:val="24"/>
    </w:rPr>
  </w:style>
  <w:style w:type="character" w:styleId="750">
    <w:name w:val="Subtitle Char"/>
    <w:basedOn w:val="904"/>
    <w:link w:val="749"/>
    <w:uiPriority w:val="11"/>
    <w:rPr>
      <w:sz w:val="24"/>
      <w:szCs w:val="24"/>
    </w:rPr>
  </w:style>
  <w:style w:type="paragraph" w:styleId="751">
    <w:name w:val="Quote"/>
    <w:basedOn w:val="900"/>
    <w:next w:val="900"/>
    <w:link w:val="752"/>
    <w:uiPriority w:val="29"/>
    <w:qFormat/>
    <w:pPr>
      <w:ind w:left="720" w:right="720"/>
    </w:pPr>
    <w:rPr>
      <w:i/>
    </w:rPr>
  </w:style>
  <w:style w:type="character" w:styleId="752">
    <w:name w:val="Quote Char"/>
    <w:link w:val="751"/>
    <w:uiPriority w:val="29"/>
    <w:rPr>
      <w:i/>
    </w:rPr>
  </w:style>
  <w:style w:type="paragraph" w:styleId="753">
    <w:name w:val="Intense Quote"/>
    <w:basedOn w:val="900"/>
    <w:next w:val="900"/>
    <w:link w:val="75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4">
    <w:name w:val="Intense Quote Char"/>
    <w:link w:val="753"/>
    <w:uiPriority w:val="30"/>
    <w:rPr>
      <w:i/>
    </w:rPr>
  </w:style>
  <w:style w:type="character" w:styleId="755">
    <w:name w:val="Header Char"/>
    <w:basedOn w:val="904"/>
    <w:link w:val="915"/>
    <w:uiPriority w:val="99"/>
  </w:style>
  <w:style w:type="character" w:styleId="756">
    <w:name w:val="Footer Char"/>
    <w:basedOn w:val="904"/>
    <w:link w:val="921"/>
    <w:uiPriority w:val="99"/>
  </w:style>
  <w:style w:type="character" w:styleId="757">
    <w:name w:val="Caption Char"/>
    <w:basedOn w:val="957"/>
    <w:link w:val="921"/>
    <w:uiPriority w:val="99"/>
  </w:style>
  <w:style w:type="table" w:styleId="758">
    <w:name w:val="Table Grid Light"/>
    <w:basedOn w:val="90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9">
    <w:name w:val="Plain Table 1"/>
    <w:basedOn w:val="90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0">
    <w:name w:val="Plain Table 2"/>
    <w:basedOn w:val="90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1">
    <w:name w:val="Plain Table 3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2">
    <w:name w:val="Plain Table 4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Plain Table 5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4">
    <w:name w:val="Grid Table 1 Light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1 Light - Accent 1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1 Light - Accent 2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1 Light - Accent 3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1 Light - Accent 4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Grid Table 1 Light - Accent 5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Grid Table 1 Light - Accent 6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2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2 - Accent 1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2 - Accent 2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2 - Accent 3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2 - Accent 4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2 - Accent 5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2 - Accent 6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 - Accent 1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3 - Accent 2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3 - Accent 3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3 - Accent 4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 - Accent 5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 - Accent 6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4"/>
    <w:basedOn w:val="90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6">
    <w:name w:val="Grid Table 4 - Accent 1"/>
    <w:basedOn w:val="90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7">
    <w:name w:val="Grid Table 4 - Accent 2"/>
    <w:basedOn w:val="90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8">
    <w:name w:val="Grid Table 4 - Accent 3"/>
    <w:basedOn w:val="90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9">
    <w:name w:val="Grid Table 4 - Accent 4"/>
    <w:basedOn w:val="90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0">
    <w:name w:val="Grid Table 4 - Accent 5"/>
    <w:basedOn w:val="90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1">
    <w:name w:val="Grid Table 4 - Accent 6"/>
    <w:basedOn w:val="90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2">
    <w:name w:val="Grid Table 5 Dark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3">
    <w:name w:val="Grid Table 5 Dark- Accent 1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4">
    <w:name w:val="Grid Table 5 Dark - Accent 2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95">
    <w:name w:val="Grid Table 5 Dark - Accent 3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6">
    <w:name w:val="Grid Table 5 Dark- Accent 4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7">
    <w:name w:val="Grid Table 5 Dark - Accent 5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8">
    <w:name w:val="Grid Table 5 Dark - Accent 6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99">
    <w:name w:val="Grid Table 6 Colorful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0">
    <w:name w:val="Grid Table 6 Colorful - Accent 1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1">
    <w:name w:val="Grid Table 6 Colorful - Accent 2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02">
    <w:name w:val="Grid Table 6 Colorful - Accent 3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3">
    <w:name w:val="Grid Table 6 Colorful - Accent 4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4">
    <w:name w:val="Grid Table 6 Colorful - Accent 5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5">
    <w:name w:val="Grid Table 6 Colorful - Accent 6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6">
    <w:name w:val="Grid Table 7 Colorful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7 Colorful - Accent 1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7 Colorful - Accent 2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7 Colorful - Accent 3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7 Colorful - Accent 4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7 Colorful - Accent 5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7 Colorful - Accent 6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 - Accent 1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1 Light - Accent 2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1 Light - Accent 3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1 Light - Accent 4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 - Accent 5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 - Accent 6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2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1">
    <w:name w:val="List Table 2 - Accent 1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2">
    <w:name w:val="List Table 2 - Accent 2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3">
    <w:name w:val="List Table 2 - Accent 3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4">
    <w:name w:val="List Table 2 - Accent 4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5">
    <w:name w:val="List Table 2 - Accent 5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6">
    <w:name w:val="List Table 2 - Accent 6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7">
    <w:name w:val="List Table 3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3 - Accent 1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3 - Accent 2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3 - Accent 3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3 - Accent 4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3 - Accent 5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3 - Accent 6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 - Accent 1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4 - Accent 2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4 - Accent 3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4 - Accent 4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 - Accent 5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 - Accent 6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5 Dark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2">
    <w:name w:val="List Table 5 Dark - Accent 1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3">
    <w:name w:val="List Table 5 Dark - Accent 2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4">
    <w:name w:val="List Table 5 Dark - Accent 3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5">
    <w:name w:val="List Table 5 Dark - Accent 4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6">
    <w:name w:val="List Table 5 Dark - Accent 5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7">
    <w:name w:val="List Table 5 Dark - Accent 6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8">
    <w:name w:val="List Table 6 Colorful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9">
    <w:name w:val="List Table 6 Colorful - Accent 1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0">
    <w:name w:val="List Table 6 Colorful - Accent 2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1">
    <w:name w:val="List Table 6 Colorful - Accent 3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2">
    <w:name w:val="List Table 6 Colorful - Accent 4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3">
    <w:name w:val="List Table 6 Colorful - Accent 5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4">
    <w:name w:val="List Table 6 Colorful - Accent 6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5">
    <w:name w:val="List Table 7 Colorful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6">
    <w:name w:val="List Table 7 Colorful - Accent 1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57">
    <w:name w:val="List Table 7 Colorful - Accent 2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58">
    <w:name w:val="List Table 7 Colorful - Accent 3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59">
    <w:name w:val="List Table 7 Colorful - Accent 4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0">
    <w:name w:val="List Table 7 Colorful - Accent 5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1">
    <w:name w:val="List Table 7 Colorful - Accent 6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62">
    <w:name w:val="Lined - Accent"/>
    <w:basedOn w:val="9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3">
    <w:name w:val="Lined - Accent 1"/>
    <w:basedOn w:val="9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4">
    <w:name w:val="Lined - Accent 2"/>
    <w:basedOn w:val="9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5">
    <w:name w:val="Lined - Accent 3"/>
    <w:basedOn w:val="9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6">
    <w:name w:val="Lined - Accent 4"/>
    <w:basedOn w:val="9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7">
    <w:name w:val="Lined - Accent 5"/>
    <w:basedOn w:val="9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8">
    <w:name w:val="Lined - Accent 6"/>
    <w:basedOn w:val="9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9">
    <w:name w:val="Bordered &amp; Lined - Accent"/>
    <w:basedOn w:val="9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0">
    <w:name w:val="Bordered &amp; Lined - Accent 1"/>
    <w:basedOn w:val="9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1">
    <w:name w:val="Bordered &amp; Lined - Accent 2"/>
    <w:basedOn w:val="9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2">
    <w:name w:val="Bordered &amp; Lined - Accent 3"/>
    <w:basedOn w:val="9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3">
    <w:name w:val="Bordered &amp; Lined - Accent 4"/>
    <w:basedOn w:val="9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4">
    <w:name w:val="Bordered &amp; Lined - Accent 5"/>
    <w:basedOn w:val="9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5">
    <w:name w:val="Bordered &amp; Lined - Accent 6"/>
    <w:basedOn w:val="9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6">
    <w:name w:val="Bordered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7">
    <w:name w:val="Bordered - Accent 1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8">
    <w:name w:val="Bordered - Accent 2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9">
    <w:name w:val="Bordered - Accent 3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0">
    <w:name w:val="Bordered - Accent 4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1">
    <w:name w:val="Bordered - Accent 5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2">
    <w:name w:val="Bordered - Accent 6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83">
    <w:name w:val="footnote text"/>
    <w:basedOn w:val="900"/>
    <w:link w:val="884"/>
    <w:uiPriority w:val="99"/>
    <w:semiHidden/>
    <w:unhideWhenUsed/>
    <w:pPr>
      <w:spacing w:after="40" w:line="240" w:lineRule="auto"/>
    </w:pPr>
    <w:rPr>
      <w:sz w:val="18"/>
    </w:rPr>
  </w:style>
  <w:style w:type="character" w:styleId="884">
    <w:name w:val="Footnote Text Char"/>
    <w:link w:val="883"/>
    <w:uiPriority w:val="99"/>
    <w:rPr>
      <w:sz w:val="18"/>
    </w:rPr>
  </w:style>
  <w:style w:type="character" w:styleId="885">
    <w:name w:val="footnote reference"/>
    <w:basedOn w:val="904"/>
    <w:uiPriority w:val="99"/>
    <w:unhideWhenUsed/>
    <w:rPr>
      <w:vertAlign w:val="superscript"/>
    </w:rPr>
  </w:style>
  <w:style w:type="paragraph" w:styleId="886">
    <w:name w:val="endnote text"/>
    <w:basedOn w:val="900"/>
    <w:link w:val="887"/>
    <w:uiPriority w:val="99"/>
    <w:semiHidden/>
    <w:unhideWhenUsed/>
    <w:pPr>
      <w:spacing w:after="0" w:line="240" w:lineRule="auto"/>
    </w:pPr>
    <w:rPr>
      <w:sz w:val="20"/>
    </w:rPr>
  </w:style>
  <w:style w:type="character" w:styleId="887">
    <w:name w:val="Endnote Text Char"/>
    <w:link w:val="886"/>
    <w:uiPriority w:val="99"/>
    <w:rPr>
      <w:sz w:val="20"/>
    </w:rPr>
  </w:style>
  <w:style w:type="character" w:styleId="888">
    <w:name w:val="endnote reference"/>
    <w:basedOn w:val="904"/>
    <w:uiPriority w:val="99"/>
    <w:semiHidden/>
    <w:unhideWhenUsed/>
    <w:rPr>
      <w:vertAlign w:val="superscript"/>
    </w:rPr>
  </w:style>
  <w:style w:type="paragraph" w:styleId="889">
    <w:name w:val="toc 1"/>
    <w:basedOn w:val="900"/>
    <w:next w:val="900"/>
    <w:uiPriority w:val="39"/>
    <w:unhideWhenUsed/>
    <w:pPr>
      <w:ind w:left="0" w:right="0" w:firstLine="0"/>
      <w:spacing w:after="57"/>
    </w:pPr>
  </w:style>
  <w:style w:type="paragraph" w:styleId="890">
    <w:name w:val="toc 2"/>
    <w:basedOn w:val="900"/>
    <w:next w:val="900"/>
    <w:uiPriority w:val="39"/>
    <w:unhideWhenUsed/>
    <w:pPr>
      <w:ind w:left="283" w:right="0" w:firstLine="0"/>
      <w:spacing w:after="57"/>
    </w:pPr>
  </w:style>
  <w:style w:type="paragraph" w:styleId="891">
    <w:name w:val="toc 3"/>
    <w:basedOn w:val="900"/>
    <w:next w:val="900"/>
    <w:uiPriority w:val="39"/>
    <w:unhideWhenUsed/>
    <w:pPr>
      <w:ind w:left="567" w:right="0" w:firstLine="0"/>
      <w:spacing w:after="57"/>
    </w:pPr>
  </w:style>
  <w:style w:type="paragraph" w:styleId="892">
    <w:name w:val="toc 4"/>
    <w:basedOn w:val="900"/>
    <w:next w:val="900"/>
    <w:uiPriority w:val="39"/>
    <w:unhideWhenUsed/>
    <w:pPr>
      <w:ind w:left="850" w:right="0" w:firstLine="0"/>
      <w:spacing w:after="57"/>
    </w:pPr>
  </w:style>
  <w:style w:type="paragraph" w:styleId="893">
    <w:name w:val="toc 5"/>
    <w:basedOn w:val="900"/>
    <w:next w:val="900"/>
    <w:uiPriority w:val="39"/>
    <w:unhideWhenUsed/>
    <w:pPr>
      <w:ind w:left="1134" w:right="0" w:firstLine="0"/>
      <w:spacing w:after="57"/>
    </w:pPr>
  </w:style>
  <w:style w:type="paragraph" w:styleId="894">
    <w:name w:val="toc 6"/>
    <w:basedOn w:val="900"/>
    <w:next w:val="900"/>
    <w:uiPriority w:val="39"/>
    <w:unhideWhenUsed/>
    <w:pPr>
      <w:ind w:left="1417" w:right="0" w:firstLine="0"/>
      <w:spacing w:after="57"/>
    </w:pPr>
  </w:style>
  <w:style w:type="paragraph" w:styleId="895">
    <w:name w:val="toc 7"/>
    <w:basedOn w:val="900"/>
    <w:next w:val="900"/>
    <w:uiPriority w:val="39"/>
    <w:unhideWhenUsed/>
    <w:pPr>
      <w:ind w:left="1701" w:right="0" w:firstLine="0"/>
      <w:spacing w:after="57"/>
    </w:pPr>
  </w:style>
  <w:style w:type="paragraph" w:styleId="896">
    <w:name w:val="toc 8"/>
    <w:basedOn w:val="900"/>
    <w:next w:val="900"/>
    <w:uiPriority w:val="39"/>
    <w:unhideWhenUsed/>
    <w:pPr>
      <w:ind w:left="1984" w:right="0" w:firstLine="0"/>
      <w:spacing w:after="57"/>
    </w:pPr>
  </w:style>
  <w:style w:type="paragraph" w:styleId="897">
    <w:name w:val="toc 9"/>
    <w:basedOn w:val="900"/>
    <w:next w:val="900"/>
    <w:uiPriority w:val="39"/>
    <w:unhideWhenUsed/>
    <w:pPr>
      <w:ind w:left="2268" w:right="0" w:firstLine="0"/>
      <w:spacing w:after="57"/>
    </w:pPr>
  </w:style>
  <w:style w:type="paragraph" w:styleId="898">
    <w:name w:val="TOC Heading"/>
    <w:uiPriority w:val="39"/>
    <w:unhideWhenUsed/>
  </w:style>
  <w:style w:type="paragraph" w:styleId="899">
    <w:name w:val="table of figures"/>
    <w:basedOn w:val="900"/>
    <w:next w:val="900"/>
    <w:uiPriority w:val="99"/>
    <w:unhideWhenUsed/>
    <w:pPr>
      <w:spacing w:after="0" w:afterAutospacing="0"/>
    </w:pPr>
  </w:style>
  <w:style w:type="paragraph" w:styleId="900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901">
    <w:name w:val="Heading 1"/>
    <w:basedOn w:val="900"/>
    <w:link w:val="932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902">
    <w:name w:val="Heading 2"/>
    <w:basedOn w:val="900"/>
    <w:next w:val="900"/>
    <w:link w:val="907"/>
    <w:uiPriority w:val="99"/>
    <w:qFormat/>
    <w:pPr>
      <w:keepNext/>
      <w:spacing w:before="240" w:after="60" w:line="240" w:lineRule="auto"/>
      <w:outlineLvl w:val="1"/>
    </w:pPr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paragraph" w:styleId="903">
    <w:name w:val="Heading 3"/>
    <w:basedOn w:val="900"/>
    <w:next w:val="900"/>
    <w:link w:val="933"/>
    <w:qFormat/>
    <w:pPr>
      <w:keepNext/>
      <w:spacing w:before="240" w:after="60" w:line="240" w:lineRule="auto"/>
      <w:outlineLvl w:val="2"/>
    </w:pPr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character" w:styleId="904" w:default="1">
    <w:name w:val="Default Paragraph Font"/>
    <w:uiPriority w:val="1"/>
    <w:semiHidden/>
    <w:unhideWhenUsed/>
  </w:style>
  <w:style w:type="table" w:styleId="90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6" w:default="1">
    <w:name w:val="No List"/>
    <w:uiPriority w:val="99"/>
    <w:semiHidden/>
    <w:unhideWhenUsed/>
  </w:style>
  <w:style w:type="character" w:styleId="907" w:customStyle="1">
    <w:name w:val="Заголовок 2 Знак"/>
    <w:link w:val="902"/>
    <w:uiPriority w:val="99"/>
    <w:rPr>
      <w:rFonts w:ascii="Cambria" w:hAnsi="Cambria" w:eastAsia="Times New Roman" w:cs="Cambria"/>
      <w:b/>
      <w:bCs/>
      <w:i/>
      <w:iCs/>
      <w:sz w:val="28"/>
      <w:szCs w:val="28"/>
      <w:lang w:eastAsia="ru-RU"/>
    </w:rPr>
  </w:style>
  <w:style w:type="paragraph" w:styleId="908" w:customStyle="1">
    <w:name w:val="Знак Знак2"/>
    <w:basedOn w:val="90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09">
    <w:name w:val="List Paragraph"/>
    <w:basedOn w:val="900"/>
    <w:link w:val="927"/>
    <w:uiPriority w:val="34"/>
    <w:qFormat/>
    <w:pPr>
      <w:ind w:left="720"/>
    </w:pPr>
  </w:style>
  <w:style w:type="character" w:styleId="910" w:customStyle="1">
    <w:name w:val="МОН Знак"/>
    <w:link w:val="911"/>
    <w:uiPriority w:val="99"/>
    <w:rPr>
      <w:sz w:val="24"/>
      <w:szCs w:val="24"/>
    </w:rPr>
  </w:style>
  <w:style w:type="paragraph" w:styleId="911" w:customStyle="1">
    <w:name w:val="МОН"/>
    <w:basedOn w:val="900"/>
    <w:link w:val="910"/>
    <w:uiPriority w:val="99"/>
    <w:pPr>
      <w:ind w:firstLine="709"/>
      <w:jc w:val="both"/>
      <w:spacing w:after="0" w:line="360" w:lineRule="auto"/>
    </w:pPr>
    <w:rPr>
      <w:rFonts w:cs="Times New Roman"/>
      <w:sz w:val="24"/>
      <w:szCs w:val="24"/>
    </w:rPr>
  </w:style>
  <w:style w:type="paragraph" w:styleId="912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913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paragraph" w:styleId="914" w:customStyle="1">
    <w:name w:val="ConsPlusNormal"/>
    <w:pPr>
      <w:ind w:firstLine="720"/>
      <w:widowControl w:val="off"/>
    </w:pPr>
    <w:rPr>
      <w:rFonts w:ascii="Arial" w:hAnsi="Arial" w:eastAsia="Times New Roman" w:cs="Arial"/>
    </w:rPr>
  </w:style>
  <w:style w:type="paragraph" w:styleId="915">
    <w:name w:val="Header"/>
    <w:basedOn w:val="900"/>
    <w:link w:val="916"/>
    <w:uiPriority w:val="99"/>
    <w:pPr>
      <w:spacing w:after="0" w:line="240" w:lineRule="auto"/>
      <w:widowControl w:val="off"/>
      <w:tabs>
        <w:tab w:val="center" w:pos="4677" w:leader="none"/>
        <w:tab w:val="right" w:pos="9355" w:leader="none"/>
      </w:tabs>
    </w:pPr>
    <w:rPr>
      <w:rFonts w:ascii="Arial" w:hAnsi="Arial" w:eastAsia="Times New Roman" w:cs="Times New Roman"/>
      <w:sz w:val="20"/>
      <w:szCs w:val="20"/>
      <w:lang w:eastAsia="ru-RU"/>
    </w:rPr>
  </w:style>
  <w:style w:type="character" w:styleId="916" w:customStyle="1">
    <w:name w:val="Верхний колонтитул Знак"/>
    <w:link w:val="915"/>
    <w:uiPriority w:val="99"/>
    <w:rPr>
      <w:rFonts w:ascii="Arial" w:hAnsi="Arial" w:eastAsia="Times New Roman" w:cs="Arial"/>
      <w:sz w:val="20"/>
      <w:szCs w:val="20"/>
      <w:lang w:eastAsia="ru-RU"/>
    </w:rPr>
  </w:style>
  <w:style w:type="paragraph" w:styleId="917">
    <w:name w:val="Balloon Text"/>
    <w:basedOn w:val="900"/>
    <w:link w:val="918"/>
    <w:uiPriority w:val="99"/>
    <w:rPr>
      <w:rFonts w:ascii="Tahoma" w:hAnsi="Tahoma" w:cs="Times New Roman"/>
      <w:sz w:val="16"/>
      <w:szCs w:val="16"/>
    </w:rPr>
  </w:style>
  <w:style w:type="character" w:styleId="918" w:customStyle="1">
    <w:name w:val="Текст выноски Знак"/>
    <w:link w:val="917"/>
    <w:uiPriority w:val="99"/>
    <w:rPr>
      <w:rFonts w:ascii="Tahoma" w:hAnsi="Tahoma" w:eastAsia="Calibri" w:cs="Tahoma"/>
      <w:sz w:val="16"/>
      <w:szCs w:val="16"/>
    </w:rPr>
  </w:style>
  <w:style w:type="paragraph" w:styleId="919">
    <w:name w:val="No Spacing"/>
    <w:uiPriority w:val="1"/>
    <w:qFormat/>
    <w:rPr>
      <w:rFonts w:cs="Calibri"/>
      <w:sz w:val="22"/>
      <w:szCs w:val="22"/>
      <w:lang w:eastAsia="en-US"/>
    </w:rPr>
  </w:style>
  <w:style w:type="table" w:styleId="920">
    <w:name w:val="Table Grid"/>
    <w:basedOn w:val="905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1">
    <w:name w:val="Footer"/>
    <w:basedOn w:val="900"/>
    <w:link w:val="922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cs="Times New Roman"/>
      <w:sz w:val="24"/>
      <w:szCs w:val="24"/>
    </w:rPr>
  </w:style>
  <w:style w:type="character" w:styleId="922" w:customStyle="1">
    <w:name w:val="Нижний колонтитул Знак"/>
    <w:link w:val="921"/>
    <w:uiPriority w:val="99"/>
    <w:rPr>
      <w:rFonts w:ascii="Times New Roman" w:hAnsi="Times New Roman"/>
      <w:sz w:val="24"/>
      <w:szCs w:val="24"/>
      <w:lang w:eastAsia="en-US"/>
    </w:rPr>
  </w:style>
  <w:style w:type="character" w:styleId="923">
    <w:name w:val="Strong"/>
    <w:qFormat/>
    <w:rPr>
      <w:b/>
      <w:bCs/>
    </w:rPr>
  </w:style>
  <w:style w:type="paragraph" w:styleId="924" w:customStyle="1">
    <w:name w:val="Знак Знак Знак Знак Знак Знак Знак Знак Знак Знак"/>
    <w:basedOn w:val="90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25">
    <w:name w:val="Body Text 2"/>
    <w:basedOn w:val="900"/>
    <w:link w:val="926"/>
    <w:pPr>
      <w:ind w:right="5215"/>
      <w:jc w:val="both"/>
      <w:spacing w:after="0" w:line="240" w:lineRule="auto"/>
      <w:tabs>
        <w:tab w:val="left" w:pos="4500" w:leader="none"/>
        <w:tab w:val="left" w:pos="5220" w:leader="none"/>
      </w:tabs>
    </w:pPr>
    <w:rPr>
      <w:rFonts w:ascii="Times New Roman" w:hAnsi="Times New Roman" w:eastAsia="Times New Roman" w:cs="Times New Roman"/>
      <w:sz w:val="26"/>
      <w:szCs w:val="26"/>
      <w:lang w:eastAsia="ru-RU"/>
    </w:rPr>
  </w:style>
  <w:style w:type="character" w:styleId="926" w:customStyle="1">
    <w:name w:val="Основной текст 2 Знак"/>
    <w:link w:val="925"/>
    <w:rPr>
      <w:rFonts w:ascii="Times New Roman" w:hAnsi="Times New Roman" w:eastAsia="Times New Roman"/>
      <w:sz w:val="26"/>
      <w:szCs w:val="26"/>
    </w:rPr>
  </w:style>
  <w:style w:type="character" w:styleId="927" w:customStyle="1">
    <w:name w:val="Абзац списка Знак"/>
    <w:link w:val="909"/>
    <w:uiPriority w:val="34"/>
    <w:rPr>
      <w:rFonts w:cs="Calibri"/>
      <w:sz w:val="22"/>
      <w:szCs w:val="22"/>
      <w:lang w:eastAsia="en-US"/>
    </w:rPr>
  </w:style>
  <w:style w:type="character" w:styleId="928">
    <w:name w:val="Hyperlink"/>
    <w:rPr>
      <w:color w:val="0000ff"/>
      <w:u w:val="single"/>
    </w:rPr>
  </w:style>
  <w:style w:type="paragraph" w:styleId="929" w:customStyle="1">
    <w:name w:val="Абзац списка1"/>
    <w:basedOn w:val="900"/>
    <w:pPr>
      <w:ind w:left="720"/>
    </w:pPr>
  </w:style>
  <w:style w:type="character" w:styleId="930">
    <w:name w:val="Placeholder Text"/>
    <w:basedOn w:val="904"/>
    <w:uiPriority w:val="99"/>
    <w:semiHidden/>
    <w:rPr>
      <w:color w:val="808080"/>
    </w:rPr>
  </w:style>
  <w:style w:type="paragraph" w:styleId="931" w:customStyle="1">
    <w:name w:val="ConsPlusTitle"/>
    <w:uiPriority w:val="99"/>
    <w:pPr>
      <w:widowControl w:val="off"/>
    </w:pPr>
    <w:rPr>
      <w:rFonts w:ascii="Times New Roman" w:hAnsi="Times New Roman" w:eastAsia="Times New Roman"/>
      <w:b/>
      <w:bCs/>
      <w:sz w:val="24"/>
      <w:szCs w:val="24"/>
    </w:rPr>
  </w:style>
  <w:style w:type="character" w:styleId="932" w:customStyle="1">
    <w:name w:val="Заголовок 1 Знак"/>
    <w:basedOn w:val="904"/>
    <w:link w:val="901"/>
    <w:uiPriority w:val="9"/>
    <w:rPr>
      <w:rFonts w:ascii="Times New Roman" w:hAnsi="Times New Roman" w:eastAsia="Times New Roman"/>
      <w:b/>
      <w:bCs/>
      <w:sz w:val="48"/>
      <w:szCs w:val="48"/>
    </w:rPr>
  </w:style>
  <w:style w:type="character" w:styleId="933" w:customStyle="1">
    <w:name w:val="Заголовок 3 Знак"/>
    <w:basedOn w:val="904"/>
    <w:link w:val="903"/>
    <w:rPr>
      <w:rFonts w:ascii="Cambria" w:hAnsi="Cambria" w:eastAsia="Times New Roman"/>
      <w:b/>
      <w:bCs/>
      <w:sz w:val="26"/>
      <w:szCs w:val="26"/>
    </w:rPr>
  </w:style>
  <w:style w:type="character" w:styleId="934" w:customStyle="1">
    <w:name w:val="Основной текст_"/>
    <w:link w:val="935"/>
    <w:rPr>
      <w:rFonts w:ascii="Times New Roman" w:hAnsi="Times New Roman" w:eastAsia="Times New Roman"/>
      <w:spacing w:val="-1"/>
      <w:sz w:val="26"/>
      <w:szCs w:val="26"/>
      <w:shd w:val="clear" w:color="auto" w:fill="ffffff"/>
    </w:rPr>
  </w:style>
  <w:style w:type="paragraph" w:styleId="935" w:customStyle="1">
    <w:name w:val="Основной текст2"/>
    <w:basedOn w:val="900"/>
    <w:link w:val="934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 w:cs="Times New Roman"/>
      <w:spacing w:val="-1"/>
      <w:sz w:val="26"/>
      <w:szCs w:val="26"/>
      <w:lang w:eastAsia="ru-RU"/>
    </w:rPr>
  </w:style>
  <w:style w:type="character" w:styleId="936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37" w:customStyle="1">
    <w:name w:val="32"/>
    <w:basedOn w:val="90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38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39">
    <w:name w:val="Normal (Web)"/>
    <w:basedOn w:val="90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0">
    <w:name w:val="Body Text Indent"/>
    <w:basedOn w:val="900"/>
    <w:link w:val="941"/>
    <w:uiPriority w:val="99"/>
    <w:pPr>
      <w:ind w:left="283"/>
      <w:spacing w:after="12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941" w:customStyle="1">
    <w:name w:val="Основной текст с отступом Знак"/>
    <w:basedOn w:val="904"/>
    <w:link w:val="940"/>
    <w:uiPriority w:val="99"/>
    <w:rPr>
      <w:rFonts w:ascii="Times New Roman" w:hAnsi="Times New Roman" w:eastAsia="Times New Roman"/>
      <w:sz w:val="24"/>
      <w:szCs w:val="24"/>
    </w:rPr>
  </w:style>
  <w:style w:type="character" w:styleId="942">
    <w:name w:val="Emphasis"/>
    <w:qFormat/>
    <w:rPr>
      <w:i/>
      <w:iCs/>
    </w:rPr>
  </w:style>
  <w:style w:type="paragraph" w:styleId="943" w:customStyle="1">
    <w:name w:val="Содержимое таблицы"/>
    <w:basedOn w:val="900"/>
    <w:pPr>
      <w:spacing w:after="0" w:line="240" w:lineRule="auto"/>
      <w:widowControl w:val="off"/>
      <w:suppressLineNumbers/>
    </w:pPr>
    <w:rPr>
      <w:rFonts w:ascii="Times New Roman" w:hAnsi="Times New Roman" w:cs="Times New Roman"/>
      <w:sz w:val="24"/>
      <w:szCs w:val="24"/>
      <w:lang w:eastAsia="ar-SA"/>
    </w:rPr>
  </w:style>
  <w:style w:type="paragraph" w:styleId="944" w:customStyle="1">
    <w:name w:val="consplusnormal"/>
    <w:basedOn w:val="90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5" w:customStyle="1">
    <w:name w:val="a2"/>
    <w:basedOn w:val="90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6" w:customStyle="1">
    <w:name w:val="15"/>
    <w:basedOn w:val="90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47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8" w:customStyle="1">
    <w:name w:val="h1"/>
    <w:basedOn w:val="90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9" w:customStyle="1">
    <w:name w:val="msonospacing"/>
    <w:basedOn w:val="90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0" w:customStyle="1">
    <w:name w:val="ac"/>
    <w:basedOn w:val="90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1">
    <w:name w:val="Body Text 3"/>
    <w:basedOn w:val="900"/>
    <w:link w:val="952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52" w:customStyle="1">
    <w:name w:val="Основной текст 3 Знак"/>
    <w:basedOn w:val="904"/>
    <w:link w:val="951"/>
    <w:uiPriority w:val="99"/>
    <w:rPr>
      <w:rFonts w:ascii="Times New Roman" w:hAnsi="Times New Roman" w:eastAsia="Times New Roman"/>
      <w:sz w:val="24"/>
      <w:szCs w:val="24"/>
    </w:rPr>
  </w:style>
  <w:style w:type="paragraph" w:styleId="953">
    <w:name w:val="HTML Bottom of Form"/>
    <w:basedOn w:val="900"/>
    <w:next w:val="900"/>
    <w:link w:val="954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 w:cs="Times New Roman"/>
      <w:vanish/>
      <w:sz w:val="16"/>
      <w:szCs w:val="16"/>
      <w:lang w:eastAsia="ru-RU"/>
    </w:rPr>
  </w:style>
  <w:style w:type="character" w:styleId="954" w:customStyle="1">
    <w:name w:val="z-Конец формы Знак"/>
    <w:basedOn w:val="904"/>
    <w:link w:val="953"/>
    <w:rPr>
      <w:rFonts w:ascii="Arial" w:hAnsi="Arial" w:eastAsia="Times New Roman"/>
      <w:vanish/>
      <w:sz w:val="16"/>
      <w:szCs w:val="16"/>
    </w:rPr>
  </w:style>
  <w:style w:type="paragraph" w:styleId="955" w:customStyle="1">
    <w:name w:val="Style16"/>
    <w:basedOn w:val="900"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56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57">
    <w:name w:val="Caption"/>
    <w:basedOn w:val="900"/>
    <w:next w:val="900"/>
    <w:qFormat/>
    <w:pPr>
      <w:jc w:val="center"/>
      <w:spacing w:after="0" w:line="240" w:lineRule="auto"/>
    </w:pPr>
    <w:rPr>
      <w:rFonts w:ascii="Times New Roman" w:hAnsi="Times New Roman" w:eastAsia="Times New Roman" w:cs="Times New Roman"/>
      <w:b/>
      <w:sz w:val="32"/>
      <w:szCs w:val="20"/>
      <w:lang w:eastAsia="ru-RU"/>
    </w:rPr>
  </w:style>
  <w:style w:type="paragraph" w:styleId="958">
    <w:name w:val="Body Text"/>
    <w:basedOn w:val="900"/>
    <w:link w:val="959"/>
    <w:uiPriority w:val="9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59" w:customStyle="1">
    <w:name w:val="Основной текст Знак"/>
    <w:basedOn w:val="904"/>
    <w:link w:val="958"/>
    <w:uiPriority w:val="99"/>
    <w:rPr>
      <w:rFonts w:ascii="Times New Roman" w:hAnsi="Times New Roman" w:eastAsia="Times New Roman"/>
      <w:sz w:val="24"/>
      <w:szCs w:val="24"/>
    </w:rPr>
  </w:style>
  <w:style w:type="paragraph" w:styleId="960">
    <w:name w:val="Body Text Indent 2"/>
    <w:basedOn w:val="900"/>
    <w:link w:val="961"/>
    <w:pPr>
      <w:ind w:left="283"/>
      <w:spacing w:after="120" w:line="48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61" w:customStyle="1">
    <w:name w:val="Основной текст с отступом 2 Знак"/>
    <w:basedOn w:val="904"/>
    <w:link w:val="960"/>
    <w:rPr>
      <w:rFonts w:ascii="Times New Roman" w:hAnsi="Times New Roman" w:eastAsia="Times New Roman"/>
      <w:sz w:val="24"/>
      <w:szCs w:val="24"/>
    </w:rPr>
  </w:style>
  <w:style w:type="character" w:styleId="962" w:customStyle="1">
    <w:name w:val="Заголовок №2_"/>
    <w:link w:val="963"/>
    <w:rPr>
      <w:rFonts w:ascii="Times New Roman" w:hAnsi="Times New Roman" w:eastAsia="Times New Roman"/>
      <w:b/>
      <w:bCs/>
      <w:sz w:val="26"/>
      <w:szCs w:val="26"/>
      <w:shd w:val="clear" w:color="auto" w:fill="ffffff"/>
    </w:rPr>
  </w:style>
  <w:style w:type="paragraph" w:styleId="963" w:customStyle="1">
    <w:name w:val="Заголовок №2"/>
    <w:basedOn w:val="900"/>
    <w:link w:val="962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 w:cs="Times New Roman"/>
      <w:b/>
      <w:bCs/>
      <w:sz w:val="26"/>
      <w:szCs w:val="26"/>
      <w:lang w:eastAsia="ru-RU"/>
    </w:rPr>
  </w:style>
  <w:style w:type="paragraph" w:styleId="964" w:customStyle="1">
    <w:name w:val="Default"/>
    <w:rPr>
      <w:rFonts w:ascii="Arial" w:hAnsi="Arial" w:cs="Arial"/>
      <w:color w:val="000000"/>
      <w:sz w:val="24"/>
      <w:szCs w:val="24"/>
    </w:rPr>
  </w:style>
  <w:style w:type="paragraph" w:styleId="965" w:customStyle="1">
    <w:name w:val="msonormalcxspmiddle"/>
    <w:basedOn w:val="90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966" w:customStyle="1">
    <w:name w:val="Нет списка1"/>
    <w:next w:val="906"/>
    <w:semiHidden/>
    <w:unhideWhenUsed/>
  </w:style>
  <w:style w:type="table" w:styleId="967" w:customStyle="1">
    <w:name w:val="Сетка таблицы1"/>
    <w:basedOn w:val="905"/>
    <w:next w:val="920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68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69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70" w:customStyle="1">
    <w:name w:val="Обычный (веб)18"/>
    <w:basedOn w:val="900"/>
    <w:pPr>
      <w:jc w:val="both"/>
      <w:spacing w:after="0" w:line="240" w:lineRule="auto"/>
    </w:pPr>
    <w:rPr>
      <w:rFonts w:ascii="Times New Roman" w:hAnsi="Times New Roman" w:eastAsia="Times New Roman" w:cs="Times New Roman"/>
      <w:bCs/>
      <w:color w:val="000000"/>
      <w:sz w:val="28"/>
      <w:szCs w:val="28"/>
      <w:lang w:eastAsia="ar-SA"/>
    </w:rPr>
  </w:style>
  <w:style w:type="paragraph" w:styleId="971" w:customStyle="1">
    <w:name w:val="Знак Знак2 Знак Знак Знак Знак Знак Знак"/>
    <w:basedOn w:val="90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2">
    <w:name w:val="Body Text Indent 3"/>
    <w:basedOn w:val="900"/>
    <w:link w:val="973"/>
    <w:uiPriority w:val="99"/>
    <w:semiHidden/>
    <w:unhideWhenUsed/>
    <w:pPr>
      <w:ind w:left="283"/>
      <w:spacing w:after="120"/>
    </w:pPr>
    <w:rPr>
      <w:rFonts w:cs="Times New Roman"/>
      <w:sz w:val="16"/>
      <w:szCs w:val="16"/>
    </w:rPr>
  </w:style>
  <w:style w:type="character" w:styleId="973" w:customStyle="1">
    <w:name w:val="Основной текст с отступом 3 Знак"/>
    <w:basedOn w:val="904"/>
    <w:link w:val="972"/>
    <w:uiPriority w:val="99"/>
    <w:semiHidden/>
    <w:rPr>
      <w:sz w:val="16"/>
      <w:szCs w:val="16"/>
      <w:lang w:eastAsia="en-US"/>
    </w:rPr>
  </w:style>
  <w:style w:type="paragraph" w:styleId="974" w:customStyle="1">
    <w:name w:val="1"/>
    <w:basedOn w:val="90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75" w:customStyle="1">
    <w:name w:val="blk"/>
  </w:style>
  <w:style w:type="character" w:styleId="976" w:customStyle="1">
    <w:name w:val="grame"/>
  </w:style>
  <w:style w:type="character" w:styleId="977">
    <w:name w:val="page number"/>
    <w:uiPriority w:val="99"/>
    <w:rPr>
      <w:rFonts w:cs="Times New Roman"/>
    </w:rPr>
  </w:style>
  <w:style w:type="paragraph" w:styleId="978">
    <w:name w:val="Title"/>
    <w:basedOn w:val="900"/>
    <w:link w:val="979"/>
    <w:uiPriority w:val="99"/>
    <w:qFormat/>
    <w:pPr>
      <w:jc w:val="center"/>
      <w:spacing w:after="0" w:line="240" w:lineRule="auto"/>
    </w:pPr>
    <w:rPr>
      <w:rFonts w:ascii="Times New Roman" w:hAnsi="Times New Roman" w:eastAsia="Times New Roman" w:cs="Times New Roman"/>
      <w:caps/>
      <w:sz w:val="24"/>
      <w:szCs w:val="24"/>
      <w:lang w:eastAsia="ru-RU"/>
    </w:rPr>
  </w:style>
  <w:style w:type="character" w:styleId="979" w:customStyle="1">
    <w:name w:val="Название Знак"/>
    <w:basedOn w:val="904"/>
    <w:link w:val="978"/>
    <w:uiPriority w:val="99"/>
    <w:rPr>
      <w:rFonts w:ascii="Times New Roman" w:hAnsi="Times New Roman" w:eastAsia="Times New Roman"/>
      <w:caps/>
      <w:sz w:val="24"/>
      <w:szCs w:val="24"/>
    </w:rPr>
  </w:style>
  <w:style w:type="paragraph" w:styleId="980" w:customStyle="1">
    <w:name w:val="Знак1"/>
    <w:basedOn w:val="900"/>
    <w:uiPriority w:val="99"/>
    <w:pPr>
      <w:spacing w:before="100" w:beforeAutospacing="1" w:after="100" w:afterAutospacing="1" w:line="240" w:lineRule="auto"/>
    </w:pPr>
    <w:rPr>
      <w:rFonts w:ascii="Tahoma" w:hAnsi="Tahoma" w:eastAsia="Times New Roman" w:cs="Tahoma"/>
      <w:sz w:val="20"/>
      <w:szCs w:val="20"/>
      <w:lang w:val="en-US"/>
    </w:rPr>
  </w:style>
  <w:style w:type="character" w:styleId="981" w:customStyle="1">
    <w:name w:val="Font Style18"/>
    <w:uiPriority w:val="99"/>
    <w:rPr>
      <w:rFonts w:ascii="Times New Roman" w:hAnsi="Times New Roman" w:cs="Times New Roman"/>
      <w:sz w:val="26"/>
      <w:szCs w:val="26"/>
    </w:rPr>
  </w:style>
  <w:style w:type="numbering" w:styleId="982" w:customStyle="1">
    <w:name w:val="Нет списка2"/>
    <w:next w:val="906"/>
    <w:uiPriority w:val="99"/>
    <w:semiHidden/>
    <w:unhideWhenUsed/>
  </w:style>
  <w:style w:type="table" w:styleId="983" w:customStyle="1">
    <w:name w:val="Сетка таблицы2"/>
    <w:basedOn w:val="905"/>
    <w:next w:val="920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984" w:customStyle="1">
    <w:name w:val="Нет списка11"/>
    <w:next w:val="906"/>
    <w:semiHidden/>
    <w:unhideWhenUsed/>
  </w:style>
  <w:style w:type="table" w:styleId="985" w:customStyle="1">
    <w:name w:val="Сетка таблицы11"/>
    <w:basedOn w:val="905"/>
    <w:next w:val="920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91E74-ECD7-4769-898E-8A853155C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Желтый – доработать</dc:title>
  <dc:creator>Кучугура Вера</dc:creator>
  <cp:revision>21</cp:revision>
  <dcterms:created xsi:type="dcterms:W3CDTF">2024-05-24T07:19:00Z</dcterms:created>
  <dcterms:modified xsi:type="dcterms:W3CDTF">2024-06-04T09:05:59Z</dcterms:modified>
</cp:coreProperties>
</file>