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9600" cy="734695"/>
                <wp:effectExtent l="0" t="0" r="0" b="8255"/>
                <wp:docPr id="1" name="Рисунок 3" descr="Описание: 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34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.00pt;height:57.8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jc w:val="center"/>
        <w:spacing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</w:r>
    </w:p>
    <w:p>
      <w:pPr>
        <w:jc w:val="center"/>
        <w:spacing w:line="240" w:lineRule="auto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spacing w:line="240" w:lineRule="auto"/>
        <w:widowControl w:val="off"/>
        <w:rPr>
          <w:b/>
        </w:rPr>
      </w:pP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spacing w:line="240" w:lineRule="auto"/>
        <w:widowControl w:val="off"/>
        <w:rPr>
          <w:b/>
        </w:rPr>
      </w:pPr>
      <w:r>
        <w:rPr>
          <w:b/>
        </w:rPr>
        <w:t xml:space="preserve">МУРМАНСКОЙ ОБЛАСТИ</w:t>
      </w:r>
      <w:r>
        <w:rPr>
          <w:b/>
        </w:rPr>
      </w:r>
      <w:r>
        <w:rPr>
          <w:b/>
        </w:rPr>
      </w:r>
    </w:p>
    <w:p>
      <w:pPr>
        <w:jc w:val="center"/>
        <w:spacing w:line="240" w:lineRule="auto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spacing w:line="240" w:lineRule="auto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spacing w:line="240" w:lineRule="auto"/>
        <w:widowControl w:val="off"/>
      </w:pPr>
      <w:r/>
      <w:r/>
    </w:p>
    <w:p>
      <w:pPr>
        <w:jc w:val="center"/>
        <w:spacing w:line="240" w:lineRule="auto"/>
        <w:widowControl w:val="off"/>
      </w:pPr>
      <w:r/>
      <w:r/>
    </w:p>
    <w:p>
      <w:pPr>
        <w:spacing w:line="240" w:lineRule="auto"/>
        <w:widowControl w:val="off"/>
        <w:rPr>
          <w:b/>
          <w:sz w:val="24"/>
        </w:rPr>
      </w:pPr>
      <w:r>
        <w:rPr>
          <w:b/>
          <w:sz w:val="24"/>
        </w:rPr>
        <w:t xml:space="preserve">от 03.06.2024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№ 938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spacing w:line="240" w:lineRule="auto"/>
        <w:widowControl w:val="off"/>
        <w:rPr>
          <w:b/>
          <w:bCs/>
          <w:sz w:val="24"/>
          <w:szCs w:val="24"/>
          <w:highlight w:val="none"/>
        </w:rPr>
      </w:pPr>
      <w:r>
        <w:rPr>
          <w:b/>
          <w:sz w:val="24"/>
        </w:rPr>
        <w:t xml:space="preserve">п.г.т. Никель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spacing w:line="240" w:lineRule="auto"/>
        <w:widowControl w:val="off"/>
        <w:rPr>
          <w:b/>
          <w:bCs/>
        </w:rPr>
      </w:pPr>
      <w:r>
        <w:rPr>
          <w:b/>
          <w:sz w:val="24"/>
          <w:highlight w:val="none"/>
        </w:rPr>
      </w:r>
      <w:r>
        <w:rPr>
          <w:b/>
          <w:sz w:val="24"/>
          <w:highlight w:val="none"/>
        </w:rPr>
      </w:r>
      <w:r>
        <w:rPr>
          <w:b/>
          <w:bCs/>
        </w:rPr>
      </w:r>
    </w:p>
    <w:p>
      <w:pPr>
        <w:spacing w:line="240" w:lineRule="auto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pacing w:line="240" w:lineRule="auto"/>
        <w:widowControl w:val="off"/>
        <w:rPr>
          <w:rFonts w:cs="Times New Roman"/>
          <w:b/>
          <w:sz w:val="20"/>
          <w:szCs w:val="20"/>
        </w:rPr>
      </w:pPr>
      <w:r>
        <w:rPr>
          <w:rFonts w:eastAsia="Calibri" w:cs="Times New Roman"/>
          <w:b/>
          <w:color w:val="000000"/>
          <w:sz w:val="20"/>
          <w:szCs w:val="20"/>
        </w:rPr>
        <w:t xml:space="preserve">О внесении изменений в </w:t>
      </w:r>
      <w:r>
        <w:rPr>
          <w:rFonts w:cs="Times New Roman"/>
          <w:b/>
          <w:sz w:val="20"/>
          <w:szCs w:val="20"/>
        </w:rPr>
        <w:t xml:space="preserve">Положение о персонифицированном дополнительном образовании</w:t>
      </w:r>
      <w:r>
        <w:rPr>
          <w:rFonts w:cs="Times New Roman"/>
          <w:b/>
          <w:sz w:val="20"/>
          <w:szCs w:val="20"/>
        </w:rPr>
        <w:t xml:space="preserve"> в Печенгском муниципальном округе, утвержденное постановлением администрации Печенгского муниципального округа от 27.06.2023 № 949</w:t>
      </w:r>
      <w:r>
        <w:rPr>
          <w:rFonts w:cs="Times New Roman"/>
          <w:b/>
          <w:sz w:val="20"/>
          <w:szCs w:val="20"/>
        </w:rPr>
      </w:r>
      <w:r>
        <w:rPr>
          <w:rFonts w:cs="Times New Roman"/>
          <w:b/>
          <w:sz w:val="20"/>
          <w:szCs w:val="20"/>
        </w:rPr>
      </w:r>
    </w:p>
    <w:p>
      <w:pPr>
        <w:jc w:val="center"/>
        <w:spacing w:line="240" w:lineRule="auto"/>
        <w:widowControl w:val="off"/>
        <w:rPr>
          <w:rFonts w:eastAsia="Calibri" w:cs="Times New Roman"/>
          <w:b/>
          <w:bCs/>
          <w:color w:val="000000"/>
          <w:sz w:val="24"/>
          <w:szCs w:val="24"/>
        </w:rPr>
      </w:pPr>
      <w:r>
        <w:rPr>
          <w:rFonts w:eastAsia="Calibri" w:cs="Times New Roman"/>
          <w:b/>
          <w:color w:val="000000"/>
          <w:sz w:val="24"/>
          <w:szCs w:val="24"/>
        </w:rPr>
      </w:r>
      <w:r>
        <w:rPr>
          <w:rFonts w:eastAsia="Calibri" w:cs="Times New Roman"/>
          <w:b/>
          <w:color w:val="000000"/>
          <w:sz w:val="24"/>
          <w:szCs w:val="24"/>
        </w:rPr>
      </w:r>
      <w:r>
        <w:rPr>
          <w:rFonts w:eastAsia="Calibri" w:cs="Times New Roman"/>
          <w:b/>
          <w:bCs/>
          <w:color w:val="000000"/>
          <w:sz w:val="24"/>
          <w:szCs w:val="24"/>
        </w:rPr>
      </w:r>
    </w:p>
    <w:p>
      <w:pPr>
        <w:jc w:val="center"/>
        <w:spacing w:line="240" w:lineRule="auto"/>
        <w:widowControl w:val="off"/>
        <w:rPr>
          <w:rFonts w:eastAsia="Calibri" w:cs="Times New Roman"/>
          <w:b/>
          <w:bCs/>
          <w:color w:val="000000"/>
          <w:sz w:val="24"/>
          <w:szCs w:val="24"/>
        </w:rPr>
      </w:pPr>
      <w:r>
        <w:rPr>
          <w:rFonts w:eastAsia="Calibri" w:cs="Times New Roman"/>
          <w:b/>
          <w:color w:val="000000"/>
          <w:sz w:val="24"/>
          <w:szCs w:val="24"/>
        </w:rPr>
      </w:r>
      <w:r>
        <w:rPr>
          <w:rFonts w:eastAsia="Calibri" w:cs="Times New Roman"/>
          <w:b/>
          <w:bCs/>
          <w:color w:val="000000"/>
          <w:sz w:val="24"/>
          <w:szCs w:val="24"/>
        </w:rPr>
      </w:r>
      <w:r>
        <w:rPr>
          <w:rFonts w:eastAsia="Calibri" w:cs="Times New Roman"/>
          <w:b/>
          <w:bCs/>
          <w:color w:val="000000"/>
          <w:sz w:val="24"/>
          <w:szCs w:val="24"/>
        </w:rPr>
      </w:r>
    </w:p>
    <w:p>
      <w:pPr>
        <w:ind w:firstLine="708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целях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обеспечения доступности</w:t>
      </w:r>
      <w:r>
        <w:rPr>
          <w:rFonts w:cs="Times New Roman"/>
          <w:sz w:val="24"/>
          <w:szCs w:val="24"/>
        </w:rPr>
        <w:t xml:space="preserve"> дополнительного образования для детей, проживающих на территории Печенгского муниципального округа, 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ind w:firstLine="708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ind w:firstLine="708"/>
        <w:spacing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ПОСТАНОВЛЯЮ:</w: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</w:r>
    </w:p>
    <w:p>
      <w:pPr>
        <w:ind w:firstLine="708"/>
        <w:spacing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</w:r>
    </w:p>
    <w:p>
      <w:pPr>
        <w:contextualSpacing/>
        <w:spacing w:after="200" w:line="240" w:lineRule="auto"/>
        <w:tabs>
          <w:tab w:val="left" w:pos="0" w:leader="none"/>
        </w:tabs>
        <w:rPr>
          <w:rFonts w:eastAsia="Calibri" w:cs="Times New Roman"/>
          <w:sz w:val="24"/>
          <w:szCs w:val="28"/>
          <w:lang w:eastAsia="en-US"/>
        </w:rPr>
      </w:pPr>
      <w:r>
        <w:rPr>
          <w:rFonts w:eastAsia="Calibri" w:cs="Times New Roman"/>
          <w:sz w:val="24"/>
          <w:szCs w:val="28"/>
          <w:lang w:eastAsia="en-US"/>
        </w:rPr>
        <w:tab/>
        <w:t xml:space="preserve">1. </w:t>
      </w:r>
      <w:r>
        <w:rPr>
          <w:rFonts w:eastAsia="Calibri" w:cs="Times New Roman"/>
          <w:sz w:val="24"/>
          <w:szCs w:val="28"/>
          <w:lang w:eastAsia="en-US"/>
        </w:rPr>
        <w:t xml:space="preserve">Внести в Положение о персонифицированном дополнительном образовании </w:t>
      </w:r>
      <w:r>
        <w:rPr>
          <w:rFonts w:eastAsia="Calibri" w:cs="Times New Roman"/>
          <w:sz w:val="24"/>
          <w:szCs w:val="28"/>
          <w:lang w:eastAsia="en-US"/>
        </w:rPr>
        <w:t xml:space="preserve">в Печенгском муниципальном округе</w:t>
      </w:r>
      <w:r>
        <w:rPr>
          <w:rFonts w:eastAsia="Calibri" w:cs="Times New Roman"/>
          <w:sz w:val="24"/>
          <w:szCs w:val="28"/>
          <w:lang w:eastAsia="en-US"/>
        </w:rPr>
        <w:t xml:space="preserve">, утвержденное постановлением администрации Печенгского муниципального округа от </w:t>
      </w:r>
      <w:r>
        <w:rPr>
          <w:rFonts w:eastAsia="Calibri" w:cs="Times New Roman"/>
          <w:sz w:val="24"/>
          <w:szCs w:val="28"/>
          <w:lang w:eastAsia="en-US"/>
        </w:rPr>
        <w:t xml:space="preserve">27.06.2023</w:t>
      </w:r>
      <w:r>
        <w:rPr>
          <w:rFonts w:eastAsia="Calibri" w:cs="Times New Roman"/>
          <w:sz w:val="24"/>
          <w:szCs w:val="28"/>
          <w:lang w:eastAsia="en-US"/>
        </w:rPr>
        <w:t xml:space="preserve"> № </w:t>
      </w:r>
      <w:r>
        <w:rPr>
          <w:rFonts w:eastAsia="Calibri" w:cs="Times New Roman"/>
          <w:sz w:val="24"/>
          <w:szCs w:val="28"/>
          <w:lang w:eastAsia="en-US"/>
        </w:rPr>
        <w:t xml:space="preserve">949</w:t>
      </w:r>
      <w:r>
        <w:rPr>
          <w:rFonts w:eastAsia="Calibri" w:cs="Times New Roman"/>
          <w:sz w:val="24"/>
          <w:szCs w:val="28"/>
          <w:lang w:eastAsia="en-US"/>
        </w:rPr>
        <w:t xml:space="preserve">, следующие изменения:</w:t>
      </w:r>
      <w:r>
        <w:rPr>
          <w:rFonts w:eastAsia="Calibri" w:cs="Times New Roman"/>
          <w:sz w:val="24"/>
          <w:szCs w:val="28"/>
          <w:lang w:eastAsia="en-US"/>
        </w:rPr>
      </w:r>
      <w:r>
        <w:rPr>
          <w:rFonts w:eastAsia="Calibri" w:cs="Times New Roman"/>
          <w:sz w:val="24"/>
          <w:szCs w:val="28"/>
          <w:lang w:eastAsia="en-US"/>
        </w:rPr>
      </w:r>
    </w:p>
    <w:p>
      <w:pPr>
        <w:ind w:firstLine="708"/>
        <w:spacing w:line="240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1.1.</w:t>
      </w:r>
      <w:r>
        <w:rPr>
          <w:rFonts w:cs="Times New Roman"/>
          <w:color w:val="000000" w:themeColor="text1"/>
          <w:sz w:val="24"/>
          <w:szCs w:val="24"/>
        </w:rPr>
        <w:t xml:space="preserve">Пункт 4.9 изложить в следующей редакции:</w:t>
      </w:r>
      <w:r>
        <w:rPr>
          <w:rFonts w:cs="Times New Roman"/>
          <w:color w:val="000000" w:themeColor="text1"/>
          <w:sz w:val="24"/>
          <w:szCs w:val="24"/>
        </w:rPr>
      </w:r>
      <w:r>
        <w:rPr>
          <w:rFonts w:cs="Times New Roman"/>
          <w:color w:val="000000" w:themeColor="text1"/>
          <w:sz w:val="24"/>
          <w:szCs w:val="24"/>
        </w:rPr>
      </w:r>
    </w:p>
    <w:p>
      <w:pPr>
        <w:spacing w:line="240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«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>
        <w:rPr>
          <w:rFonts w:cs="Times New Roman"/>
          <w:color w:val="000000" w:themeColor="text1"/>
          <w:sz w:val="24"/>
          <w:szCs w:val="24"/>
        </w:rPr>
        <w:t xml:space="preserve">4.9. </w:t>
      </w:r>
      <w:r>
        <w:rPr>
          <w:rFonts w:cs="Times New Roman"/>
          <w:color w:val="000000" w:themeColor="text1"/>
          <w:sz w:val="24"/>
          <w:szCs w:val="24"/>
        </w:rPr>
        <w:t xml:space="preserve">Максимальное число часов учебной нагрузки,</w:t>
      </w:r>
      <w:r>
        <w:rPr>
          <w:rFonts w:cs="Times New Roman"/>
          <w:color w:val="000000" w:themeColor="text1"/>
          <w:sz w:val="24"/>
          <w:szCs w:val="24"/>
        </w:rPr>
        <w:t xml:space="preserve"> предусматриваемой одновременно по сертификату дополнительного образования за счет бюджетных средств, в зависимости от категории детей и реестра, в котором находится выбираемая дополнительная общеобразовательная программа, устанавливается в соответствии с </w:t>
      </w:r>
      <w:r>
        <w:rPr>
          <w:rFonts w:cs="Times New Roman"/>
          <w:bCs/>
          <w:color w:val="000000" w:themeColor="text1"/>
          <w:sz w:val="24"/>
          <w:szCs w:val="24"/>
        </w:rPr>
        <w:t xml:space="preserve">Таблицей 1.</w:t>
      </w:r>
      <w:r>
        <w:rPr>
          <w:rFonts w:cs="Times New Roman"/>
          <w:color w:val="000000" w:themeColor="text1"/>
          <w:sz w:val="24"/>
          <w:szCs w:val="24"/>
        </w:rPr>
      </w:r>
      <w:r>
        <w:rPr>
          <w:rFonts w:cs="Times New Roman"/>
          <w:color w:val="000000" w:themeColor="text1"/>
          <w:sz w:val="24"/>
          <w:szCs w:val="24"/>
        </w:rPr>
      </w:r>
    </w:p>
    <w:p>
      <w:pPr>
        <w:pStyle w:val="882"/>
        <w:ind w:left="0" w:firstLine="705"/>
        <w:jc w:val="right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b/>
          <w:sz w:val="24"/>
          <w:szCs w:val="24"/>
        </w:rPr>
        <w:fldChar w:fldCharType="begin"/>
      </w:r>
      <w:r>
        <w:rPr>
          <w:rFonts w:ascii="Times New Roman" w:hAnsi="Times New Roman" w:cs="Times New Roman"/>
          <w:b/>
          <w:sz w:val="24"/>
          <w:szCs w:val="24"/>
        </w:rPr>
        <w:instrText xml:space="preserve"> SEQ Таблица \* ARABIC </w:instrText>
      </w:r>
      <w:r>
        <w:rPr>
          <w:rFonts w:ascii="Times New Roman" w:hAnsi="Times New Roman" w:cs="Times New Roman"/>
          <w:b/>
          <w:sz w:val="24"/>
          <w:szCs w:val="24"/>
        </w:rPr>
        <w:fldChar w:fldCharType="separate"/>
      </w:r>
      <w:r>
        <w:rPr>
          <w:rFonts w:ascii="Times New Roman" w:hAnsi="Times New Roman" w:cs="Times New Roman"/>
          <w:b/>
          <w:sz w:val="24"/>
          <w:szCs w:val="24"/>
        </w:rPr>
        <w:t xml:space="preserve">1</w:t>
      </w:r>
      <w:r>
        <w:rPr>
          <w:rFonts w:ascii="Times New Roman" w:hAnsi="Times New Roman" w:cs="Times New Roman"/>
          <w:b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>
      <w:pPr>
        <w:pStyle w:val="945"/>
        <w:ind w:firstLine="705"/>
        <w:jc w:val="center"/>
        <w:keepNext/>
        <w:spacing w:after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Максимальное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число часов учебной нагрузки, предусматриваемой одновременно по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сертификату дополнительного образования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за счет бюджетных средств</w:t>
      </w:r>
      <w:r>
        <w:rPr>
          <w:rFonts w:ascii="Times New Roman" w:hAnsi="Times New Roman" w:cs="Times New Roman"/>
          <w:color w:val="auto"/>
          <w:sz w:val="24"/>
          <w:szCs w:val="24"/>
        </w:rPr>
      </w:r>
      <w:r>
        <w:rPr>
          <w:rFonts w:ascii="Times New Roman" w:hAnsi="Times New Roman" w:cs="Times New Roman"/>
          <w:color w:val="auto"/>
          <w:sz w:val="24"/>
          <w:szCs w:val="24"/>
        </w:rPr>
      </w:r>
    </w:p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268"/>
        <w:gridCol w:w="2268"/>
        <w:gridCol w:w="2552"/>
        <w:gridCol w:w="2410"/>
      </w:tblGrid>
      <w:tr>
        <w:tblPrEx/>
        <w:trPr>
          <w:trHeight w:val="128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line="240" w:lineRule="auto"/>
              <w:rPr>
                <w:rFonts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/>
                <w:color w:val="000000"/>
                <w:sz w:val="24"/>
              </w:rPr>
              <w:t xml:space="preserve">Наименование категории детей</w:t>
            </w:r>
            <w:r>
              <w:rPr>
                <w:rFonts w:eastAsia="Times New Roman" w:cs="Times New Roman"/>
                <w:color w:val="000000"/>
                <w:sz w:val="24"/>
              </w:rPr>
            </w:r>
            <w:r>
              <w:rPr>
                <w:rFonts w:eastAsia="Times New Roman" w:cs="Times New Roman"/>
                <w:color w:val="000000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line="240" w:lineRule="auto"/>
              <w:rPr>
                <w:rFonts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/>
                <w:color w:val="000000"/>
                <w:sz w:val="24"/>
              </w:rPr>
              <w:t xml:space="preserve">Норматив</w:t>
            </w:r>
            <w:r>
              <w:rPr>
                <w:rFonts w:eastAsia="Times New Roman" w:cs="Times New Roman"/>
                <w:color w:val="000000"/>
                <w:sz w:val="24"/>
              </w:rPr>
              <w:t xml:space="preserve"> обеспечения</w:t>
            </w:r>
            <w:r>
              <w:rPr>
                <w:color w:val="000000"/>
                <w:sz w:val="24"/>
              </w:rPr>
              <w:t xml:space="preserve"> сертификата</w:t>
            </w:r>
            <w:r>
              <w:rPr>
                <w:color w:val="000000"/>
                <w:sz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 xml:space="preserve">дополнительного образования</w:t>
            </w:r>
            <w:r>
              <w:rPr>
                <w:rFonts w:eastAsia="Times New Roman" w:cs="Times New Roman"/>
                <w:color w:val="000000"/>
                <w:sz w:val="24"/>
              </w:rPr>
              <w:t xml:space="preserve">, часов в неделю</w:t>
            </w:r>
            <w:r>
              <w:rPr>
                <w:rFonts w:eastAsia="Times New Roman" w:cs="Times New Roman"/>
                <w:color w:val="000000"/>
                <w:sz w:val="24"/>
              </w:rPr>
            </w:r>
            <w:r>
              <w:rPr>
                <w:rFonts w:eastAsia="Times New Roman" w:cs="Times New Roman"/>
                <w:color w:val="000000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line="240" w:lineRule="auto"/>
              <w:rPr>
                <w:rFonts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/>
                <w:color w:val="000000"/>
                <w:sz w:val="24"/>
              </w:rPr>
              <w:t xml:space="preserve">Дополнительные часы при выборе </w:t>
            </w:r>
            <w:r>
              <w:rPr>
                <w:rFonts w:eastAsia="Times New Roman" w:cs="Times New Roman"/>
                <w:color w:val="000000"/>
                <w:sz w:val="24"/>
              </w:rPr>
              <w:t xml:space="preserve">дополнительных общеобразовательных программ, включенных в реестр значимых программ</w:t>
            </w:r>
            <w:r>
              <w:rPr>
                <w:rFonts w:eastAsia="Times New Roman" w:cs="Times New Roman"/>
                <w:color w:val="000000"/>
                <w:sz w:val="24"/>
              </w:rPr>
            </w:r>
            <w:r>
              <w:rPr>
                <w:rFonts w:eastAsia="Times New Roman" w:cs="Times New Roman"/>
                <w:color w:val="000000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line="240" w:lineRule="auto"/>
              <w:rPr>
                <w:rFonts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/>
                <w:color w:val="000000"/>
                <w:sz w:val="24"/>
              </w:rPr>
              <w:t xml:space="preserve">Максимальный объем учебной нагрузки, при котором допускается </w:t>
            </w:r>
            <w:r>
              <w:rPr>
                <w:rFonts w:eastAsia="Times New Roman" w:cs="Times New Roman"/>
                <w:color w:val="000000"/>
                <w:sz w:val="24"/>
              </w:rPr>
              <w:t xml:space="preserve">формирование социального сертификата</w:t>
            </w:r>
            <w:r>
              <w:rPr>
                <w:rFonts w:eastAsia="Times New Roman" w:cs="Times New Roman"/>
                <w:color w:val="000000"/>
                <w:sz w:val="24"/>
              </w:rPr>
            </w:r>
            <w:r>
              <w:rPr>
                <w:rFonts w:eastAsia="Times New Roman" w:cs="Times New Roman"/>
                <w:color w:val="000000"/>
                <w:sz w:val="24"/>
              </w:rPr>
            </w:r>
          </w:p>
        </w:tc>
      </w:tr>
      <w:tr>
        <w:tblPrEx/>
        <w:trPr>
          <w:trHeight w:val="28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line="240" w:lineRule="auto"/>
              <w:rPr>
                <w:rFonts w:eastAsia="Times New Roman" w:cs="Times New Roman"/>
                <w:color w:val="000000"/>
                <w:sz w:val="24"/>
              </w:rPr>
            </w:pPr>
            <w:r>
              <w:rPr>
                <w:rFonts w:eastAsia="Times New Roman" w:cs="Times New Roman"/>
                <w:color w:val="000000"/>
                <w:sz w:val="24"/>
              </w:rPr>
              <w:t xml:space="preserve">Дети в возрасте от 5-ти до 18-ти лет, кроме детей из многодетных семей</w:t>
            </w:r>
            <w:r>
              <w:rPr>
                <w:rFonts w:eastAsia="Times New Roman" w:cs="Times New Roman"/>
                <w:color w:val="000000"/>
                <w:sz w:val="24"/>
              </w:rPr>
            </w:r>
            <w:r>
              <w:rPr>
                <w:rFonts w:eastAsia="Times New Roman" w:cs="Times New Roman"/>
                <w:color w:val="000000"/>
                <w:sz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line="240" w:lineRule="auto"/>
              <w:rPr>
                <w:rFonts w:eastAsia="Times New Roman" w:cs="Times New Roman"/>
                <w:color w:val="000000" w:themeColor="text1"/>
                <w:sz w:val="24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</w:rPr>
              <w:t xml:space="preserve">8</w:t>
            </w:r>
            <w:r>
              <w:rPr>
                <w:rFonts w:eastAsia="Times New Roman" w:cs="Times New Roman"/>
                <w:color w:val="000000" w:themeColor="text1"/>
                <w:sz w:val="24"/>
              </w:rPr>
              <w:t xml:space="preserve"> </w:t>
            </w:r>
            <w:r>
              <w:rPr>
                <w:rFonts w:eastAsia="Times New Roman" w:cs="Times New Roman"/>
                <w:color w:val="000000" w:themeColor="text1"/>
                <w:sz w:val="24"/>
              </w:rPr>
            </w:r>
            <w:r>
              <w:rPr>
                <w:rFonts w:eastAsia="Times New Roman" w:cs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line="240" w:lineRule="auto"/>
              <w:rPr>
                <w:rFonts w:eastAsia="Times New Roman" w:cs="Times New Roman"/>
                <w:color w:val="000000" w:themeColor="text1"/>
                <w:sz w:val="24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</w:rPr>
              <w:t xml:space="preserve">3</w:t>
            </w:r>
            <w:r>
              <w:rPr>
                <w:rFonts w:eastAsia="Times New Roman" w:cs="Times New Roman"/>
                <w:color w:val="000000" w:themeColor="text1"/>
                <w:sz w:val="24"/>
              </w:rPr>
            </w:r>
            <w:r>
              <w:rPr>
                <w:rFonts w:eastAsia="Times New Roman" w:cs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line="240" w:lineRule="auto"/>
              <w:rPr>
                <w:rFonts w:eastAsia="Times New Roman" w:cs="Times New Roman"/>
                <w:color w:val="000000" w:themeColor="text1"/>
                <w:sz w:val="24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</w:rPr>
              <w:t xml:space="preserve">7,5</w:t>
            </w:r>
            <w:r>
              <w:rPr>
                <w:rFonts w:eastAsia="Times New Roman" w:cs="Times New Roman"/>
                <w:color w:val="000000" w:themeColor="text1"/>
                <w:sz w:val="24"/>
              </w:rPr>
            </w:r>
            <w:r>
              <w:rPr>
                <w:rFonts w:eastAsia="Times New Roman" w:cs="Times New Roman"/>
                <w:color w:val="000000" w:themeColor="text1"/>
                <w:sz w:val="24"/>
              </w:rPr>
            </w:r>
          </w:p>
        </w:tc>
      </w:tr>
      <w:tr>
        <w:tblPrEx/>
        <w:trPr>
          <w:trHeight w:val="28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line="240" w:lineRule="auto"/>
              <w:rPr>
                <w:color w:val="000000"/>
                <w:sz w:val="24"/>
              </w:rPr>
            </w:pPr>
            <w:r>
              <w:rPr>
                <w:rFonts w:eastAsia="Times New Roman" w:cs="Times New Roman"/>
                <w:color w:val="000000"/>
                <w:sz w:val="24"/>
              </w:rPr>
              <w:t xml:space="preserve">Дети в возрасте от 5-ти до 18-ти лет из  многодетных семей</w:t>
            </w: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line="240" w:lineRule="auto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9</w:t>
            </w:r>
            <w:r>
              <w:rPr>
                <w:color w:val="000000" w:themeColor="text1"/>
                <w:sz w:val="24"/>
              </w:rPr>
            </w:r>
            <w:r>
              <w:rPr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line="240" w:lineRule="auto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4</w:t>
            </w:r>
            <w:r>
              <w:rPr>
                <w:color w:val="000000" w:themeColor="text1"/>
                <w:sz w:val="24"/>
              </w:rPr>
            </w:r>
            <w:r>
              <w:rPr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line="240" w:lineRule="auto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8,5</w:t>
            </w:r>
            <w:r>
              <w:rPr>
                <w:color w:val="000000" w:themeColor="text1"/>
                <w:sz w:val="24"/>
              </w:rPr>
            </w:r>
            <w:r>
              <w:rPr>
                <w:color w:val="000000" w:themeColor="text1"/>
                <w:sz w:val="24"/>
              </w:rPr>
            </w:r>
          </w:p>
        </w:tc>
      </w:tr>
    </w:tbl>
    <w:p>
      <w:pPr>
        <w:spacing w:line="240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</w:t>
      </w:r>
      <w:r>
        <w:rPr>
          <w:rFonts w:cs="Times New Roman"/>
          <w:color w:val="000000" w:themeColor="text1"/>
          <w:sz w:val="24"/>
          <w:szCs w:val="24"/>
        </w:rPr>
        <w:t xml:space="preserve">                               </w:t>
      </w:r>
      <w:bookmarkStart w:id="0" w:name="_GoBack"/>
      <w:r/>
      <w:bookmarkEnd w:id="0"/>
      <w:r>
        <w:rPr>
          <w:rFonts w:cs="Times New Roman"/>
          <w:color w:val="000000" w:themeColor="text1"/>
          <w:sz w:val="24"/>
          <w:szCs w:val="24"/>
        </w:rPr>
      </w:r>
      <w:r>
        <w:rPr>
          <w:rFonts w:cs="Times New Roman"/>
          <w:color w:val="000000" w:themeColor="text1"/>
          <w:sz w:val="24"/>
          <w:szCs w:val="24"/>
        </w:rPr>
      </w:r>
    </w:p>
    <w:p>
      <w:pPr>
        <w:pStyle w:val="882"/>
        <w:ind w:left="0" w:firstLine="720"/>
        <w:jc w:val="both"/>
        <w:spacing w:line="240" w:lineRule="auto"/>
        <w:tabs>
          <w:tab w:val="left" w:pos="280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Calibri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2"/>
        <w:ind w:left="0" w:firstLine="720"/>
        <w:jc w:val="both"/>
        <w:spacing w:line="240" w:lineRule="auto"/>
        <w:tabs>
          <w:tab w:val="left" w:pos="280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2"/>
        <w:ind w:left="0" w:firstLine="720"/>
        <w:jc w:val="both"/>
        <w:spacing w:line="240" w:lineRule="auto"/>
        <w:tabs>
          <w:tab w:val="left" w:pos="280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2"/>
        <w:ind w:left="0"/>
        <w:jc w:val="both"/>
        <w:spacing w:after="0" w:line="240" w:lineRule="auto"/>
        <w:tabs>
          <w:tab w:val="left" w:pos="280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670"/>
        <w:jc w:val="center"/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  <w:outlineLvl w:val="0"/>
      </w:pPr>
      <w:r>
        <w:rPr>
          <w:rFonts w:eastAsia="Times New Roman" w:cs="Times New Roman"/>
          <w:color w:val="000000"/>
          <w:sz w:val="20"/>
          <w:szCs w:val="20"/>
        </w:rPr>
        <w:t xml:space="preserve">Никитина И.В. 5-05-72</w:t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="240" w:lineRule="auto"/>
      </w:pPr>
      <w:r>
        <w:separator/>
      </w:r>
      <w:r/>
    </w:p>
  </w:endnote>
  <w:endnote w:type="continuationSeparator" w:id="0">
    <w:p>
      <w:pPr>
        <w:spacing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="240" w:lineRule="auto"/>
      </w:pPr>
      <w:r>
        <w:separator/>
      </w:r>
      <w:r/>
    </w:p>
  </w:footnote>
  <w:footnote w:type="continuationSeparator" w:id="0">
    <w:p>
      <w:pPr>
        <w:spacing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5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7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9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1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3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5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7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9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19" w:hanging="180"/>
      </w:pPr>
    </w:lvl>
  </w:abstractNum>
  <w:abstractNum w:abstractNumId="4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6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9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7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i w:val="0"/>
        <w:iCs w:val="0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%2)"/>
      <w:lvlJc w:val="left"/>
      <w:pPr>
        <w:ind w:left="720" w:hanging="360"/>
      </w:pPr>
    </w:lvl>
    <w:lvl w:ilvl="2">
      <w:start w:val="1"/>
      <w:numFmt w:val="decimal"/>
      <w:isLgl w:val="false"/>
      <w:suff w:val="tab"/>
      <w:lvlText w:val="%3)"/>
      <w:lvlJc w:val="left"/>
      <w:pPr>
        <w:ind w:left="720" w:hanging="360"/>
      </w:pPr>
    </w:lvl>
    <w:lvl w:ilvl="3">
      <w:start w:val="1"/>
      <w:numFmt w:val="decimal"/>
      <w:isLgl w:val="false"/>
      <w:suff w:val="tab"/>
      <w:lvlText w:val="%4)"/>
      <w:lvlJc w:val="left"/>
      <w:pPr>
        <w:ind w:left="720" w:hanging="360"/>
      </w:pPr>
    </w:lvl>
    <w:lvl w:ilvl="4">
      <w:start w:val="1"/>
      <w:numFmt w:val="decimal"/>
      <w:isLgl w:val="false"/>
      <w:suff w:val="tab"/>
      <w:lvlText w:val="%5)"/>
      <w:lvlJc w:val="left"/>
      <w:pPr>
        <w:ind w:left="720" w:hanging="360"/>
      </w:pPr>
    </w:lvl>
    <w:lvl w:ilvl="5">
      <w:start w:val="1"/>
      <w:numFmt w:val="decimal"/>
      <w:isLgl w:val="false"/>
      <w:suff w:val="tab"/>
      <w:lvlText w:val="%6)"/>
      <w:lvlJc w:val="left"/>
      <w:pPr>
        <w:ind w:left="720" w:hanging="360"/>
      </w:pPr>
    </w:lvl>
    <w:lvl w:ilvl="6">
      <w:start w:val="1"/>
      <w:numFmt w:val="decimal"/>
      <w:isLgl w:val="false"/>
      <w:suff w:val="tab"/>
      <w:lvlText w:val="%7)"/>
      <w:lvlJc w:val="left"/>
      <w:pPr>
        <w:ind w:left="720" w:hanging="360"/>
      </w:pPr>
    </w:lvl>
    <w:lvl w:ilvl="7">
      <w:start w:val="1"/>
      <w:numFmt w:val="decimal"/>
      <w:isLgl w:val="false"/>
      <w:suff w:val="tab"/>
      <w:lvlText w:val="%8)"/>
      <w:lvlJc w:val="left"/>
      <w:pPr>
        <w:ind w:left="720" w:hanging="360"/>
      </w:pPr>
    </w:lvl>
    <w:lvl w:ilvl="8">
      <w:start w:val="1"/>
      <w:numFmt w:val="decimal"/>
      <w:isLgl w:val="false"/>
      <w:suff w:val="tab"/>
      <w:lvlText w:val="%9)"/>
      <w:lvlJc w:val="left"/>
      <w:pPr>
        <w:ind w:left="720" w:hanging="360"/>
      </w:pPr>
    </w:lvl>
  </w:abstractNum>
  <w:abstractNum w:abstractNumId="13">
    <w:multiLevelType w:val="hybridMultilevel"/>
    <w:lvl w:ilvl="0">
      <w:start w:val="3"/>
      <w:numFmt w:val="decimal"/>
      <w:isLgl w:val="false"/>
      <w:suff w:val="tab"/>
      <w:lvlText w:val="%1.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 w:val="false"/>
      <w:suff w:val="tab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multiLevelType w:val="hybridMultilevel"/>
    <w:lvl w:ilvl="0">
      <w:start w:val="3"/>
      <w:numFmt w:val="decimal"/>
      <w:isLgl w:val="false"/>
      <w:suff w:val="tab"/>
      <w:lvlText w:val="%1.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2d2d2d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hint="default"/>
        <w:i w:val="0"/>
        <w:iCs w:val="0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multiLevelType w:val="hybridMultilevel"/>
    <w:lvl w:ilvl="0">
      <w:start w:val="1"/>
      <w:numFmt w:val="upperRoman"/>
      <w:isLgl w:val="false"/>
      <w:suff w:val="tab"/>
      <w:lvlText w:val="%1."/>
      <w:lvlJc w:val="right"/>
      <w:pPr>
        <w:ind w:left="1080" w:hanging="720"/>
      </w:pPr>
      <w:rPr>
        <w:rFonts w:hint="default"/>
      </w:rPr>
    </w:lvl>
    <w:lvl w:ilvl="1">
      <w:start w:val="5"/>
      <w:numFmt w:val="decimal"/>
      <w:isLgl/>
      <w:suff w:val="tab"/>
      <w:lvlText w:val="%1.%2"/>
      <w:lvlJc w:val="left"/>
      <w:pPr>
        <w:ind w:left="1014" w:hanging="480"/>
      </w:pPr>
      <w:rPr>
        <w:rFonts w:hint="default"/>
        <w:color w:val="000000" w:themeColor="text1"/>
      </w:rPr>
    </w:lvl>
    <w:lvl w:ilvl="2">
      <w:start w:val="3"/>
      <w:numFmt w:val="decimal"/>
      <w:isLgl/>
      <w:suff w:val="tab"/>
      <w:lvlText w:val="%1.%2.%3"/>
      <w:lvlJc w:val="left"/>
      <w:pPr>
        <w:ind w:left="1428" w:hanging="720"/>
      </w:pPr>
      <w:rPr>
        <w:rFonts w:hint="default"/>
        <w:color w:val="000000" w:themeColor="text1"/>
      </w:rPr>
    </w:lvl>
    <w:lvl w:ilvl="3">
      <w:start w:val="1"/>
      <w:numFmt w:val="decimal"/>
      <w:isLgl/>
      <w:suff w:val="tab"/>
      <w:lvlText w:val="%1.%2.%3.%4"/>
      <w:lvlJc w:val="left"/>
      <w:pPr>
        <w:ind w:left="1602" w:hanging="720"/>
      </w:pPr>
      <w:rPr>
        <w:rFonts w:hint="default"/>
        <w:color w:val="000000" w:themeColor="text1"/>
      </w:rPr>
    </w:lvl>
    <w:lvl w:ilvl="4">
      <w:start w:val="1"/>
      <w:numFmt w:val="decimal"/>
      <w:isLgl/>
      <w:suff w:val="tab"/>
      <w:lvlText w:val="%1.%2.%3.%4.%5"/>
      <w:lvlJc w:val="left"/>
      <w:pPr>
        <w:ind w:left="2136" w:hanging="1080"/>
      </w:pPr>
      <w:rPr>
        <w:rFonts w:hint="default"/>
        <w:color w:val="000000" w:themeColor="text1"/>
      </w:rPr>
    </w:lvl>
    <w:lvl w:ilvl="5">
      <w:start w:val="1"/>
      <w:numFmt w:val="decimal"/>
      <w:isLgl/>
      <w:suff w:val="tab"/>
      <w:lvlText w:val="%1.%2.%3.%4.%5.%6"/>
      <w:lvlJc w:val="left"/>
      <w:pPr>
        <w:ind w:left="2310" w:hanging="1080"/>
      </w:pPr>
      <w:rPr>
        <w:rFonts w:hint="default"/>
        <w:color w:val="000000" w:themeColor="text1"/>
      </w:rPr>
    </w:lvl>
    <w:lvl w:ilvl="6">
      <w:start w:val="1"/>
      <w:numFmt w:val="decimal"/>
      <w:isLgl/>
      <w:suff w:val="tab"/>
      <w:lvlText w:val="%1.%2.%3.%4.%5.%6.%7"/>
      <w:lvlJc w:val="left"/>
      <w:pPr>
        <w:ind w:left="2844" w:hanging="1440"/>
      </w:pPr>
      <w:rPr>
        <w:rFonts w:hint="default"/>
        <w:color w:val="000000" w:themeColor="text1"/>
      </w:rPr>
    </w:lvl>
    <w:lvl w:ilvl="7">
      <w:start w:val="1"/>
      <w:numFmt w:val="decimal"/>
      <w:isLgl/>
      <w:suff w:val="tab"/>
      <w:lvlText w:val="%1.%2.%3.%4.%5.%6.%7.%8"/>
      <w:lvlJc w:val="left"/>
      <w:pPr>
        <w:ind w:left="3018" w:hanging="1440"/>
      </w:pPr>
      <w:rPr>
        <w:rFonts w:hint="default"/>
        <w:color w:val="000000" w:themeColor="text1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3552" w:hanging="1800"/>
      </w:pPr>
      <w:rPr>
        <w:rFonts w:hint="default"/>
        <w:color w:val="000000" w:themeColor="text1"/>
      </w:rPr>
    </w:lvl>
  </w:abstractNum>
  <w:abstractNum w:abstractNumId="20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27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4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27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69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484" w:hanging="180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5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7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9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1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3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5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7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9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1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%2)"/>
      <w:lvlJc w:val="left"/>
      <w:pPr>
        <w:ind w:left="720" w:hanging="360"/>
      </w:pPr>
    </w:lvl>
    <w:lvl w:ilvl="2">
      <w:start w:val="1"/>
      <w:numFmt w:val="decimal"/>
      <w:isLgl w:val="false"/>
      <w:suff w:val="tab"/>
      <w:lvlText w:val="%3)"/>
      <w:lvlJc w:val="left"/>
      <w:pPr>
        <w:ind w:left="720" w:hanging="360"/>
      </w:pPr>
    </w:lvl>
    <w:lvl w:ilvl="3">
      <w:start w:val="1"/>
      <w:numFmt w:val="decimal"/>
      <w:isLgl w:val="false"/>
      <w:suff w:val="tab"/>
      <w:lvlText w:val="%4)"/>
      <w:lvlJc w:val="left"/>
      <w:pPr>
        <w:ind w:left="720" w:hanging="360"/>
      </w:pPr>
    </w:lvl>
    <w:lvl w:ilvl="4">
      <w:start w:val="1"/>
      <w:numFmt w:val="decimal"/>
      <w:isLgl w:val="false"/>
      <w:suff w:val="tab"/>
      <w:lvlText w:val="%5)"/>
      <w:lvlJc w:val="left"/>
      <w:pPr>
        <w:ind w:left="720" w:hanging="360"/>
      </w:pPr>
    </w:lvl>
    <w:lvl w:ilvl="5">
      <w:start w:val="1"/>
      <w:numFmt w:val="decimal"/>
      <w:isLgl w:val="false"/>
      <w:suff w:val="tab"/>
      <w:lvlText w:val="%6)"/>
      <w:lvlJc w:val="left"/>
      <w:pPr>
        <w:ind w:left="720" w:hanging="360"/>
      </w:pPr>
    </w:lvl>
    <w:lvl w:ilvl="6">
      <w:start w:val="1"/>
      <w:numFmt w:val="decimal"/>
      <w:isLgl w:val="false"/>
      <w:suff w:val="tab"/>
      <w:lvlText w:val="%7)"/>
      <w:lvlJc w:val="left"/>
      <w:pPr>
        <w:ind w:left="720" w:hanging="360"/>
      </w:pPr>
    </w:lvl>
    <w:lvl w:ilvl="7">
      <w:start w:val="1"/>
      <w:numFmt w:val="decimal"/>
      <w:isLgl w:val="false"/>
      <w:suff w:val="tab"/>
      <w:lvlText w:val="%8)"/>
      <w:lvlJc w:val="left"/>
      <w:pPr>
        <w:ind w:left="720" w:hanging="360"/>
      </w:pPr>
    </w:lvl>
    <w:lvl w:ilvl="8">
      <w:start w:val="1"/>
      <w:numFmt w:val="decimal"/>
      <w:isLgl w:val="false"/>
      <w:suff w:val="tab"/>
      <w:lvlText w:val="%9)"/>
      <w:lvlJc w:val="left"/>
      <w:pPr>
        <w:ind w:left="720" w:hanging="36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30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70" w:hanging="360"/>
      </w:pPr>
      <w:rPr>
        <w:rFonts w:hint="default"/>
        <w:i w:val="0"/>
        <w:iCs w:val="0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%2)"/>
      <w:lvlJc w:val="left"/>
      <w:pPr>
        <w:ind w:left="720" w:hanging="360"/>
      </w:pPr>
    </w:lvl>
    <w:lvl w:ilvl="2">
      <w:start w:val="1"/>
      <w:numFmt w:val="decimal"/>
      <w:isLgl w:val="false"/>
      <w:suff w:val="tab"/>
      <w:lvlText w:val="%3)"/>
      <w:lvlJc w:val="left"/>
      <w:pPr>
        <w:ind w:left="720" w:hanging="360"/>
      </w:pPr>
    </w:lvl>
    <w:lvl w:ilvl="3">
      <w:start w:val="1"/>
      <w:numFmt w:val="decimal"/>
      <w:isLgl w:val="false"/>
      <w:suff w:val="tab"/>
      <w:lvlText w:val="%4)"/>
      <w:lvlJc w:val="left"/>
      <w:pPr>
        <w:ind w:left="720" w:hanging="360"/>
      </w:pPr>
    </w:lvl>
    <w:lvl w:ilvl="4">
      <w:start w:val="1"/>
      <w:numFmt w:val="decimal"/>
      <w:isLgl w:val="false"/>
      <w:suff w:val="tab"/>
      <w:lvlText w:val="%5)"/>
      <w:lvlJc w:val="left"/>
      <w:pPr>
        <w:ind w:left="720" w:hanging="360"/>
      </w:pPr>
    </w:lvl>
    <w:lvl w:ilvl="5">
      <w:start w:val="1"/>
      <w:numFmt w:val="decimal"/>
      <w:isLgl w:val="false"/>
      <w:suff w:val="tab"/>
      <w:lvlText w:val="%6)"/>
      <w:lvlJc w:val="left"/>
      <w:pPr>
        <w:ind w:left="720" w:hanging="360"/>
      </w:pPr>
    </w:lvl>
    <w:lvl w:ilvl="6">
      <w:start w:val="1"/>
      <w:numFmt w:val="decimal"/>
      <w:isLgl w:val="false"/>
      <w:suff w:val="tab"/>
      <w:lvlText w:val="%7)"/>
      <w:lvlJc w:val="left"/>
      <w:pPr>
        <w:ind w:left="720" w:hanging="360"/>
      </w:pPr>
    </w:lvl>
    <w:lvl w:ilvl="7">
      <w:start w:val="1"/>
      <w:numFmt w:val="decimal"/>
      <w:isLgl w:val="false"/>
      <w:suff w:val="tab"/>
      <w:lvlText w:val="%8)"/>
      <w:lvlJc w:val="left"/>
      <w:pPr>
        <w:ind w:left="720" w:hanging="360"/>
      </w:pPr>
    </w:lvl>
    <w:lvl w:ilvl="8">
      <w:start w:val="1"/>
      <w:numFmt w:val="decimal"/>
      <w:isLgl w:val="false"/>
      <w:suff w:val="tab"/>
      <w:lvlText w:val="%9)"/>
      <w:lvlJc w:val="left"/>
      <w:pPr>
        <w:ind w:left="720" w:hanging="360"/>
      </w:pPr>
    </w:lvl>
  </w:abstractNum>
  <w:num w:numId="1">
    <w:abstractNumId w:val="25"/>
  </w:num>
  <w:num w:numId="2">
    <w:abstractNumId w:val="11"/>
  </w:num>
  <w:num w:numId="3">
    <w:abstractNumId w:val="20"/>
  </w:num>
  <w:num w:numId="4">
    <w:abstractNumId w:val="3"/>
  </w:num>
  <w:num w:numId="5">
    <w:abstractNumId w:val="30"/>
  </w:num>
  <w:num w:numId="6">
    <w:abstractNumId w:val="5"/>
  </w:num>
  <w:num w:numId="7">
    <w:abstractNumId w:val="8"/>
  </w:num>
  <w:num w:numId="8">
    <w:abstractNumId w:val="9"/>
  </w:num>
  <w:num w:numId="9">
    <w:abstractNumId w:val="23"/>
  </w:num>
  <w:num w:numId="10">
    <w:abstractNumId w:val="2"/>
  </w:num>
  <w:num w:numId="11">
    <w:abstractNumId w:val="7"/>
  </w:num>
  <w:num w:numId="12">
    <w:abstractNumId w:val="28"/>
  </w:num>
  <w:num w:numId="13">
    <w:abstractNumId w:val="16"/>
  </w:num>
  <w:num w:numId="14">
    <w:abstractNumId w:val="10"/>
  </w:num>
  <w:num w:numId="15">
    <w:abstractNumId w:val="35"/>
  </w:num>
  <w:num w:numId="16">
    <w:abstractNumId w:val="34"/>
  </w:num>
  <w:num w:numId="17">
    <w:abstractNumId w:val="14"/>
  </w:num>
  <w:num w:numId="18">
    <w:abstractNumId w:val="19"/>
  </w:num>
  <w:num w:numId="19">
    <w:abstractNumId w:val="33"/>
  </w:num>
  <w:num w:numId="20">
    <w:abstractNumId w:val="1"/>
  </w:num>
  <w:num w:numId="21">
    <w:abstractNumId w:val="17"/>
  </w:num>
  <w:num w:numId="22">
    <w:abstractNumId w:val="18"/>
  </w:num>
  <w:num w:numId="23">
    <w:abstractNumId w:val="13"/>
  </w:num>
  <w:num w:numId="24">
    <w:abstractNumId w:val="15"/>
  </w:num>
  <w:num w:numId="25">
    <w:abstractNumId w:val="0"/>
  </w:num>
  <w:num w:numId="26">
    <w:abstractNumId w:val="32"/>
  </w:num>
  <w:num w:numId="27">
    <w:abstractNumId w:val="22"/>
  </w:num>
  <w:num w:numId="28">
    <w:abstractNumId w:val="29"/>
  </w:num>
  <w:num w:numId="29">
    <w:abstractNumId w:val="26"/>
  </w:num>
  <w:num w:numId="30">
    <w:abstractNumId w:val="12"/>
  </w:num>
  <w:num w:numId="31">
    <w:abstractNumId w:val="36"/>
  </w:num>
  <w:num w:numId="32">
    <w:abstractNumId w:val="24"/>
  </w:num>
  <w:num w:numId="33">
    <w:abstractNumId w:val="27"/>
  </w:num>
  <w:num w:numId="34">
    <w:abstractNumId w:val="4"/>
  </w:num>
  <w:num w:numId="35">
    <w:abstractNumId w:val="6"/>
  </w:num>
  <w:num w:numId="36">
    <w:abstractNumId w:val="31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8">
    <w:name w:val="Caption Char"/>
    <w:basedOn w:val="945"/>
    <w:link w:val="889"/>
    <w:uiPriority w:val="99"/>
  </w:style>
  <w:style w:type="table" w:styleId="729">
    <w:name w:val="Table Grid Light"/>
    <w:basedOn w:val="87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0">
    <w:name w:val="Plain Table 1"/>
    <w:basedOn w:val="87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>
    <w:name w:val="Plain Table 2"/>
    <w:basedOn w:val="87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>
    <w:name w:val="Plain Table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>
    <w:name w:val="Plain Table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Plain Table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>
    <w:name w:val="Grid Table 1 Light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4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7">
    <w:name w:val="Grid Table 4 - Accent 1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8">
    <w:name w:val="Grid Table 4 - Accent 2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9">
    <w:name w:val="Grid Table 4 - Accent 3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0">
    <w:name w:val="Grid Table 4 - Accent 4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1">
    <w:name w:val="Grid Table 4 - Accent 5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2">
    <w:name w:val="Grid Table 4 - Accent 6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3">
    <w:name w:val="Grid Table 5 Dark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4">
    <w:name w:val="Grid Table 5 Dark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7">
    <w:name w:val="Grid Table 5 Dark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0">
    <w:name w:val="Grid Table 6 Colorful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1">
    <w:name w:val="Grid Table 6 Colorful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2">
    <w:name w:val="Grid Table 6 Colorful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3">
    <w:name w:val="Grid Table 6 Colorful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4">
    <w:name w:val="Grid Table 6 Colorful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5">
    <w:name w:val="Grid Table 6 Colorful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6">
    <w:name w:val="Grid Table 6 Colorful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7">
    <w:name w:val="Grid Table 7 Colorful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2">
    <w:name w:val="List Table 2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3">
    <w:name w:val="List Table 2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4">
    <w:name w:val="List Table 2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5">
    <w:name w:val="List Table 2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6">
    <w:name w:val="List Table 2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7">
    <w:name w:val="List Table 2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8">
    <w:name w:val="List Table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5 Dark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6 Colorful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0">
    <w:name w:val="List Table 6 Colorful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1">
    <w:name w:val="List Table 6 Colorful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2">
    <w:name w:val="List Table 6 Colorful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3">
    <w:name w:val="List Table 6 Colorful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4">
    <w:name w:val="List Table 6 Colorful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5">
    <w:name w:val="List Table 6 Colorful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6">
    <w:name w:val="List Table 7 Colorful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7">
    <w:name w:val="List Table 7 Colorful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8">
    <w:name w:val="List Table 7 Colorful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9">
    <w:name w:val="List Table 7 Colorful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0">
    <w:name w:val="List Table 7 Colorful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1">
    <w:name w:val="List Table 7 Colorful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2">
    <w:name w:val="List Table 7 Colorful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3">
    <w:name w:val="Lined - Accent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4">
    <w:name w:val="Lined - Accent 1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5">
    <w:name w:val="Lined - Accent 2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6">
    <w:name w:val="Lined - Accent 3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7">
    <w:name w:val="Lined - Accent 4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8">
    <w:name w:val="Lined - Accent 5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9">
    <w:name w:val="Lined - Accent 6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0">
    <w:name w:val="Bordered &amp; Lined - Accent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1">
    <w:name w:val="Bordered &amp; Lined - Accent 1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2">
    <w:name w:val="Bordered &amp; Lined - Accent 2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3">
    <w:name w:val="Bordered &amp; Lined - Accent 3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4">
    <w:name w:val="Bordered &amp; Lined - Accent 4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5">
    <w:name w:val="Bordered &amp; Lined - Accent 5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6">
    <w:name w:val="Bordered &amp; Lined - Accent 6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7">
    <w:name w:val="Bordered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8">
    <w:name w:val="Bordered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9">
    <w:name w:val="Bordered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0">
    <w:name w:val="Bordered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1">
    <w:name w:val="Bordered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2">
    <w:name w:val="Bordered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3">
    <w:name w:val="Bordered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4">
    <w:name w:val="toc 1"/>
    <w:basedOn w:val="865"/>
    <w:next w:val="865"/>
    <w:uiPriority w:val="39"/>
    <w:unhideWhenUsed/>
    <w:pPr>
      <w:ind w:left="0" w:right="0" w:firstLine="0"/>
      <w:spacing w:after="57"/>
    </w:pPr>
  </w:style>
  <w:style w:type="paragraph" w:styleId="855">
    <w:name w:val="toc 2"/>
    <w:basedOn w:val="865"/>
    <w:next w:val="865"/>
    <w:uiPriority w:val="39"/>
    <w:unhideWhenUsed/>
    <w:pPr>
      <w:ind w:left="283" w:right="0" w:firstLine="0"/>
      <w:spacing w:after="57"/>
    </w:pPr>
  </w:style>
  <w:style w:type="paragraph" w:styleId="856">
    <w:name w:val="toc 3"/>
    <w:basedOn w:val="865"/>
    <w:next w:val="865"/>
    <w:uiPriority w:val="39"/>
    <w:unhideWhenUsed/>
    <w:pPr>
      <w:ind w:left="567" w:right="0" w:firstLine="0"/>
      <w:spacing w:after="57"/>
    </w:pPr>
  </w:style>
  <w:style w:type="paragraph" w:styleId="857">
    <w:name w:val="toc 4"/>
    <w:basedOn w:val="865"/>
    <w:next w:val="865"/>
    <w:uiPriority w:val="39"/>
    <w:unhideWhenUsed/>
    <w:pPr>
      <w:ind w:left="850" w:right="0" w:firstLine="0"/>
      <w:spacing w:after="57"/>
    </w:pPr>
  </w:style>
  <w:style w:type="paragraph" w:styleId="858">
    <w:name w:val="toc 5"/>
    <w:basedOn w:val="865"/>
    <w:next w:val="865"/>
    <w:uiPriority w:val="39"/>
    <w:unhideWhenUsed/>
    <w:pPr>
      <w:ind w:left="1134" w:right="0" w:firstLine="0"/>
      <w:spacing w:after="57"/>
    </w:pPr>
  </w:style>
  <w:style w:type="paragraph" w:styleId="859">
    <w:name w:val="toc 6"/>
    <w:basedOn w:val="865"/>
    <w:next w:val="865"/>
    <w:uiPriority w:val="39"/>
    <w:unhideWhenUsed/>
    <w:pPr>
      <w:ind w:left="1417" w:right="0" w:firstLine="0"/>
      <w:spacing w:after="57"/>
    </w:pPr>
  </w:style>
  <w:style w:type="paragraph" w:styleId="860">
    <w:name w:val="toc 7"/>
    <w:basedOn w:val="865"/>
    <w:next w:val="865"/>
    <w:uiPriority w:val="39"/>
    <w:unhideWhenUsed/>
    <w:pPr>
      <w:ind w:left="1701" w:right="0" w:firstLine="0"/>
      <w:spacing w:after="57"/>
    </w:pPr>
  </w:style>
  <w:style w:type="paragraph" w:styleId="861">
    <w:name w:val="toc 8"/>
    <w:basedOn w:val="865"/>
    <w:next w:val="865"/>
    <w:uiPriority w:val="39"/>
    <w:unhideWhenUsed/>
    <w:pPr>
      <w:ind w:left="1984" w:right="0" w:firstLine="0"/>
      <w:spacing w:after="57"/>
    </w:pPr>
  </w:style>
  <w:style w:type="paragraph" w:styleId="862">
    <w:name w:val="toc 9"/>
    <w:basedOn w:val="865"/>
    <w:next w:val="865"/>
    <w:uiPriority w:val="39"/>
    <w:unhideWhenUsed/>
    <w:pPr>
      <w:ind w:left="2268" w:right="0" w:firstLine="0"/>
      <w:spacing w:after="57"/>
    </w:pPr>
  </w:style>
  <w:style w:type="paragraph" w:styleId="863">
    <w:name w:val="TOC Heading"/>
    <w:uiPriority w:val="39"/>
    <w:unhideWhenUsed/>
  </w:style>
  <w:style w:type="paragraph" w:styleId="864">
    <w:name w:val="table of figures"/>
    <w:basedOn w:val="865"/>
    <w:next w:val="865"/>
    <w:uiPriority w:val="99"/>
    <w:unhideWhenUsed/>
    <w:pPr>
      <w:spacing w:after="0" w:afterAutospacing="0"/>
    </w:pPr>
  </w:style>
  <w:style w:type="paragraph" w:styleId="865" w:default="1">
    <w:name w:val="Normal"/>
    <w:qFormat/>
    <w:pPr>
      <w:jc w:val="both"/>
      <w:spacing w:after="0" w:line="360" w:lineRule="atLeast"/>
    </w:pPr>
    <w:rPr>
      <w:rFonts w:ascii="Times New Roman" w:hAnsi="Times New Roman" w:eastAsiaTheme="minorEastAsia"/>
      <w:sz w:val="28"/>
      <w:lang w:eastAsia="ru-RU"/>
    </w:rPr>
  </w:style>
  <w:style w:type="paragraph" w:styleId="866">
    <w:name w:val="Heading 1"/>
    <w:link w:val="893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867">
    <w:name w:val="Heading 2"/>
    <w:link w:val="894"/>
    <w:uiPriority w:val="9"/>
    <w:semiHidden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ru-RU"/>
    </w:rPr>
  </w:style>
  <w:style w:type="paragraph" w:styleId="868">
    <w:name w:val="Heading 3"/>
    <w:link w:val="895"/>
    <w:uiPriority w:val="9"/>
    <w:semiHidden/>
    <w:unhideWhenUsed/>
    <w:qFormat/>
    <w:pPr>
      <w:keepLines/>
      <w:keepNext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:lang w:eastAsia="ru-RU"/>
    </w:rPr>
  </w:style>
  <w:style w:type="paragraph" w:styleId="869">
    <w:name w:val="Heading 4"/>
    <w:link w:val="896"/>
    <w:uiPriority w:val="9"/>
    <w:semiHidden/>
    <w:unhideWhenUsed/>
    <w:qFormat/>
    <w:pPr>
      <w:keepLines/>
      <w:keepNext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:lang w:eastAsia="ru-RU"/>
    </w:rPr>
  </w:style>
  <w:style w:type="paragraph" w:styleId="870">
    <w:name w:val="Heading 5"/>
    <w:link w:val="897"/>
    <w:uiPriority w:val="9"/>
    <w:semiHidden/>
    <w:unhideWhenUsed/>
    <w:qFormat/>
    <w:pPr>
      <w:keepLines/>
      <w:keepNext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  <w:lang w:eastAsia="ru-RU"/>
    </w:rPr>
  </w:style>
  <w:style w:type="paragraph" w:styleId="871">
    <w:name w:val="Heading 6"/>
    <w:link w:val="898"/>
    <w:uiPriority w:val="9"/>
    <w:semiHidden/>
    <w:unhideWhenUsed/>
    <w:qFormat/>
    <w:pPr>
      <w:keepLines/>
      <w:keepNext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  <w:lang w:eastAsia="ru-RU"/>
    </w:rPr>
  </w:style>
  <w:style w:type="paragraph" w:styleId="872">
    <w:name w:val="Heading 7"/>
    <w:link w:val="899"/>
    <w:uiPriority w:val="9"/>
    <w:semiHidden/>
    <w:unhideWhenUsed/>
    <w:qFormat/>
    <w:pPr>
      <w:keepLines/>
      <w:keepNext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:lang w:eastAsia="ru-RU"/>
    </w:rPr>
  </w:style>
  <w:style w:type="paragraph" w:styleId="873">
    <w:name w:val="Heading 8"/>
    <w:link w:val="900"/>
    <w:uiPriority w:val="9"/>
    <w:semiHidden/>
    <w:unhideWhenUsed/>
    <w:qFormat/>
    <w:pPr>
      <w:keepLines/>
      <w:keepNext/>
      <w:spacing w:before="200" w:after="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:lang w:eastAsia="ru-RU"/>
    </w:rPr>
  </w:style>
  <w:style w:type="paragraph" w:styleId="874">
    <w:name w:val="Heading 9"/>
    <w:link w:val="901"/>
    <w:uiPriority w:val="9"/>
    <w:semiHidden/>
    <w:unhideWhenUsed/>
    <w:qFormat/>
    <w:pPr>
      <w:keepLines/>
      <w:keepNext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:lang w:eastAsia="ru-RU"/>
    </w:rPr>
  </w:style>
  <w:style w:type="character" w:styleId="875" w:default="1">
    <w:name w:val="Default Paragraph Font"/>
    <w:uiPriority w:val="1"/>
    <w:semiHidden/>
    <w:unhideWhenUsed/>
  </w:style>
  <w:style w:type="table" w:styleId="8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7" w:default="1">
    <w:name w:val="No List"/>
    <w:uiPriority w:val="99"/>
    <w:semiHidden/>
    <w:unhideWhenUsed/>
  </w:style>
  <w:style w:type="character" w:styleId="878">
    <w:name w:val="Hyperlink"/>
    <w:basedOn w:val="875"/>
    <w:uiPriority w:val="99"/>
    <w:unhideWhenUsed/>
    <w:rPr>
      <w:color w:val="0000ff"/>
      <w:u w:val="single"/>
    </w:rPr>
  </w:style>
  <w:style w:type="paragraph" w:styleId="879">
    <w:name w:val="Balloon Text"/>
    <w:basedOn w:val="865"/>
    <w:link w:val="880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styleId="880" w:customStyle="1">
    <w:name w:val="Текст выноски Знак"/>
    <w:basedOn w:val="875"/>
    <w:link w:val="879"/>
    <w:uiPriority w:val="99"/>
    <w:semiHidden/>
    <w:rPr>
      <w:rFonts w:ascii="Tahoma" w:hAnsi="Tahoma" w:cs="Tahoma" w:eastAsiaTheme="minorEastAsia"/>
      <w:sz w:val="16"/>
      <w:szCs w:val="16"/>
      <w:lang w:eastAsia="ru-RU"/>
    </w:rPr>
  </w:style>
  <w:style w:type="paragraph" w:styleId="881" w:customStyle="1">
    <w:name w:val="ConsPlusNormal"/>
    <w:uiPriority w:val="99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82">
    <w:name w:val="List Paragraph"/>
    <w:basedOn w:val="865"/>
    <w:uiPriority w:val="34"/>
    <w:qFormat/>
    <w:pPr>
      <w:contextualSpacing/>
      <w:ind w:left="720"/>
      <w:jc w:val="left"/>
      <w:spacing w:after="200" w:line="276" w:lineRule="auto"/>
    </w:pPr>
    <w:rPr>
      <w:rFonts w:asciiTheme="minorHAnsi" w:hAnsiTheme="minorHAnsi" w:eastAsiaTheme="minorHAnsi"/>
      <w:sz w:val="22"/>
      <w:lang w:eastAsia="en-US"/>
    </w:rPr>
  </w:style>
  <w:style w:type="paragraph" w:styleId="883">
    <w:name w:val="annotation text"/>
    <w:basedOn w:val="865"/>
    <w:link w:val="884"/>
    <w:uiPriority w:val="99"/>
    <w:unhideWhenUsed/>
    <w:pPr>
      <w:jc w:val="left"/>
      <w:spacing w:after="200" w:line="240" w:lineRule="auto"/>
    </w:pPr>
    <w:rPr>
      <w:rFonts w:asciiTheme="minorHAnsi" w:hAnsiTheme="minorHAnsi" w:eastAsiaTheme="minorHAnsi"/>
      <w:sz w:val="20"/>
      <w:szCs w:val="20"/>
      <w:lang w:eastAsia="en-US"/>
    </w:rPr>
  </w:style>
  <w:style w:type="character" w:styleId="884" w:customStyle="1">
    <w:name w:val="Текст примечания Знак"/>
    <w:basedOn w:val="875"/>
    <w:link w:val="883"/>
    <w:uiPriority w:val="99"/>
    <w:rPr>
      <w:sz w:val="20"/>
      <w:szCs w:val="20"/>
    </w:rPr>
  </w:style>
  <w:style w:type="table" w:styleId="885">
    <w:name w:val="Table Grid"/>
    <w:basedOn w:val="87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86" w:customStyle="1">
    <w:name w:val="Верхний колонтитул Знак"/>
    <w:basedOn w:val="875"/>
    <w:link w:val="887"/>
    <w:uiPriority w:val="99"/>
  </w:style>
  <w:style w:type="paragraph" w:styleId="887">
    <w:name w:val="Header"/>
    <w:basedOn w:val="865"/>
    <w:link w:val="886"/>
    <w:uiPriority w:val="99"/>
    <w:unhideWhenUsed/>
    <w:pPr>
      <w:jc w:val="left"/>
      <w:spacing w:line="240" w:lineRule="auto"/>
      <w:tabs>
        <w:tab w:val="center" w:pos="4677" w:leader="none"/>
        <w:tab w:val="right" w:pos="9355" w:leader="none"/>
      </w:tabs>
    </w:pPr>
    <w:rPr>
      <w:rFonts w:asciiTheme="minorHAnsi" w:hAnsiTheme="minorHAnsi" w:eastAsiaTheme="minorHAnsi"/>
      <w:sz w:val="22"/>
      <w:lang w:eastAsia="en-US"/>
    </w:rPr>
  </w:style>
  <w:style w:type="character" w:styleId="888" w:customStyle="1">
    <w:name w:val="Нижний колонтитул Знак"/>
    <w:basedOn w:val="875"/>
    <w:link w:val="889"/>
    <w:uiPriority w:val="99"/>
  </w:style>
  <w:style w:type="paragraph" w:styleId="889">
    <w:name w:val="Footer"/>
    <w:basedOn w:val="865"/>
    <w:link w:val="888"/>
    <w:uiPriority w:val="99"/>
    <w:unhideWhenUsed/>
    <w:pPr>
      <w:jc w:val="left"/>
      <w:spacing w:line="240" w:lineRule="auto"/>
      <w:tabs>
        <w:tab w:val="center" w:pos="4677" w:leader="none"/>
        <w:tab w:val="right" w:pos="9355" w:leader="none"/>
      </w:tabs>
    </w:pPr>
    <w:rPr>
      <w:rFonts w:asciiTheme="minorHAnsi" w:hAnsiTheme="minorHAnsi" w:eastAsiaTheme="minorHAnsi"/>
      <w:sz w:val="22"/>
      <w:lang w:eastAsia="en-US"/>
    </w:rPr>
  </w:style>
  <w:style w:type="character" w:styleId="890" w:customStyle="1">
    <w:name w:val="Тема примечания Знак"/>
    <w:basedOn w:val="884"/>
    <w:link w:val="891"/>
    <w:uiPriority w:val="99"/>
    <w:semiHidden/>
    <w:rPr>
      <w:b/>
      <w:bCs/>
      <w:sz w:val="20"/>
      <w:szCs w:val="20"/>
    </w:rPr>
  </w:style>
  <w:style w:type="paragraph" w:styleId="891">
    <w:name w:val="annotation subject"/>
    <w:basedOn w:val="883"/>
    <w:next w:val="883"/>
    <w:link w:val="890"/>
    <w:uiPriority w:val="99"/>
    <w:semiHidden/>
    <w:unhideWhenUsed/>
    <w:rPr>
      <w:b/>
      <w:bCs/>
    </w:rPr>
  </w:style>
  <w:style w:type="paragraph" w:styleId="892" w:customStyle="1">
    <w:name w:val="ConsPlusNonformat"/>
    <w:uiPriority w:val="99"/>
    <w:semiHidden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893" w:customStyle="1">
    <w:name w:val="Заголовок 1 Знак"/>
    <w:basedOn w:val="875"/>
    <w:link w:val="866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894" w:customStyle="1">
    <w:name w:val="Заголовок 2 Знак"/>
    <w:basedOn w:val="875"/>
    <w:link w:val="867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ru-RU"/>
    </w:rPr>
  </w:style>
  <w:style w:type="character" w:styleId="895" w:customStyle="1">
    <w:name w:val="Заголовок 3 Знак"/>
    <w:basedOn w:val="875"/>
    <w:link w:val="868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lang w:eastAsia="ru-RU"/>
    </w:rPr>
  </w:style>
  <w:style w:type="character" w:styleId="896" w:customStyle="1">
    <w:name w:val="Заголовок 4 Знак"/>
    <w:basedOn w:val="875"/>
    <w:link w:val="869"/>
    <w:uiPriority w:val="9"/>
    <w:semiHidden/>
    <w:rPr>
      <w:rFonts w:asciiTheme="majorHAnsi" w:hAnsiTheme="majorHAnsi" w:eastAsiaTheme="majorEastAsia" w:cstheme="majorBidi"/>
      <w:b/>
      <w:bCs/>
      <w:i/>
      <w:iCs/>
      <w:color w:val="4f81bd" w:themeColor="accent1"/>
      <w:lang w:eastAsia="ru-RU"/>
    </w:rPr>
  </w:style>
  <w:style w:type="character" w:styleId="897" w:customStyle="1">
    <w:name w:val="Заголовок 5 Знак"/>
    <w:basedOn w:val="875"/>
    <w:link w:val="870"/>
    <w:uiPriority w:val="9"/>
    <w:semiHidden/>
    <w:rPr>
      <w:rFonts w:asciiTheme="majorHAnsi" w:hAnsiTheme="majorHAnsi" w:eastAsiaTheme="majorEastAsia" w:cstheme="majorBidi"/>
      <w:color w:val="243f60" w:themeColor="accent1" w:themeShade="7F"/>
      <w:lang w:eastAsia="ru-RU"/>
    </w:rPr>
  </w:style>
  <w:style w:type="character" w:styleId="898" w:customStyle="1">
    <w:name w:val="Заголовок 6 Знак"/>
    <w:basedOn w:val="875"/>
    <w:link w:val="871"/>
    <w:uiPriority w:val="9"/>
    <w:semiHidden/>
    <w:rPr>
      <w:rFonts w:asciiTheme="majorHAnsi" w:hAnsiTheme="majorHAnsi" w:eastAsiaTheme="majorEastAsia" w:cstheme="majorBidi"/>
      <w:i/>
      <w:iCs/>
      <w:color w:val="243f60" w:themeColor="accent1" w:themeShade="7F"/>
      <w:lang w:eastAsia="ru-RU"/>
    </w:rPr>
  </w:style>
  <w:style w:type="character" w:styleId="899" w:customStyle="1">
    <w:name w:val="Заголовок 7 Знак"/>
    <w:basedOn w:val="875"/>
    <w:link w:val="872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  <w:lang w:eastAsia="ru-RU"/>
    </w:rPr>
  </w:style>
  <w:style w:type="character" w:styleId="900" w:customStyle="1">
    <w:name w:val="Заголовок 8 Знак"/>
    <w:basedOn w:val="875"/>
    <w:link w:val="873"/>
    <w:uiPriority w:val="9"/>
    <w:semiHidden/>
    <w:rPr>
      <w:rFonts w:asciiTheme="majorHAnsi" w:hAnsiTheme="majorHAnsi" w:eastAsiaTheme="majorEastAsia" w:cstheme="majorBidi"/>
      <w:color w:val="404040" w:themeColor="text1" w:themeTint="BF"/>
      <w:sz w:val="20"/>
      <w:szCs w:val="20"/>
      <w:lang w:eastAsia="ru-RU"/>
    </w:rPr>
  </w:style>
  <w:style w:type="character" w:styleId="901" w:customStyle="1">
    <w:name w:val="Заголовок 9 Знак"/>
    <w:basedOn w:val="875"/>
    <w:link w:val="874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:lang w:eastAsia="ru-RU"/>
    </w:rPr>
  </w:style>
  <w:style w:type="character" w:styleId="902" w:customStyle="1">
    <w:name w:val="Heading 1 Char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903" w:customStyle="1">
    <w:name w:val="Heading 2 Char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904" w:customStyle="1">
    <w:name w:val="Heading 3 Char"/>
    <w:uiPriority w:val="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905" w:customStyle="1">
    <w:name w:val="Heading 4 Char"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906" w:customStyle="1">
    <w:name w:val="Heading 5 Char"/>
    <w:uiPriority w:val="9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907" w:customStyle="1">
    <w:name w:val="Heading 6 Char"/>
    <w:uiPriority w:val="9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908" w:customStyle="1">
    <w:name w:val="Heading 7 Char"/>
    <w:uiPriority w:val="9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909" w:customStyle="1">
    <w:name w:val="Heading 8 Char"/>
    <w:uiPriority w:val="9"/>
    <w:rPr>
      <w:rFonts w:asciiTheme="majorHAnsi" w:hAnsiTheme="majorHAnsi" w:eastAsiaTheme="majorEastAsia" w:cstheme="majorBidi"/>
      <w:color w:val="404040" w:themeColor="text1" w:themeTint="BF"/>
      <w:sz w:val="20"/>
      <w:szCs w:val="20"/>
    </w:rPr>
  </w:style>
  <w:style w:type="character" w:styleId="910" w:customStyle="1">
    <w:name w:val="Heading 9 Char"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911" w:customStyle="1">
    <w:name w:val="Title Char"/>
    <w:uiPriority w:val="10"/>
    <w:rPr>
      <w:rFonts w:asciiTheme="majorHAnsi" w:hAnsiTheme="majorHAnsi" w:eastAsiaTheme="majorEastAsia" w:cstheme="majorBidi"/>
      <w:color w:val="17365d" w:themeColor="text2" w:themeShade="BF"/>
      <w:spacing w:val="5"/>
      <w:sz w:val="52"/>
      <w:szCs w:val="52"/>
    </w:rPr>
  </w:style>
  <w:style w:type="character" w:styleId="912" w:customStyle="1">
    <w:name w:val="Subtitle Char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913" w:customStyle="1">
    <w:name w:val="Quote Char"/>
    <w:uiPriority w:val="29"/>
    <w:rPr>
      <w:i/>
      <w:iCs/>
      <w:color w:val="000000" w:themeColor="text1"/>
    </w:rPr>
  </w:style>
  <w:style w:type="character" w:styleId="914" w:customStyle="1">
    <w:name w:val="Intense Quote Char"/>
    <w:uiPriority w:val="30"/>
    <w:rPr>
      <w:b/>
      <w:bCs/>
      <w:i/>
      <w:iCs/>
      <w:color w:val="4f81bd" w:themeColor="accent1"/>
    </w:rPr>
  </w:style>
  <w:style w:type="character" w:styleId="915" w:customStyle="1">
    <w:name w:val="Footnote Text Char"/>
    <w:uiPriority w:val="99"/>
    <w:semiHidden/>
    <w:rPr>
      <w:sz w:val="20"/>
      <w:szCs w:val="20"/>
    </w:rPr>
  </w:style>
  <w:style w:type="character" w:styleId="916" w:customStyle="1">
    <w:name w:val="Endnote Text Char"/>
    <w:uiPriority w:val="99"/>
    <w:semiHidden/>
    <w:rPr>
      <w:sz w:val="20"/>
      <w:szCs w:val="20"/>
    </w:rPr>
  </w:style>
  <w:style w:type="character" w:styleId="917" w:customStyle="1">
    <w:name w:val="Plain Text Char"/>
    <w:uiPriority w:val="99"/>
    <w:rPr>
      <w:rFonts w:ascii="Courier New" w:hAnsi="Courier New" w:cs="Courier New"/>
      <w:sz w:val="21"/>
      <w:szCs w:val="21"/>
    </w:rPr>
  </w:style>
  <w:style w:type="paragraph" w:styleId="918">
    <w:name w:val="No Spacing"/>
    <w:uiPriority w:val="1"/>
    <w:qFormat/>
    <w:pPr>
      <w:spacing w:after="0" w:line="240" w:lineRule="auto"/>
    </w:pPr>
    <w:rPr>
      <w:rFonts w:eastAsiaTheme="minorEastAsia"/>
      <w:lang w:eastAsia="ru-RU"/>
    </w:rPr>
  </w:style>
  <w:style w:type="paragraph" w:styleId="919">
    <w:name w:val="Title"/>
    <w:link w:val="920"/>
    <w:uiPriority w:val="10"/>
    <w:qFormat/>
    <w:pPr>
      <w:contextualSpacing/>
      <w:spacing w:after="300" w:line="240" w:lineRule="auto"/>
      <w:pBdr>
        <w:bottom w:val="single" w:color="4F81BD" w:themeColor="accent1" w:sz="8" w:space="4"/>
      </w:pBdr>
    </w:pPr>
    <w:rPr>
      <w:rFonts w:asciiTheme="majorHAnsi" w:hAnsiTheme="majorHAnsi" w:eastAsiaTheme="majorEastAsia" w:cstheme="majorBidi"/>
      <w:color w:val="17365d" w:themeColor="text2" w:themeShade="BF"/>
      <w:spacing w:val="5"/>
      <w:sz w:val="52"/>
      <w:szCs w:val="52"/>
      <w:lang w:eastAsia="ru-RU"/>
    </w:rPr>
  </w:style>
  <w:style w:type="character" w:styleId="920" w:customStyle="1">
    <w:name w:val="Название Знак"/>
    <w:basedOn w:val="875"/>
    <w:link w:val="919"/>
    <w:uiPriority w:val="10"/>
    <w:rPr>
      <w:rFonts w:asciiTheme="majorHAnsi" w:hAnsiTheme="majorHAnsi" w:eastAsiaTheme="majorEastAsia" w:cstheme="majorBidi"/>
      <w:color w:val="17365d" w:themeColor="text2" w:themeShade="BF"/>
      <w:spacing w:val="5"/>
      <w:sz w:val="52"/>
      <w:szCs w:val="52"/>
      <w:lang w:eastAsia="ru-RU"/>
    </w:rPr>
  </w:style>
  <w:style w:type="paragraph" w:styleId="921">
    <w:name w:val="Subtitle"/>
    <w:link w:val="922"/>
    <w:uiPriority w:val="11"/>
    <w:qFormat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922" w:customStyle="1">
    <w:name w:val="Подзаголовок Знак"/>
    <w:basedOn w:val="875"/>
    <w:link w:val="921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923">
    <w:name w:val="Subtle Emphasis"/>
    <w:uiPriority w:val="19"/>
    <w:qFormat/>
    <w:rPr>
      <w:i/>
      <w:iCs/>
      <w:color w:val="808080" w:themeColor="text1" w:themeTint="7F"/>
    </w:rPr>
  </w:style>
  <w:style w:type="character" w:styleId="924">
    <w:name w:val="Emphasis"/>
    <w:uiPriority w:val="20"/>
    <w:qFormat/>
    <w:rPr>
      <w:i/>
      <w:iCs/>
    </w:rPr>
  </w:style>
  <w:style w:type="character" w:styleId="925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926">
    <w:name w:val="Strong"/>
    <w:uiPriority w:val="22"/>
    <w:qFormat/>
    <w:rPr>
      <w:b/>
      <w:bCs/>
    </w:rPr>
  </w:style>
  <w:style w:type="paragraph" w:styleId="927">
    <w:name w:val="Quote"/>
    <w:link w:val="928"/>
    <w:uiPriority w:val="29"/>
    <w:qFormat/>
    <w:rPr>
      <w:rFonts w:eastAsiaTheme="minorEastAsia"/>
      <w:i/>
      <w:iCs/>
      <w:color w:val="000000" w:themeColor="text1"/>
      <w:lang w:eastAsia="ru-RU"/>
    </w:rPr>
  </w:style>
  <w:style w:type="character" w:styleId="928" w:customStyle="1">
    <w:name w:val="Цитата 2 Знак"/>
    <w:basedOn w:val="875"/>
    <w:link w:val="927"/>
    <w:uiPriority w:val="29"/>
    <w:rPr>
      <w:rFonts w:eastAsiaTheme="minorEastAsia"/>
      <w:i/>
      <w:iCs/>
      <w:color w:val="000000" w:themeColor="text1"/>
      <w:lang w:eastAsia="ru-RU"/>
    </w:rPr>
  </w:style>
  <w:style w:type="paragraph" w:styleId="929">
    <w:name w:val="Intense Quote"/>
    <w:link w:val="930"/>
    <w:uiPriority w:val="30"/>
    <w:qFormat/>
    <w:pPr>
      <w:ind w:left="936" w:right="936"/>
      <w:spacing w:before="200" w:after="280"/>
      <w:pBdr>
        <w:bottom w:val="single" w:color="4F81BD" w:themeColor="accent1" w:sz="4" w:space="4"/>
      </w:pBdr>
    </w:pPr>
    <w:rPr>
      <w:rFonts w:eastAsiaTheme="minorEastAsia"/>
      <w:b/>
      <w:bCs/>
      <w:i/>
      <w:iCs/>
      <w:color w:val="4f81bd" w:themeColor="accent1"/>
      <w:lang w:eastAsia="ru-RU"/>
    </w:rPr>
  </w:style>
  <w:style w:type="character" w:styleId="930" w:customStyle="1">
    <w:name w:val="Выделенная цитата Знак"/>
    <w:basedOn w:val="875"/>
    <w:link w:val="929"/>
    <w:uiPriority w:val="30"/>
    <w:rPr>
      <w:rFonts w:eastAsiaTheme="minorEastAsia"/>
      <w:b/>
      <w:bCs/>
      <w:i/>
      <w:iCs/>
      <w:color w:val="4f81bd" w:themeColor="accent1"/>
      <w:lang w:eastAsia="ru-RU"/>
    </w:rPr>
  </w:style>
  <w:style w:type="character" w:styleId="931">
    <w:name w:val="Subtle Reference"/>
    <w:uiPriority w:val="31"/>
    <w:qFormat/>
    <w:rPr>
      <w:smallCaps/>
      <w:color w:val="c0504d" w:themeColor="accent2"/>
      <w:u w:val="single"/>
    </w:rPr>
  </w:style>
  <w:style w:type="character" w:styleId="932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933">
    <w:name w:val="Book Title"/>
    <w:uiPriority w:val="33"/>
    <w:qFormat/>
    <w:rPr>
      <w:b/>
      <w:bCs/>
      <w:smallCaps/>
      <w:spacing w:val="5"/>
    </w:rPr>
  </w:style>
  <w:style w:type="paragraph" w:styleId="934">
    <w:name w:val="footnote text"/>
    <w:link w:val="935"/>
    <w:uiPriority w:val="99"/>
    <w:semiHidden/>
    <w:unhideWhenUsed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styleId="935" w:customStyle="1">
    <w:name w:val="Текст сноски Знак"/>
    <w:basedOn w:val="875"/>
    <w:link w:val="934"/>
    <w:uiPriority w:val="99"/>
    <w:semiHidden/>
    <w:rPr>
      <w:rFonts w:eastAsiaTheme="minorEastAsia"/>
      <w:sz w:val="20"/>
      <w:szCs w:val="20"/>
      <w:lang w:eastAsia="ru-RU"/>
    </w:rPr>
  </w:style>
  <w:style w:type="character" w:styleId="936">
    <w:name w:val="footnote reference"/>
    <w:uiPriority w:val="99"/>
    <w:semiHidden/>
    <w:unhideWhenUsed/>
    <w:rPr>
      <w:vertAlign w:val="superscript"/>
    </w:rPr>
  </w:style>
  <w:style w:type="paragraph" w:styleId="937">
    <w:name w:val="endnote text"/>
    <w:link w:val="938"/>
    <w:uiPriority w:val="99"/>
    <w:semiHidden/>
    <w:unhideWhenUsed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styleId="938" w:customStyle="1">
    <w:name w:val="Текст концевой сноски Знак"/>
    <w:basedOn w:val="875"/>
    <w:link w:val="937"/>
    <w:uiPriority w:val="99"/>
    <w:semiHidden/>
    <w:rPr>
      <w:rFonts w:eastAsiaTheme="minorEastAsia"/>
      <w:sz w:val="20"/>
      <w:szCs w:val="20"/>
      <w:lang w:eastAsia="ru-RU"/>
    </w:rPr>
  </w:style>
  <w:style w:type="character" w:styleId="939">
    <w:name w:val="endnote reference"/>
    <w:uiPriority w:val="99"/>
    <w:semiHidden/>
    <w:unhideWhenUsed/>
    <w:rPr>
      <w:vertAlign w:val="superscript"/>
    </w:rPr>
  </w:style>
  <w:style w:type="paragraph" w:styleId="940">
    <w:name w:val="Plain Text"/>
    <w:link w:val="941"/>
    <w:uiPriority w:val="99"/>
    <w:semiHidden/>
    <w:unhideWhenUsed/>
    <w:pPr>
      <w:spacing w:after="0" w:line="240" w:lineRule="auto"/>
    </w:pPr>
    <w:rPr>
      <w:rFonts w:ascii="Courier New" w:hAnsi="Courier New" w:cs="Courier New" w:eastAsiaTheme="minorEastAsia"/>
      <w:sz w:val="21"/>
      <w:szCs w:val="21"/>
      <w:lang w:eastAsia="ru-RU"/>
    </w:rPr>
  </w:style>
  <w:style w:type="character" w:styleId="941" w:customStyle="1">
    <w:name w:val="Текст Знак"/>
    <w:basedOn w:val="875"/>
    <w:link w:val="940"/>
    <w:uiPriority w:val="99"/>
    <w:semiHidden/>
    <w:rPr>
      <w:rFonts w:ascii="Courier New" w:hAnsi="Courier New" w:cs="Courier New" w:eastAsiaTheme="minorEastAsia"/>
      <w:sz w:val="21"/>
      <w:szCs w:val="21"/>
      <w:lang w:eastAsia="ru-RU"/>
    </w:rPr>
  </w:style>
  <w:style w:type="character" w:styleId="942" w:customStyle="1">
    <w:name w:val="Header Char"/>
    <w:uiPriority w:val="99"/>
  </w:style>
  <w:style w:type="character" w:styleId="943" w:customStyle="1">
    <w:name w:val="Footer Char"/>
    <w:uiPriority w:val="99"/>
  </w:style>
  <w:style w:type="character" w:styleId="944">
    <w:name w:val="annotation reference"/>
    <w:basedOn w:val="875"/>
    <w:uiPriority w:val="99"/>
    <w:semiHidden/>
    <w:unhideWhenUsed/>
    <w:rPr>
      <w:sz w:val="16"/>
      <w:szCs w:val="16"/>
    </w:rPr>
  </w:style>
  <w:style w:type="paragraph" w:styleId="945">
    <w:name w:val="Caption"/>
    <w:basedOn w:val="865"/>
    <w:next w:val="865"/>
    <w:uiPriority w:val="35"/>
    <w:unhideWhenUsed/>
    <w:qFormat/>
    <w:pPr>
      <w:jc w:val="left"/>
      <w:spacing w:after="200" w:line="240" w:lineRule="auto"/>
    </w:pPr>
    <w:rPr>
      <w:rFonts w:asciiTheme="minorHAnsi" w:hAnsiTheme="minorHAnsi"/>
      <w:b/>
      <w:bCs/>
      <w:color w:val="4f81bd" w:themeColor="accent1"/>
      <w:sz w:val="18"/>
      <w:szCs w:val="18"/>
    </w:rPr>
  </w:style>
  <w:style w:type="paragraph" w:styleId="946">
    <w:name w:val="Revision"/>
    <w:hidden/>
    <w:uiPriority w:val="99"/>
    <w:semiHidden/>
    <w:pPr>
      <w:spacing w:after="0" w:line="240" w:lineRule="auto"/>
    </w:pPr>
    <w:rPr>
      <w:rFonts w:eastAsiaTheme="minorEastAsia"/>
      <w:lang w:eastAsia="ru-RU"/>
    </w:rPr>
  </w:style>
  <w:style w:type="character" w:styleId="947">
    <w:name w:val="Placeholder Text"/>
    <w:basedOn w:val="875"/>
    <w:uiPriority w:val="99"/>
    <w:semiHidden/>
    <w:rPr>
      <w:color w:val="808080"/>
    </w:rPr>
  </w:style>
  <w:style w:type="paragraph" w:styleId="948" w:customStyle="1">
    <w:name w:val="Formattext"/>
    <w:basedOn w:val="865"/>
    <w:uiPriority w:val="99"/>
    <w:pPr>
      <w:jc w:val="left"/>
      <w:spacing w:before="100" w:after="100" w:line="240" w:lineRule="auto"/>
    </w:pPr>
    <w:rPr>
      <w:sz w:val="24"/>
      <w:szCs w:val="24"/>
    </w:rPr>
  </w:style>
  <w:style w:type="paragraph" w:styleId="949" w:customStyle="1">
    <w:name w:val="S_1"/>
    <w:basedOn w:val="865"/>
    <w:uiPriority w:val="99"/>
    <w:pPr>
      <w:jc w:val="left"/>
      <w:spacing w:before="100" w:after="100" w:line="240" w:lineRule="auto"/>
    </w:pPr>
    <w:rPr>
      <w:sz w:val="24"/>
      <w:szCs w:val="24"/>
    </w:rPr>
  </w:style>
  <w:style w:type="paragraph" w:styleId="950" w:customStyle="1">
    <w:name w:val="_04xlpa"/>
    <w:basedOn w:val="865"/>
    <w:pPr>
      <w:jc w:val="left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951" w:customStyle="1">
    <w:name w:val="s1ppyq"/>
    <w:basedOn w:val="875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BE2A1-8EA6-49D4-B33E-9511FC2F1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15</cp:revision>
  <dcterms:created xsi:type="dcterms:W3CDTF">2024-05-22T08:05:00Z</dcterms:created>
  <dcterms:modified xsi:type="dcterms:W3CDTF">2024-06-11T11:56:29Z</dcterms:modified>
</cp:coreProperties>
</file>