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31.05.2024 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 xml:space="preserve"> </w:t>
      </w:r>
      <w:r>
        <w:rPr>
          <w:b/>
        </w:rPr>
        <w:t xml:space="preserve">№ 928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«Образование» на 2024 - 2026 годы, утвержденную постановлением 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от 03.11.2023 № 1624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округа, утвержденным постановлением администрации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«Образование» на 2024-2026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03.11.2023 № 1624 (в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22.05.2024 № 834</w:t>
      </w:r>
      <w:r>
        <w:rPr>
          <w:sz w:val="24"/>
          <w:szCs w:val="24"/>
        </w:rPr>
        <w:t xml:space="preserve">)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1"/>
      </w:pPr>
      <w:r>
        <w:rPr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строку 2.2.16</w:t>
      </w:r>
      <w:r>
        <w:rPr>
          <w:rFonts w:ascii="Times New Roman" w:hAnsi="Times New Roman" w:cs="Times New Roman"/>
          <w:sz w:val="24"/>
          <w:szCs w:val="24"/>
        </w:rPr>
        <w:t xml:space="preserve"> таблицы «Основные показатели эффективности реализации программы» раздела 2 «Основные цели и задачи программы» Программы изложить в следующей редакции: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266"/>
        <w:gridCol w:w="709"/>
        <w:gridCol w:w="711"/>
        <w:gridCol w:w="850"/>
        <w:gridCol w:w="850"/>
        <w:gridCol w:w="851"/>
        <w:gridCol w:w="851"/>
        <w:gridCol w:w="1701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20"/>
                <w:szCs w:val="22"/>
              </w:rPr>
            </w:pPr>
            <w:r>
              <w:rPr>
                <w:sz w:val="20"/>
              </w:rPr>
              <w:t xml:space="preserve">«</w:t>
            </w:r>
            <w:r>
              <w:rPr>
                <w:sz w:val="20"/>
              </w:rPr>
              <w:t xml:space="preserve">2.2.16.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</w:rPr>
            </w:pPr>
            <w:r>
              <w:rPr>
                <w:sz w:val="20"/>
              </w:rPr>
              <w:t xml:space="preserve">Количество общеобразовательных учреждений и учреждений дополнительного образования, в которых произведена замена окон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</w:rPr>
            </w:pPr>
            <w:r>
              <w:rPr>
                <w:sz w:val="20"/>
              </w:rPr>
              <w:t xml:space="preserve">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-</w: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-</w: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1</w: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-</w: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</w:rPr>
              <w:t xml:space="preserve">-</w:t>
            </w:r>
            <w:r>
              <w:rPr>
                <w:sz w:val="20"/>
                <w:szCs w:val="18"/>
                <w:lang w:val="en-US"/>
              </w:rPr>
            </w:r>
            <w:r>
              <w:rPr>
                <w:sz w:val="20"/>
                <w:szCs w:val="18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Отчет исполнителей программы</w:t>
            </w:r>
            <w:r>
              <w:rPr>
                <w:sz w:val="20"/>
                <w:szCs w:val="18"/>
              </w:rPr>
              <w:t xml:space="preserve">»;</w: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</w:t>
      </w:r>
      <w:r>
        <w:rPr>
          <w:sz w:val="24"/>
          <w:szCs w:val="24"/>
        </w:rPr>
        <w:t xml:space="preserve">Подпрограммы 1 «Развитие дошкольного образования» (далее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Подпрограмма 1)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>
        <w:tblPrEx/>
        <w:trPr>
          <w:trHeight w:val="62"/>
        </w:trPr>
        <w:tc>
          <w:tcPr>
            <w:tcW w:w="2268" w:type="dxa"/>
            <w:textDirection w:val="lrTb"/>
            <w:noWrap w:val="false"/>
          </w:tcPr>
          <w:p>
            <w:pPr>
              <w:widowControl w:val="off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«</w:t>
            </w:r>
            <w:r>
              <w:rPr>
                <w:szCs w:val="18"/>
                <w:lang w:eastAsia="en-US"/>
              </w:rPr>
              <w:t xml:space="preserve">Финансовое обеспечение подпрограммы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</w:tc>
        <w:tc>
          <w:tcPr>
            <w:tcW w:w="7230" w:type="dxa"/>
            <w:textDirection w:val="lrTb"/>
            <w:noWrap w:val="false"/>
          </w:tcPr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Всего по </w:t>
            </w:r>
            <w:r>
              <w:rPr>
                <w:szCs w:val="18"/>
                <w:lang w:eastAsia="en-US"/>
              </w:rPr>
              <w:t xml:space="preserve">подпрограмме: </w:t>
            </w:r>
            <w:r>
              <w:rPr>
                <w:b/>
                <w:szCs w:val="18"/>
                <w:lang w:eastAsia="en-US"/>
              </w:rPr>
              <w:t xml:space="preserve">2</w:t>
            </w:r>
            <w:r>
              <w:rPr>
                <w:b/>
                <w:color w:val="000000"/>
                <w:szCs w:val="18"/>
                <w:lang w:eastAsia="en-US"/>
              </w:rPr>
              <w:t xml:space="preserve"> 429 036,8</w:t>
            </w:r>
            <w:r>
              <w:rPr>
                <w:color w:val="000000"/>
                <w:szCs w:val="18"/>
                <w:lang w:eastAsia="en-US"/>
              </w:rPr>
              <w:t xml:space="preserve"> </w:t>
            </w:r>
            <w:r>
              <w:rPr>
                <w:szCs w:val="18"/>
                <w:lang w:eastAsia="en-US"/>
              </w:rPr>
              <w:t xml:space="preserve">тыс. рублей,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в том числе: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ФБ: 0,0 тыс. рублей, из них: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2024 год: 0,0 тыс. рублей,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2025 год: 0,0 тыс. рублей,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2026 год: 0,0 тыс. рублей.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ОБ: 1689087,6 тыс. рублей, из них: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2024 год: 538715,2 тыс. рублей,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2025 год: 561751,1 тыс. рублей,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2026 год: 588621,3 тыс. рублей.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МБ: 607703,3 тыс. рублей, из них: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2024 год: 208989,4 тыс. рублей,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2025 год: 198112,6 тыс. рублей,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2026 год: 200601,3 тыс. рублей.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ВБС: 132245,9 тыс. рублей, из них: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2024 год: 52645,</w:t>
            </w:r>
            <w:r>
              <w:rPr>
                <w:szCs w:val="18"/>
                <w:lang w:eastAsia="en-US"/>
              </w:rPr>
              <w:t xml:space="preserve">9 тыс.</w:t>
            </w:r>
            <w:r>
              <w:rPr>
                <w:szCs w:val="18"/>
                <w:lang w:eastAsia="en-US"/>
              </w:rPr>
              <w:t xml:space="preserve"> рублей,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2025 год: 39800,0 тыс. рублей,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szCs w:val="18"/>
                <w:lang w:eastAsia="en-US"/>
              </w:rPr>
            </w:pPr>
            <w:r>
              <w:rPr>
                <w:szCs w:val="18"/>
                <w:lang w:eastAsia="en-US"/>
              </w:rPr>
              <w:t xml:space="preserve">2026 год: 39800,0 тыс. рублей</w:t>
            </w:r>
            <w:r>
              <w:rPr>
                <w:szCs w:val="18"/>
                <w:lang w:eastAsia="en-US"/>
              </w:rPr>
              <w:t xml:space="preserve">.</w:t>
            </w:r>
            <w:r>
              <w:rPr>
                <w:szCs w:val="18"/>
                <w:lang w:eastAsia="en-US"/>
              </w:rPr>
              <w:t xml:space="preserve">»;</w:t>
            </w:r>
            <w:r>
              <w:rPr>
                <w:szCs w:val="18"/>
                <w:lang w:eastAsia="en-US"/>
              </w:rPr>
            </w:r>
            <w:r>
              <w:rPr>
                <w:szCs w:val="18"/>
                <w:lang w:eastAsia="en-US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widowControl w:val="off"/>
        <w:tabs>
          <w:tab w:val="left" w:pos="709" w:leader="none"/>
        </w:tabs>
      </w:pPr>
      <w:r>
        <w:t xml:space="preserve">- строки 1.2.2, «Итого по основному мероприятию </w:t>
      </w:r>
      <w:r>
        <w:t xml:space="preserve">2</w:t>
      </w:r>
      <w:r>
        <w:t xml:space="preserve">» и «Всего по подпрограмме 1» таблицы 1 «Перечень мероприятий подпрограммы с объемом финансирования» к Подпрограмме 1 изложить в следующей редакции:</w:t>
      </w:r>
      <w:r/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70"/>
        <w:gridCol w:w="1642"/>
        <w:gridCol w:w="712"/>
        <w:gridCol w:w="849"/>
        <w:gridCol w:w="1134"/>
        <w:gridCol w:w="993"/>
        <w:gridCol w:w="992"/>
        <w:gridCol w:w="1278"/>
        <w:gridCol w:w="1128"/>
      </w:tblGrid>
      <w:tr>
        <w:tblPrEx/>
        <w:trPr>
          <w:trHeight w:val="65"/>
        </w:trPr>
        <w:tc>
          <w:tcPr>
            <w:shd w:val="clear" w:color="auto" w:fill="auto"/>
            <w:tcW w:w="405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«1.2.2.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64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Выполнение мероприятий по энергосбережению в учреждениях дошкольного образования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МБДОУ                                  № 2,4,6,8»;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12845,9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12845,9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12845,9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12845,9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6937,3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6937,3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64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27674,4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17674,4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5 000,0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5 000,0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12845,9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12845,9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4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47457,6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37457,6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5 000,0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1689087,6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538715,2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561751,1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588621,3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64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607703,3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208989,4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198112,6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200601,3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132245,9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52645,9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2429036,8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800350,5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799663,7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829022,6»;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91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2 «Развитие общего и дополнительного образования детей»» (далее</w:t>
      </w:r>
      <w:r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Подпрограмма 2)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4"/>
        <w:gridCol w:w="7514"/>
      </w:tblGrid>
      <w:tr>
        <w:tblPrEx/>
        <w:trPr>
          <w:trHeight w:val="560"/>
        </w:trPr>
        <w:tc>
          <w:tcPr>
            <w:tcW w:w="1984" w:type="dxa"/>
            <w:textDirection w:val="lrTb"/>
            <w:noWrap w:val="false"/>
          </w:tcPr>
          <w:p>
            <w:pPr>
              <w:widowControl w:val="off"/>
              <w:rPr>
                <w:lang w:eastAsia="en-US"/>
              </w:rPr>
            </w:pPr>
            <w:r>
              <w:rPr>
                <w:lang w:eastAsia="en-US"/>
              </w:rPr>
              <w:t xml:space="preserve">«</w:t>
            </w:r>
            <w:r>
              <w:rPr>
                <w:lang w:eastAsia="en-US"/>
              </w:rPr>
              <w:t xml:space="preserve">Финансовое обеспечение подпрограммы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514" w:type="dxa"/>
            <w:textDirection w:val="lrTb"/>
            <w:noWrap w:val="false"/>
          </w:tcPr>
          <w:p>
            <w:pPr>
              <w:ind w:left="-57" w:right="-57"/>
              <w:jc w:val="both"/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Всего по подпрограмме: </w:t>
            </w:r>
            <w:r>
              <w:rPr>
                <w:b/>
                <w:lang w:eastAsia="en-US"/>
              </w:rPr>
              <w:t xml:space="preserve">3 195 603,1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тыс. рублей,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ФБ: 281130,9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2024 год: 66775,5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2025 год: 144227,2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2026 год: 70128,2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ОБ: 2259289,0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2024 год: 768618,8 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2025 год: 740537,7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2026 год: 750132,5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МБ: 586889,1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2024год: 197428,5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2025 год: 200067,0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2026 год: 189393,</w:t>
            </w:r>
            <w:r>
              <w:rPr>
                <w:lang w:eastAsia="en-US"/>
              </w:rPr>
              <w:t xml:space="preserve">6 тыс.</w:t>
            </w:r>
            <w:r>
              <w:rPr>
                <w:lang w:eastAsia="en-US"/>
              </w:rPr>
              <w:t xml:space="preserve">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ВБС: </w:t>
            </w:r>
            <w:r>
              <w:rPr>
                <w:lang w:eastAsia="en-US"/>
              </w:rPr>
              <w:t xml:space="preserve">68294,1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68294,1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2025 год: 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2026 год: 0,0 тыс. рублей</w:t>
            </w:r>
            <w:r>
              <w:rPr>
                <w:lang w:eastAsia="en-US"/>
              </w:rPr>
              <w:t xml:space="preserve">.</w:t>
            </w:r>
            <w:r>
              <w:rPr>
                <w:lang w:eastAsia="en-US"/>
              </w:rPr>
              <w:t xml:space="preserve">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</w:t>
      </w:r>
      <w:r>
        <w:t xml:space="preserve">строк</w:t>
      </w:r>
      <w:r>
        <w:t xml:space="preserve">и</w:t>
      </w:r>
      <w:r>
        <w:t xml:space="preserve"> </w:t>
      </w:r>
      <w:r>
        <w:t xml:space="preserve">2.2.1, </w:t>
      </w:r>
      <w:r>
        <w:t xml:space="preserve">2.2.3</w:t>
      </w:r>
      <w:r>
        <w:t xml:space="preserve">,</w:t>
      </w:r>
      <w:r>
        <w:t xml:space="preserve"> 2.2.7,</w:t>
      </w:r>
      <w:r>
        <w:t xml:space="preserve"> «Итого по основному мероприятию 2» и «Всего по подпрограмме 2»</w:t>
      </w:r>
      <w:r>
        <w:t xml:space="preserve"> таблицы 1 «Перечень мероприятий подпрограммы с объёмом </w:t>
      </w:r>
      <w:r>
        <w:t xml:space="preserve">финансирования» к П</w:t>
      </w:r>
      <w:r>
        <w:t xml:space="preserve">одпрограмме </w:t>
      </w:r>
      <w:r>
        <w:t xml:space="preserve">2 изложить</w:t>
      </w:r>
      <w:r>
        <w:t xml:space="preserve"> в следующей редакции:</w:t>
      </w:r>
      <w:r/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68"/>
        <w:gridCol w:w="1360"/>
        <w:gridCol w:w="712"/>
        <w:gridCol w:w="849"/>
        <w:gridCol w:w="1132"/>
        <w:gridCol w:w="1134"/>
        <w:gridCol w:w="1176"/>
        <w:gridCol w:w="1242"/>
        <w:gridCol w:w="1125"/>
      </w:tblGrid>
      <w:tr>
        <w:tblPrEx/>
        <w:trPr>
          <w:trHeight w:val="65"/>
        </w:trPr>
        <w:tc>
          <w:tcPr>
            <w:shd w:val="clear" w:color="auto" w:fill="auto"/>
            <w:tcW w:w="404" w:type="pct"/>
            <w:vMerge w:val="restart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«2.2.1.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Модернизация и укрепление материально-технической базы муниципальных образовательных учреждений и учреждений дополнительного образования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Отдел образования,</w:t>
            </w:r>
            <w:r>
              <w:rPr>
                <w:color w:val="000000"/>
                <w:sz w:val="20"/>
                <w:szCs w:val="20"/>
              </w:rPr>
              <w:br/>
              <w:t xml:space="preserve"> МБОУ СОШ №№ 1, 3, 5, 7, 9, 11, 19, 23; </w:t>
            </w:r>
            <w:r>
              <w:rPr>
                <w:color w:val="000000"/>
                <w:sz w:val="20"/>
                <w:szCs w:val="20"/>
              </w:rPr>
              <w:br/>
              <w:t xml:space="preserve">МБОУ ООШ №№ 20, 22; МБОУ ДО ДДТ №№ 1,2; МБУ ДО ДЮСШ; </w:t>
            </w:r>
            <w:r>
              <w:rPr>
                <w:color w:val="000000"/>
                <w:sz w:val="20"/>
                <w:szCs w:val="20"/>
              </w:rPr>
              <w:br/>
              <w:t xml:space="preserve">МБУ «РЭС»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850,0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850,0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104192,9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39688,3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37504,6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27000,0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105042,9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40538,3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37504,6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2.2.3.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</w:rPr>
              <w:t xml:space="preserve">Реализация мероприятий по замене окон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Отдел образования, МБУ ДО ДДТ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№ 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4948,3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4948,3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305,2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305,2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4244,1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4244,1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9497,6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9497,6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restart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</w:rPr>
            </w:pPr>
            <w:r>
              <w:rPr>
                <w:sz w:val="20"/>
              </w:rPr>
              <w:t xml:space="preserve">2.2.7.</w:t>
            </w:r>
            <w:r>
              <w:rPr>
                <w:b/>
                <w:color w:val="000000"/>
                <w:spacing w:val="1"/>
                <w:sz w:val="20"/>
              </w:rPr>
            </w:r>
            <w:r>
              <w:rPr>
                <w:b/>
                <w:color w:val="000000"/>
                <w:spacing w:val="1"/>
                <w:sz w:val="20"/>
              </w:rPr>
            </w:r>
          </w:p>
        </w:tc>
        <w:tc>
          <w:tcPr>
            <w:shd w:val="clear" w:color="auto" w:fill="auto"/>
            <w:tcW w:w="716" w:type="pct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</w:rPr>
            </w:pPr>
            <w:r>
              <w:rPr>
                <w:color w:val="000000"/>
                <w:spacing w:val="1"/>
                <w:sz w:val="20"/>
              </w:rPr>
              <w:t xml:space="preserve">Обеспечение комплексной безопасности муниципальных образовательных организаций</w:t>
            </w:r>
            <w:r>
              <w:rPr>
                <w:color w:val="000000"/>
                <w:spacing w:val="1"/>
                <w:sz w:val="20"/>
              </w:rPr>
            </w:r>
            <w:r>
              <w:rPr>
                <w:color w:val="000000"/>
                <w:spacing w:val="1"/>
                <w:sz w:val="20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</w:rPr>
            </w:pPr>
            <w:r>
              <w:rPr>
                <w:color w:val="000000"/>
                <w:spacing w:val="1"/>
                <w:sz w:val="20"/>
              </w:rPr>
              <w:t xml:space="preserve">2024</w:t>
            </w:r>
            <w:r>
              <w:rPr>
                <w:color w:val="000000"/>
                <w:spacing w:val="1"/>
                <w:sz w:val="20"/>
              </w:rPr>
            </w:r>
            <w:r>
              <w:rPr>
                <w:color w:val="000000"/>
                <w:spacing w:val="1"/>
                <w:sz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</w:rPr>
              <w:t xml:space="preserve">ФБ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lang w:eastAsia="en-US" w:bidi="en-US"/>
              </w:rPr>
            </w:pPr>
            <w:r>
              <w:rPr>
                <w:bCs/>
                <w:color w:val="000000"/>
                <w:sz w:val="20"/>
                <w:lang w:bidi="en-US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lang w:eastAsia="en-US" w:bidi="en-US"/>
              </w:rPr>
            </w:r>
            <w:r>
              <w:rPr>
                <w:b/>
                <w:bCs/>
                <w:color w:val="000000"/>
                <w:sz w:val="20"/>
                <w:lang w:eastAsia="en-US" w:bidi="en-US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lang w:bidi="en-US"/>
              </w:rPr>
            </w:pPr>
            <w:r>
              <w:rPr>
                <w:color w:val="000000"/>
                <w:sz w:val="20"/>
                <w:lang w:bidi="en-US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lang w:bidi="en-US"/>
              </w:rPr>
            </w:r>
            <w:r>
              <w:rPr>
                <w:b/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lang w:bidi="en-US"/>
              </w:rPr>
            </w:pPr>
            <w:r>
              <w:rPr>
                <w:color w:val="000000"/>
                <w:sz w:val="20"/>
                <w:lang w:bidi="en-US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lang w:bidi="en-US"/>
              </w:rPr>
            </w:r>
            <w:r>
              <w:rPr>
                <w:b/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lang w:bidi="en-US"/>
              </w:rPr>
            </w:pPr>
            <w:r>
              <w:rPr>
                <w:color w:val="000000"/>
                <w:sz w:val="20"/>
                <w:lang w:bidi="en-US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lang w:bidi="en-US"/>
              </w:rPr>
            </w:r>
            <w:r>
              <w:rPr>
                <w:b/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sz w:val="20"/>
              </w:rPr>
              <w:t xml:space="preserve">ОБ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lang w:eastAsia="en-US" w:bidi="en-US"/>
              </w:rPr>
            </w:pPr>
            <w:r>
              <w:rPr>
                <w:bCs/>
                <w:color w:val="000000"/>
                <w:sz w:val="20"/>
                <w:lang w:bidi="en-US"/>
              </w:rPr>
              <w:t xml:space="preserve">1621,2</w:t>
            </w:r>
            <w:r>
              <w:rPr>
                <w:bCs/>
                <w:color w:val="000000"/>
                <w:sz w:val="20"/>
                <w:lang w:eastAsia="en-US" w:bidi="en-US"/>
              </w:rPr>
            </w:r>
            <w:r>
              <w:rPr>
                <w:bCs/>
                <w:color w:val="000000"/>
                <w:sz w:val="20"/>
                <w:lang w:eastAsia="en-US" w:bidi="en-US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lang w:bidi="en-US"/>
              </w:rPr>
            </w:pPr>
            <w:r>
              <w:rPr>
                <w:bCs/>
                <w:color w:val="000000"/>
                <w:sz w:val="20"/>
                <w:lang w:bidi="en-US"/>
              </w:rPr>
              <w:t xml:space="preserve">1621,2</w:t>
            </w:r>
            <w:r>
              <w:rPr>
                <w:bCs/>
                <w:color w:val="000000"/>
                <w:sz w:val="20"/>
                <w:lang w:bidi="en-US"/>
              </w:rPr>
            </w:r>
            <w:r>
              <w:rPr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lang w:bidi="en-US"/>
              </w:rPr>
            </w:pPr>
            <w:r>
              <w:rPr>
                <w:color w:val="000000"/>
                <w:sz w:val="20"/>
                <w:lang w:bidi="en-US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lang w:bidi="en-US"/>
              </w:rPr>
            </w:r>
            <w:r>
              <w:rPr>
                <w:b/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lang w:bidi="en-US"/>
              </w:rPr>
            </w:pPr>
            <w:r>
              <w:rPr>
                <w:color w:val="000000"/>
                <w:sz w:val="20"/>
                <w:lang w:bidi="en-US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lang w:bidi="en-US"/>
              </w:rPr>
            </w:r>
            <w:r>
              <w:rPr>
                <w:b/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sz w:val="20"/>
              </w:rPr>
              <w:t xml:space="preserve">МБ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lang w:eastAsia="en-US" w:bidi="en-US"/>
              </w:rPr>
            </w:pPr>
            <w:r>
              <w:rPr>
                <w:bCs/>
                <w:color w:val="000000"/>
                <w:sz w:val="20"/>
                <w:lang w:bidi="en-US"/>
              </w:rPr>
              <w:t xml:space="preserve">128,0</w:t>
            </w:r>
            <w:r>
              <w:rPr>
                <w:bCs/>
                <w:color w:val="000000"/>
                <w:sz w:val="20"/>
                <w:lang w:eastAsia="en-US" w:bidi="en-US"/>
              </w:rPr>
            </w:r>
            <w:r>
              <w:rPr>
                <w:bCs/>
                <w:color w:val="000000"/>
                <w:sz w:val="20"/>
                <w:lang w:eastAsia="en-US" w:bidi="en-US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lang w:bidi="en-US"/>
              </w:rPr>
            </w:pPr>
            <w:r>
              <w:rPr>
                <w:bCs/>
                <w:color w:val="000000"/>
                <w:sz w:val="20"/>
                <w:lang w:bidi="en-US"/>
              </w:rPr>
              <w:t xml:space="preserve">128,0</w:t>
            </w:r>
            <w:r>
              <w:rPr>
                <w:bCs/>
                <w:color w:val="000000"/>
                <w:sz w:val="20"/>
                <w:lang w:bidi="en-US"/>
              </w:rPr>
            </w:r>
            <w:r>
              <w:rPr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lang w:bidi="en-US"/>
              </w:rPr>
            </w:pPr>
            <w:r>
              <w:rPr>
                <w:bCs/>
                <w:color w:val="000000"/>
                <w:sz w:val="20"/>
                <w:lang w:bidi="en-US"/>
              </w:rPr>
              <w:t xml:space="preserve">0,0</w:t>
            </w:r>
            <w:r>
              <w:rPr>
                <w:bCs/>
                <w:color w:val="000000"/>
                <w:sz w:val="20"/>
                <w:lang w:bidi="en-US"/>
              </w:rPr>
            </w:r>
            <w:r>
              <w:rPr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lang w:bidi="en-US"/>
              </w:rPr>
            </w:pPr>
            <w:r>
              <w:rPr>
                <w:bCs/>
                <w:color w:val="000000"/>
                <w:sz w:val="20"/>
                <w:lang w:bidi="en-US"/>
              </w:rPr>
              <w:t xml:space="preserve">0,0</w:t>
            </w:r>
            <w:r>
              <w:rPr>
                <w:bCs/>
                <w:color w:val="000000"/>
                <w:sz w:val="20"/>
                <w:lang w:bidi="en-US"/>
              </w:rPr>
            </w:r>
            <w:r>
              <w:rPr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sz w:val="20"/>
              </w:rPr>
              <w:t xml:space="preserve">ВБС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lang w:eastAsia="en-US" w:bidi="en-US"/>
              </w:rPr>
            </w:pPr>
            <w:r>
              <w:rPr>
                <w:bCs/>
                <w:color w:val="000000"/>
                <w:sz w:val="20"/>
                <w:lang w:bidi="en-US"/>
              </w:rPr>
              <w:t xml:space="preserve">0,0</w:t>
            </w:r>
            <w:r>
              <w:rPr>
                <w:bCs/>
                <w:color w:val="000000"/>
                <w:sz w:val="20"/>
                <w:lang w:eastAsia="en-US" w:bidi="en-US"/>
              </w:rPr>
            </w:r>
            <w:r>
              <w:rPr>
                <w:bCs/>
                <w:color w:val="000000"/>
                <w:sz w:val="20"/>
                <w:lang w:eastAsia="en-US" w:bidi="en-US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lang w:bidi="en-US"/>
              </w:rPr>
            </w:pPr>
            <w:r>
              <w:rPr>
                <w:bCs/>
                <w:color w:val="000000"/>
                <w:sz w:val="20"/>
                <w:lang w:bidi="en-US"/>
              </w:rPr>
              <w:t xml:space="preserve">0,0</w:t>
            </w:r>
            <w:r>
              <w:rPr>
                <w:bCs/>
                <w:color w:val="000000"/>
                <w:sz w:val="20"/>
                <w:lang w:bidi="en-US"/>
              </w:rPr>
            </w:r>
            <w:r>
              <w:rPr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lang w:bidi="en-US"/>
              </w:rPr>
            </w:pPr>
            <w:r>
              <w:rPr>
                <w:bCs/>
                <w:color w:val="000000"/>
                <w:sz w:val="20"/>
                <w:lang w:bidi="en-US"/>
              </w:rPr>
              <w:t xml:space="preserve">0,0</w:t>
            </w:r>
            <w:r>
              <w:rPr>
                <w:bCs/>
                <w:color w:val="000000"/>
                <w:sz w:val="20"/>
                <w:lang w:bidi="en-US"/>
              </w:rPr>
            </w:r>
            <w:r>
              <w:rPr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lang w:bidi="en-US"/>
              </w:rPr>
            </w:pPr>
            <w:r>
              <w:rPr>
                <w:bCs/>
                <w:color w:val="000000"/>
                <w:sz w:val="20"/>
                <w:lang w:bidi="en-US"/>
              </w:rPr>
              <w:t xml:space="preserve">0,0</w:t>
            </w:r>
            <w:r>
              <w:rPr>
                <w:bCs/>
                <w:color w:val="000000"/>
                <w:sz w:val="20"/>
                <w:lang w:bidi="en-US"/>
              </w:rPr>
            </w:r>
            <w:r>
              <w:rPr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</w:rPr>
              <w:t xml:space="preserve">Итого: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lang w:eastAsia="en-US" w:bidi="en-US"/>
              </w:rPr>
            </w:pPr>
            <w:r>
              <w:rPr>
                <w:b/>
                <w:bCs/>
                <w:color w:val="000000"/>
                <w:sz w:val="20"/>
                <w:lang w:bidi="en-US"/>
              </w:rPr>
              <w:t xml:space="preserve">1749,2</w:t>
            </w:r>
            <w:r>
              <w:rPr>
                <w:b/>
                <w:bCs/>
                <w:color w:val="000000"/>
                <w:sz w:val="20"/>
                <w:lang w:eastAsia="en-US" w:bidi="en-US"/>
              </w:rPr>
            </w:r>
            <w:r>
              <w:rPr>
                <w:b/>
                <w:bCs/>
                <w:color w:val="000000"/>
                <w:sz w:val="20"/>
                <w:lang w:eastAsia="en-US" w:bidi="en-US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lang w:bidi="en-US"/>
              </w:rPr>
            </w:pPr>
            <w:r>
              <w:rPr>
                <w:b/>
                <w:bCs/>
                <w:color w:val="000000"/>
                <w:sz w:val="20"/>
                <w:lang w:bidi="en-US"/>
              </w:rPr>
              <w:t xml:space="preserve">1749,2</w:t>
            </w:r>
            <w:r>
              <w:rPr>
                <w:b/>
                <w:bCs/>
                <w:color w:val="000000"/>
                <w:sz w:val="20"/>
                <w:lang w:bidi="en-US"/>
              </w:rPr>
            </w:r>
            <w:r>
              <w:rPr>
                <w:b/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619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lang w:bidi="en-US"/>
              </w:rPr>
            </w:pPr>
            <w:r>
              <w:rPr>
                <w:b/>
                <w:bCs/>
                <w:color w:val="000000"/>
                <w:sz w:val="20"/>
                <w:lang w:bidi="en-US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lang w:bidi="en-US"/>
              </w:rPr>
            </w:r>
            <w:r>
              <w:rPr>
                <w:b/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6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lang w:bidi="en-US"/>
              </w:rPr>
            </w:pPr>
            <w:r>
              <w:rPr>
                <w:b/>
                <w:bCs/>
                <w:color w:val="000000"/>
                <w:sz w:val="20"/>
                <w:lang w:bidi="en-US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lang w:bidi="en-US"/>
              </w:rPr>
            </w:r>
            <w:r>
              <w:rPr>
                <w:b/>
                <w:bCs/>
                <w:color w:val="000000"/>
                <w:sz w:val="20"/>
                <w:lang w:bidi="en-US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49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76344,4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76344,4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4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116866,3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93913,9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22952,4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4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112056,5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44687,5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40369,0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ind w:left="-8" w:firstLine="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4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68294,1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68294,1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4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373561,3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206895,5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139665,8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49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281130,9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66775,5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144227,2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70128,2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4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2259289,0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768618,8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740537,7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750132,5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4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586889,1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197428,5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200067,0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189393,6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4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68294,1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68294,1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4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3195603,1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1101116,9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1084831,9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1009654,3»;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54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2.2.3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аблицы 2 «Перечень мероприятий подпрограммы с показателями результативности выполнения мероприятий» </w:t>
      </w:r>
      <w:r>
        <w:rPr>
          <w:sz w:val="24"/>
          <w:szCs w:val="24"/>
        </w:rPr>
        <w:t xml:space="preserve">к Подпрограмме 2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1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787"/>
        <w:gridCol w:w="709"/>
        <w:gridCol w:w="2268"/>
        <w:gridCol w:w="567"/>
        <w:gridCol w:w="567"/>
        <w:gridCol w:w="567"/>
        <w:gridCol w:w="425"/>
        <w:gridCol w:w="1843"/>
      </w:tblGrid>
      <w:tr>
        <w:tblPrEx/>
        <w:trPr>
          <w:trHeight w:val="914"/>
        </w:trPr>
        <w:tc>
          <w:tcPr>
            <w:shd w:val="clear" w:color="000000" w:fill="ffffff"/>
            <w:tcW w:w="78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«2.2.3.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W w:w="178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Реализаций мероприятий по замене окон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W w:w="226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общеобразовательных учреждений и учреждений дополнительного образования, в которых произведена замена окон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W w:w="56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W w:w="56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W w:w="56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W w:w="42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W w:w="184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1».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12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912"/>
        <w:ind w:firstLine="709"/>
      </w:pPr>
      <w:r>
        <w:t xml:space="preserve">2. Настоящее постановление вступает в силу после его подписания.</w:t>
      </w:r>
      <w:r/>
    </w:p>
    <w:p>
      <w:pPr>
        <w:pStyle w:val="912"/>
        <w:ind w:firstLine="709"/>
        <w:jc w:val="both"/>
      </w:pPr>
      <w:r>
        <w:t xml:space="preserve">3. </w:t>
      </w: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</w:t>
      </w:r>
      <w:r>
        <w:t xml:space="preserve">Печенгского</w:t>
      </w:r>
      <w:r>
        <w:t xml:space="preserve"> муниципального округа в сети Интернет.</w:t>
      </w:r>
      <w:r>
        <w:rPr>
          <w:rFonts w:eastAsia="Calibri"/>
        </w:rPr>
        <w:t xml:space="preserve"> </w:t>
      </w:r>
      <w:r/>
    </w:p>
    <w:p>
      <w:pPr>
        <w:pStyle w:val="912"/>
      </w:pPr>
      <w:r/>
      <w:r/>
    </w:p>
    <w:p>
      <w:pPr>
        <w:pStyle w:val="912"/>
      </w:pPr>
      <w:r/>
      <w:bookmarkStart w:id="0" w:name="_GoBack"/>
      <w:r/>
      <w:bookmarkEnd w:id="0"/>
      <w:r/>
      <w:r/>
    </w:p>
    <w:p>
      <w:pPr>
        <w:pStyle w:val="912"/>
        <w:rPr>
          <w:bCs/>
        </w:rPr>
      </w:pPr>
      <w:r>
        <w:t xml:space="preserve">Глава </w:t>
      </w:r>
      <w:r>
        <w:t xml:space="preserve">Печенгского</w:t>
      </w:r>
      <w:r>
        <w:t xml:space="preserve"> муниципального округа   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  <w:t xml:space="preserve">Никитина И.В., 50572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707" w:bottom="85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57"/>
      </w:pPr>
      <w:r>
        <w:separator/>
      </w:r>
      <w:r/>
    </w:p>
  </w:footnote>
  <w:footnote w:type="continuationSeparator" w:id="0">
    <w:p>
      <w:pPr>
        <w:pStyle w:val="9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3" w:hanging="104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3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34"/>
  </w:num>
  <w:num w:numId="2">
    <w:abstractNumId w:val="11"/>
  </w:num>
  <w:num w:numId="3">
    <w:abstractNumId w:val="32"/>
  </w:num>
  <w:num w:numId="4">
    <w:abstractNumId w:val="8"/>
  </w:num>
  <w:num w:numId="5">
    <w:abstractNumId w:val="18"/>
  </w:num>
  <w:num w:numId="6">
    <w:abstractNumId w:val="29"/>
  </w:num>
  <w:num w:numId="7">
    <w:abstractNumId w:val="28"/>
  </w:num>
  <w:num w:numId="8">
    <w:abstractNumId w:val="23"/>
  </w:num>
  <w:num w:numId="9">
    <w:abstractNumId w:val="5"/>
  </w:num>
  <w:num w:numId="10">
    <w:abstractNumId w:val="1"/>
  </w:num>
  <w:num w:numId="11">
    <w:abstractNumId w:val="14"/>
  </w:num>
  <w:num w:numId="12">
    <w:abstractNumId w:val="24"/>
  </w:num>
  <w:num w:numId="13">
    <w:abstractNumId w:val="6"/>
  </w:num>
  <w:num w:numId="14">
    <w:abstractNumId w:val="16"/>
  </w:num>
  <w:num w:numId="15">
    <w:abstractNumId w:val="35"/>
  </w:num>
  <w:num w:numId="16">
    <w:abstractNumId w:val="31"/>
  </w:num>
  <w:num w:numId="17">
    <w:abstractNumId w:val="20"/>
  </w:num>
  <w:num w:numId="18">
    <w:abstractNumId w:val="15"/>
  </w:num>
  <w:num w:numId="19">
    <w:abstractNumId w:val="2"/>
  </w:num>
  <w:num w:numId="20">
    <w:abstractNumId w:val="0"/>
  </w:num>
  <w:num w:numId="21">
    <w:abstractNumId w:val="4"/>
  </w:num>
  <w:num w:numId="22">
    <w:abstractNumId w:val="22"/>
  </w:num>
  <w:num w:numId="23">
    <w:abstractNumId w:val="13"/>
  </w:num>
  <w:num w:numId="24">
    <w:abstractNumId w:val="26"/>
  </w:num>
  <w:num w:numId="25">
    <w:abstractNumId w:val="12"/>
  </w:num>
  <w:num w:numId="26">
    <w:abstractNumId w:val="9"/>
  </w:num>
  <w:num w:numId="27">
    <w:abstractNumId w:val="27"/>
  </w:num>
  <w:num w:numId="28">
    <w:abstractNumId w:val="17"/>
  </w:num>
  <w:num w:numId="29">
    <w:abstractNumId w:val="33"/>
  </w:num>
  <w:num w:numId="30">
    <w:abstractNumId w:val="10"/>
  </w:num>
  <w:num w:numId="31">
    <w:abstractNumId w:val="19"/>
  </w:num>
  <w:num w:numId="32">
    <w:abstractNumId w:val="30"/>
  </w:num>
  <w:num w:numId="33">
    <w:abstractNumId w:val="21"/>
  </w:num>
  <w:num w:numId="34">
    <w:abstractNumId w:val="25"/>
  </w:num>
  <w:num w:numId="35">
    <w:abstractNumId w:val="3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6">
    <w:name w:val="Heading 1 Char"/>
    <w:basedOn w:val="771"/>
    <w:link w:val="762"/>
    <w:uiPriority w:val="9"/>
    <w:rPr>
      <w:rFonts w:ascii="Arial" w:hAnsi="Arial" w:eastAsia="Arial" w:cs="Arial"/>
      <w:sz w:val="40"/>
      <w:szCs w:val="40"/>
    </w:rPr>
  </w:style>
  <w:style w:type="character" w:styleId="727">
    <w:name w:val="Heading 2 Char"/>
    <w:basedOn w:val="771"/>
    <w:link w:val="763"/>
    <w:uiPriority w:val="9"/>
    <w:rPr>
      <w:rFonts w:ascii="Arial" w:hAnsi="Arial" w:eastAsia="Arial" w:cs="Arial"/>
      <w:sz w:val="34"/>
    </w:rPr>
  </w:style>
  <w:style w:type="character" w:styleId="728">
    <w:name w:val="Heading 3 Char"/>
    <w:basedOn w:val="771"/>
    <w:link w:val="764"/>
    <w:uiPriority w:val="9"/>
    <w:rPr>
      <w:rFonts w:ascii="Arial" w:hAnsi="Arial" w:eastAsia="Arial" w:cs="Arial"/>
      <w:sz w:val="30"/>
      <w:szCs w:val="30"/>
    </w:rPr>
  </w:style>
  <w:style w:type="character" w:styleId="729">
    <w:name w:val="Heading 4 Char"/>
    <w:basedOn w:val="771"/>
    <w:link w:val="765"/>
    <w:uiPriority w:val="9"/>
    <w:rPr>
      <w:rFonts w:ascii="Arial" w:hAnsi="Arial" w:eastAsia="Arial" w:cs="Arial"/>
      <w:b/>
      <w:bCs/>
      <w:sz w:val="26"/>
      <w:szCs w:val="26"/>
    </w:rPr>
  </w:style>
  <w:style w:type="character" w:styleId="730">
    <w:name w:val="Heading 5 Char"/>
    <w:basedOn w:val="771"/>
    <w:link w:val="766"/>
    <w:uiPriority w:val="9"/>
    <w:rPr>
      <w:rFonts w:ascii="Arial" w:hAnsi="Arial" w:eastAsia="Arial" w:cs="Arial"/>
      <w:b/>
      <w:bCs/>
      <w:sz w:val="24"/>
      <w:szCs w:val="24"/>
    </w:rPr>
  </w:style>
  <w:style w:type="character" w:styleId="731">
    <w:name w:val="Heading 6 Char"/>
    <w:basedOn w:val="771"/>
    <w:link w:val="767"/>
    <w:uiPriority w:val="9"/>
    <w:rPr>
      <w:rFonts w:ascii="Arial" w:hAnsi="Arial" w:eastAsia="Arial" w:cs="Arial"/>
      <w:b/>
      <w:bCs/>
      <w:sz w:val="22"/>
      <w:szCs w:val="22"/>
    </w:rPr>
  </w:style>
  <w:style w:type="character" w:styleId="732">
    <w:name w:val="Heading 7 Char"/>
    <w:basedOn w:val="771"/>
    <w:link w:val="7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8 Char"/>
    <w:basedOn w:val="771"/>
    <w:link w:val="769"/>
    <w:uiPriority w:val="9"/>
    <w:rPr>
      <w:rFonts w:ascii="Arial" w:hAnsi="Arial" w:eastAsia="Arial" w:cs="Arial"/>
      <w:i/>
      <w:iCs/>
      <w:sz w:val="22"/>
      <w:szCs w:val="22"/>
    </w:rPr>
  </w:style>
  <w:style w:type="character" w:styleId="734">
    <w:name w:val="Heading 9 Char"/>
    <w:basedOn w:val="771"/>
    <w:link w:val="770"/>
    <w:uiPriority w:val="9"/>
    <w:rPr>
      <w:rFonts w:ascii="Arial" w:hAnsi="Arial" w:eastAsia="Arial" w:cs="Arial"/>
      <w:i/>
      <w:iCs/>
      <w:sz w:val="21"/>
      <w:szCs w:val="21"/>
    </w:rPr>
  </w:style>
  <w:style w:type="character" w:styleId="735">
    <w:name w:val="Title Char"/>
    <w:basedOn w:val="771"/>
    <w:link w:val="913"/>
    <w:uiPriority w:val="10"/>
    <w:rPr>
      <w:sz w:val="48"/>
      <w:szCs w:val="48"/>
    </w:rPr>
  </w:style>
  <w:style w:type="character" w:styleId="736">
    <w:name w:val="Subtitle Char"/>
    <w:basedOn w:val="771"/>
    <w:link w:val="914"/>
    <w:uiPriority w:val="11"/>
    <w:rPr>
      <w:sz w:val="24"/>
      <w:szCs w:val="24"/>
    </w:rPr>
  </w:style>
  <w:style w:type="character" w:styleId="737">
    <w:name w:val="Quote Char"/>
    <w:link w:val="915"/>
    <w:uiPriority w:val="29"/>
    <w:rPr>
      <w:i/>
    </w:rPr>
  </w:style>
  <w:style w:type="character" w:styleId="738">
    <w:name w:val="Intense Quote Char"/>
    <w:link w:val="916"/>
    <w:uiPriority w:val="30"/>
    <w:rPr>
      <w:i/>
    </w:rPr>
  </w:style>
  <w:style w:type="character" w:styleId="739">
    <w:name w:val="Header Char"/>
    <w:basedOn w:val="771"/>
    <w:link w:val="917"/>
    <w:uiPriority w:val="99"/>
  </w:style>
  <w:style w:type="character" w:styleId="740">
    <w:name w:val="Caption Char"/>
    <w:basedOn w:val="789"/>
    <w:link w:val="918"/>
    <w:uiPriority w:val="99"/>
  </w:style>
  <w:style w:type="table" w:styleId="741">
    <w:name w:val="Plain Table 1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>
    <w:name w:val="Grid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2">
    <w:name w:val="Grid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9">
    <w:name w:val="List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0">
    <w:name w:val="Endnote Text Char"/>
    <w:link w:val="897"/>
    <w:uiPriority w:val="99"/>
    <w:rPr>
      <w:sz w:val="20"/>
    </w:rPr>
  </w:style>
  <w:style w:type="paragraph" w:styleId="761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62">
    <w:name w:val="Heading 1"/>
    <w:basedOn w:val="761"/>
    <w:next w:val="761"/>
    <w:link w:val="77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63">
    <w:name w:val="Heading 2"/>
    <w:basedOn w:val="761"/>
    <w:next w:val="761"/>
    <w:link w:val="775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64">
    <w:name w:val="Heading 3"/>
    <w:basedOn w:val="761"/>
    <w:next w:val="761"/>
    <w:link w:val="776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65">
    <w:name w:val="Heading 4"/>
    <w:basedOn w:val="761"/>
    <w:next w:val="761"/>
    <w:link w:val="77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66">
    <w:name w:val="Heading 5"/>
    <w:basedOn w:val="761"/>
    <w:next w:val="761"/>
    <w:link w:val="77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67">
    <w:name w:val="Heading 6"/>
    <w:basedOn w:val="761"/>
    <w:next w:val="761"/>
    <w:link w:val="77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68">
    <w:name w:val="Heading 7"/>
    <w:basedOn w:val="761"/>
    <w:next w:val="761"/>
    <w:link w:val="78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69">
    <w:name w:val="Heading 8"/>
    <w:basedOn w:val="761"/>
    <w:next w:val="761"/>
    <w:link w:val="78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70">
    <w:name w:val="Heading 9"/>
    <w:basedOn w:val="761"/>
    <w:next w:val="761"/>
    <w:link w:val="78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71" w:default="1">
    <w:name w:val="Default Paragraph Font"/>
    <w:uiPriority w:val="1"/>
    <w:semiHidden/>
    <w:unhideWhenUsed/>
  </w:style>
  <w:style w:type="table" w:styleId="7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3" w:default="1">
    <w:name w:val="No List"/>
    <w:uiPriority w:val="99"/>
    <w:semiHidden/>
    <w:unhideWhenUsed/>
  </w:style>
  <w:style w:type="character" w:styleId="774" w:customStyle="1">
    <w:name w:val="Заголовок 1 Знак"/>
    <w:basedOn w:val="771"/>
    <w:link w:val="762"/>
    <w:uiPriority w:val="9"/>
    <w:rPr>
      <w:rFonts w:ascii="Arial" w:hAnsi="Arial" w:eastAsia="Arial" w:cs="Arial"/>
      <w:sz w:val="40"/>
      <w:szCs w:val="40"/>
    </w:rPr>
  </w:style>
  <w:style w:type="character" w:styleId="775" w:customStyle="1">
    <w:name w:val="Заголовок 2 Знак"/>
    <w:basedOn w:val="771"/>
    <w:link w:val="763"/>
    <w:uiPriority w:val="9"/>
    <w:rPr>
      <w:rFonts w:ascii="Arial" w:hAnsi="Arial" w:eastAsia="Arial" w:cs="Arial"/>
      <w:sz w:val="34"/>
    </w:rPr>
  </w:style>
  <w:style w:type="character" w:styleId="776" w:customStyle="1">
    <w:name w:val="Заголовок 3 Знак"/>
    <w:basedOn w:val="771"/>
    <w:link w:val="764"/>
    <w:uiPriority w:val="9"/>
    <w:rPr>
      <w:rFonts w:ascii="Arial" w:hAnsi="Arial" w:eastAsia="Arial" w:cs="Arial"/>
      <w:sz w:val="30"/>
      <w:szCs w:val="30"/>
    </w:rPr>
  </w:style>
  <w:style w:type="character" w:styleId="777" w:customStyle="1">
    <w:name w:val="Заголовок 4 Знак"/>
    <w:basedOn w:val="771"/>
    <w:link w:val="765"/>
    <w:uiPriority w:val="9"/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Заголовок 5 Знак"/>
    <w:basedOn w:val="771"/>
    <w:link w:val="766"/>
    <w:uiPriority w:val="9"/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Заголовок 6 Знак"/>
    <w:basedOn w:val="771"/>
    <w:link w:val="767"/>
    <w:uiPriority w:val="9"/>
    <w:rPr>
      <w:rFonts w:ascii="Arial" w:hAnsi="Arial" w:eastAsia="Arial" w:cs="Arial"/>
      <w:b/>
      <w:bCs/>
      <w:sz w:val="22"/>
      <w:szCs w:val="22"/>
    </w:rPr>
  </w:style>
  <w:style w:type="character" w:styleId="780" w:customStyle="1">
    <w:name w:val="Заголовок 7 Знак"/>
    <w:basedOn w:val="771"/>
    <w:link w:val="7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Заголовок 8 Знак"/>
    <w:basedOn w:val="771"/>
    <w:link w:val="769"/>
    <w:uiPriority w:val="9"/>
    <w:rPr>
      <w:rFonts w:ascii="Arial" w:hAnsi="Arial" w:eastAsia="Arial" w:cs="Arial"/>
      <w:i/>
      <w:iCs/>
      <w:sz w:val="22"/>
      <w:szCs w:val="22"/>
    </w:rPr>
  </w:style>
  <w:style w:type="character" w:styleId="782" w:customStyle="1">
    <w:name w:val="Заголовок 9 Знак"/>
    <w:basedOn w:val="771"/>
    <w:link w:val="770"/>
    <w:uiPriority w:val="9"/>
    <w:rPr>
      <w:rFonts w:ascii="Arial" w:hAnsi="Arial" w:eastAsia="Arial" w:cs="Arial"/>
      <w:i/>
      <w:iCs/>
      <w:sz w:val="21"/>
      <w:szCs w:val="21"/>
    </w:rPr>
  </w:style>
  <w:style w:type="character" w:styleId="783" w:customStyle="1">
    <w:name w:val="Название Знак"/>
    <w:basedOn w:val="771"/>
    <w:link w:val="913"/>
    <w:uiPriority w:val="10"/>
    <w:rPr>
      <w:sz w:val="48"/>
      <w:szCs w:val="48"/>
    </w:rPr>
  </w:style>
  <w:style w:type="character" w:styleId="784" w:customStyle="1">
    <w:name w:val="Подзаголовок Знак"/>
    <w:basedOn w:val="771"/>
    <w:link w:val="914"/>
    <w:uiPriority w:val="11"/>
    <w:rPr>
      <w:sz w:val="24"/>
      <w:szCs w:val="24"/>
    </w:rPr>
  </w:style>
  <w:style w:type="character" w:styleId="785" w:customStyle="1">
    <w:name w:val="Цитата 2 Знак"/>
    <w:link w:val="915"/>
    <w:uiPriority w:val="29"/>
    <w:rPr>
      <w:i/>
    </w:rPr>
  </w:style>
  <w:style w:type="character" w:styleId="786" w:customStyle="1">
    <w:name w:val="Выделенная цитата Знак"/>
    <w:link w:val="916"/>
    <w:uiPriority w:val="30"/>
    <w:rPr>
      <w:i/>
    </w:rPr>
  </w:style>
  <w:style w:type="character" w:styleId="787" w:customStyle="1">
    <w:name w:val="Верхний колонтитул Знак"/>
    <w:basedOn w:val="771"/>
    <w:link w:val="917"/>
    <w:uiPriority w:val="99"/>
  </w:style>
  <w:style w:type="character" w:styleId="788" w:customStyle="1">
    <w:name w:val="Footer Char"/>
    <w:basedOn w:val="771"/>
    <w:uiPriority w:val="99"/>
  </w:style>
  <w:style w:type="paragraph" w:styleId="789">
    <w:name w:val="Caption"/>
    <w:basedOn w:val="761"/>
    <w:next w:val="7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18"/>
    <w:uiPriority w:val="99"/>
  </w:style>
  <w:style w:type="table" w:styleId="791" w:customStyle="1">
    <w:name w:val="Table Grid Light"/>
    <w:basedOn w:val="77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2" w:customStyle="1">
    <w:name w:val="Таблица простая 11"/>
    <w:basedOn w:val="77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basedOn w:val="77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basedOn w:val="77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basedOn w:val="77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basedOn w:val="77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basedOn w:val="77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basedOn w:val="77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basedOn w:val="77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basedOn w:val="77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basedOn w:val="77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basedOn w:val="77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basedOn w:val="77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basedOn w:val="77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basedOn w:val="77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basedOn w:val="77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basedOn w:val="77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basedOn w:val="77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basedOn w:val="77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basedOn w:val="77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basedOn w:val="77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basedOn w:val="77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basedOn w:val="77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basedOn w:val="77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basedOn w:val="77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basedOn w:val="77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basedOn w:val="77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basedOn w:val="77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basedOn w:val="77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basedOn w:val="77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basedOn w:val="77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basedOn w:val="77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basedOn w:val="77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basedOn w:val="77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basedOn w:val="7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basedOn w:val="77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basedOn w:val="77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basedOn w:val="77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basedOn w:val="77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basedOn w:val="77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basedOn w:val="77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basedOn w:val="77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basedOn w:val="77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basedOn w:val="77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basedOn w:val="77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basedOn w:val="77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basedOn w:val="77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basedOn w:val="77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basedOn w:val="77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basedOn w:val="77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basedOn w:val="77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basedOn w:val="77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basedOn w:val="77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basedOn w:val="77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basedOn w:val="77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basedOn w:val="77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basedOn w:val="77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basedOn w:val="77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basedOn w:val="77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basedOn w:val="77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basedOn w:val="77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basedOn w:val="77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basedOn w:val="77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basedOn w:val="77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basedOn w:val="77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basedOn w:val="77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basedOn w:val="77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basedOn w:val="77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basedOn w:val="77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basedOn w:val="77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basedOn w:val="77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basedOn w:val="77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basedOn w:val="77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basedOn w:val="77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basedOn w:val="77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basedOn w:val="77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basedOn w:val="77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basedOn w:val="77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basedOn w:val="77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basedOn w:val="77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basedOn w:val="77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basedOn w:val="77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basedOn w:val="77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basedOn w:val="77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basedOn w:val="77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basedOn w:val="77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basedOn w:val="77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basedOn w:val="77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basedOn w:val="77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basedOn w:val="77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basedOn w:val="77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basedOn w:val="77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basedOn w:val="77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basedOn w:val="77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basedOn w:val="77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basedOn w:val="77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basedOn w:val="77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basedOn w:val="77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basedOn w:val="772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Bordered &amp; Lined - Accent"/>
    <w:basedOn w:val="772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97">
    <w:name w:val="endnote text"/>
    <w:basedOn w:val="761"/>
    <w:link w:val="898"/>
    <w:uiPriority w:val="99"/>
    <w:semiHidden/>
    <w:unhideWhenUsed/>
    <w:rPr>
      <w:sz w:val="20"/>
    </w:rPr>
  </w:style>
  <w:style w:type="character" w:styleId="898" w:customStyle="1">
    <w:name w:val="Текст концевой сноски Знак"/>
    <w:link w:val="897"/>
    <w:uiPriority w:val="99"/>
    <w:rPr>
      <w:sz w:val="20"/>
    </w:rPr>
  </w:style>
  <w:style w:type="character" w:styleId="899">
    <w:name w:val="endnote reference"/>
    <w:basedOn w:val="771"/>
    <w:uiPriority w:val="99"/>
    <w:semiHidden/>
    <w:unhideWhenUsed/>
    <w:rPr>
      <w:vertAlign w:val="superscript"/>
    </w:rPr>
  </w:style>
  <w:style w:type="paragraph" w:styleId="900">
    <w:name w:val="toc 1"/>
    <w:basedOn w:val="761"/>
    <w:next w:val="761"/>
    <w:uiPriority w:val="39"/>
    <w:unhideWhenUsed/>
    <w:pPr>
      <w:spacing w:after="57"/>
    </w:pPr>
  </w:style>
  <w:style w:type="paragraph" w:styleId="901">
    <w:name w:val="toc 2"/>
    <w:basedOn w:val="761"/>
    <w:next w:val="761"/>
    <w:uiPriority w:val="39"/>
    <w:unhideWhenUsed/>
    <w:pPr>
      <w:ind w:left="283"/>
      <w:spacing w:after="57"/>
    </w:pPr>
  </w:style>
  <w:style w:type="paragraph" w:styleId="902">
    <w:name w:val="toc 3"/>
    <w:basedOn w:val="761"/>
    <w:next w:val="761"/>
    <w:uiPriority w:val="39"/>
    <w:unhideWhenUsed/>
    <w:pPr>
      <w:ind w:left="567"/>
      <w:spacing w:after="57"/>
    </w:pPr>
  </w:style>
  <w:style w:type="paragraph" w:styleId="903">
    <w:name w:val="toc 4"/>
    <w:basedOn w:val="761"/>
    <w:next w:val="761"/>
    <w:uiPriority w:val="39"/>
    <w:unhideWhenUsed/>
    <w:pPr>
      <w:ind w:left="850"/>
      <w:spacing w:after="57"/>
    </w:pPr>
  </w:style>
  <w:style w:type="paragraph" w:styleId="904">
    <w:name w:val="toc 5"/>
    <w:basedOn w:val="761"/>
    <w:next w:val="761"/>
    <w:uiPriority w:val="39"/>
    <w:unhideWhenUsed/>
    <w:pPr>
      <w:ind w:left="1134"/>
      <w:spacing w:after="57"/>
    </w:pPr>
  </w:style>
  <w:style w:type="paragraph" w:styleId="905">
    <w:name w:val="toc 6"/>
    <w:basedOn w:val="761"/>
    <w:next w:val="761"/>
    <w:uiPriority w:val="39"/>
    <w:unhideWhenUsed/>
    <w:pPr>
      <w:ind w:left="1417"/>
      <w:spacing w:after="57"/>
    </w:pPr>
  </w:style>
  <w:style w:type="paragraph" w:styleId="906">
    <w:name w:val="toc 7"/>
    <w:basedOn w:val="761"/>
    <w:next w:val="761"/>
    <w:uiPriority w:val="39"/>
    <w:unhideWhenUsed/>
    <w:pPr>
      <w:ind w:left="1701"/>
      <w:spacing w:after="57"/>
    </w:pPr>
  </w:style>
  <w:style w:type="paragraph" w:styleId="907">
    <w:name w:val="toc 8"/>
    <w:basedOn w:val="761"/>
    <w:next w:val="761"/>
    <w:uiPriority w:val="39"/>
    <w:unhideWhenUsed/>
    <w:pPr>
      <w:ind w:left="1984"/>
      <w:spacing w:after="57"/>
    </w:pPr>
  </w:style>
  <w:style w:type="paragraph" w:styleId="908">
    <w:name w:val="toc 9"/>
    <w:basedOn w:val="761"/>
    <w:next w:val="761"/>
    <w:uiPriority w:val="39"/>
    <w:unhideWhenUsed/>
    <w:pPr>
      <w:ind w:left="2268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761"/>
    <w:next w:val="761"/>
    <w:uiPriority w:val="99"/>
    <w:unhideWhenUsed/>
  </w:style>
  <w:style w:type="paragraph" w:styleId="911">
    <w:name w:val="List Paragraph"/>
    <w:basedOn w:val="761"/>
    <w:pPr>
      <w:ind w:left="720"/>
    </w:pPr>
  </w:style>
  <w:style w:type="paragraph" w:styleId="912">
    <w:name w:val="No Spacing"/>
    <w:basedOn w:val="761"/>
    <w:uiPriority w:val="1"/>
    <w:qFormat/>
    <w:rPr>
      <w:color w:val="000000"/>
    </w:rPr>
  </w:style>
  <w:style w:type="paragraph" w:styleId="913">
    <w:name w:val="Title"/>
    <w:basedOn w:val="761"/>
    <w:next w:val="761"/>
    <w:link w:val="783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914">
    <w:name w:val="Subtitle"/>
    <w:basedOn w:val="761"/>
    <w:next w:val="761"/>
    <w:link w:val="784"/>
    <w:uiPriority w:val="11"/>
    <w:qFormat/>
    <w:rPr>
      <w:i/>
      <w:color w:val="444444"/>
      <w:sz w:val="52"/>
    </w:rPr>
  </w:style>
  <w:style w:type="paragraph" w:styleId="915">
    <w:name w:val="Quote"/>
    <w:basedOn w:val="761"/>
    <w:next w:val="761"/>
    <w:link w:val="78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916">
    <w:name w:val="Intense Quote"/>
    <w:basedOn w:val="761"/>
    <w:next w:val="761"/>
    <w:link w:val="786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17">
    <w:name w:val="Header"/>
    <w:basedOn w:val="761"/>
    <w:link w:val="78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18">
    <w:name w:val="Footer"/>
    <w:basedOn w:val="761"/>
    <w:link w:val="79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19">
    <w:name w:val="Table Grid"/>
    <w:basedOn w:val="772"/>
    <w:rPr>
      <w:rFonts w:ascii="Times New Roman" w:hAnsi="Times New Roman" w:eastAsia="Times New Roman"/>
      <w:szCs w:val="20"/>
    </w:rPr>
    <w:tblPr/>
  </w:style>
  <w:style w:type="table" w:styleId="920" w:customStyle="1">
    <w:name w:val="Lined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21" w:customStyle="1">
    <w:name w:val="Lined - Accent 1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22" w:customStyle="1">
    <w:name w:val="Lined - Accent 2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3" w:customStyle="1">
    <w:name w:val="Lined - Accent 3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24" w:customStyle="1">
    <w:name w:val="Lined - Accent 4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5" w:customStyle="1">
    <w:name w:val="Lined - Accent 5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6" w:customStyle="1">
    <w:name w:val="Lined - Accent 6"/>
    <w:basedOn w:val="77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27" w:customStyle="1">
    <w:name w:val="Bordered"/>
    <w:basedOn w:val="772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28" w:customStyle="1">
    <w:name w:val="Bordered - Accent 1"/>
    <w:basedOn w:val="772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29" w:customStyle="1">
    <w:name w:val="Bordered - Accent 2"/>
    <w:basedOn w:val="772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30" w:customStyle="1">
    <w:name w:val="Bordered - Accent 3"/>
    <w:basedOn w:val="772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31" w:customStyle="1">
    <w:name w:val="Bordered - Accent 4"/>
    <w:basedOn w:val="772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32" w:customStyle="1">
    <w:name w:val="Bordered - Accent 5"/>
    <w:basedOn w:val="772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33" w:customStyle="1">
    <w:name w:val="Bordered - Accent 6"/>
    <w:basedOn w:val="772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34" w:customStyle="1">
    <w:name w:val="Bordered &amp; Lined"/>
    <w:basedOn w:val="772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35" w:customStyle="1">
    <w:name w:val="Bordered &amp; Lined - Accent 1"/>
    <w:basedOn w:val="772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36" w:customStyle="1">
    <w:name w:val="Bordered &amp; Lined - Accent 2"/>
    <w:basedOn w:val="772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37" w:customStyle="1">
    <w:name w:val="Bordered &amp; Lined - Accent 3"/>
    <w:basedOn w:val="772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38" w:customStyle="1">
    <w:name w:val="Bordered &amp; Lined - Accent 4"/>
    <w:basedOn w:val="772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39" w:customStyle="1">
    <w:name w:val="Bordered &amp; Lined - Accent 5"/>
    <w:basedOn w:val="772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40" w:customStyle="1">
    <w:name w:val="Bordered &amp; Lined - Accent 6"/>
    <w:basedOn w:val="772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41">
    <w:name w:val="Hyperlink"/>
    <w:semiHidden/>
    <w:rPr>
      <w:color w:val="0000ff"/>
      <w:u w:val="single"/>
    </w:rPr>
  </w:style>
  <w:style w:type="paragraph" w:styleId="942">
    <w:name w:val="footnote text"/>
    <w:basedOn w:val="761"/>
    <w:uiPriority w:val="99"/>
    <w:semiHidden/>
    <w:unhideWhenUsed/>
    <w:rPr>
      <w:sz w:val="20"/>
    </w:rPr>
  </w:style>
  <w:style w:type="character" w:styleId="943" w:customStyle="1">
    <w:name w:val="Footnote Text Char"/>
    <w:basedOn w:val="771"/>
    <w:uiPriority w:val="99"/>
    <w:semiHidden/>
    <w:rPr>
      <w:sz w:val="20"/>
    </w:rPr>
  </w:style>
  <w:style w:type="character" w:styleId="944">
    <w:name w:val="footnote reference"/>
    <w:basedOn w:val="771"/>
    <w:uiPriority w:val="99"/>
    <w:semiHidden/>
    <w:unhideWhenUsed/>
    <w:rPr>
      <w:vertAlign w:val="superscript"/>
    </w:rPr>
  </w:style>
  <w:style w:type="paragraph" w:styleId="945">
    <w:name w:val="Balloon Text"/>
    <w:basedOn w:val="761"/>
    <w:semiHidden/>
    <w:rPr>
      <w:rFonts w:ascii="Tahoma" w:hAnsi="Tahoma"/>
      <w:sz w:val="16"/>
      <w:szCs w:val="16"/>
    </w:rPr>
  </w:style>
  <w:style w:type="character" w:styleId="946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47">
    <w:name w:val="Normal (Web)"/>
    <w:basedOn w:val="761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48" w:customStyle="1">
    <w:name w:val="МОН Знак"/>
    <w:rPr>
      <w:sz w:val="24"/>
      <w:szCs w:val="24"/>
    </w:rPr>
  </w:style>
  <w:style w:type="paragraph" w:styleId="949" w:customStyle="1">
    <w:name w:val="МОН"/>
    <w:basedOn w:val="761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50">
    <w:name w:val="Strong"/>
    <w:rPr>
      <w:b/>
      <w:bCs/>
    </w:rPr>
  </w:style>
  <w:style w:type="paragraph" w:styleId="9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54">
    <w:name w:val="Body Text 2"/>
    <w:basedOn w:val="761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56" w:customStyle="1">
    <w:name w:val="GenStyleDefNum"/>
  </w:style>
  <w:style w:type="paragraph" w:styleId="957" w:customStyle="1">
    <w:name w:val="GenStyleDefPar"/>
  </w:style>
  <w:style w:type="table" w:styleId="9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59" w:customStyle="1">
    <w:name w:val="docdata"/>
    <w:basedOn w:val="76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0" w:customStyle="1">
    <w:name w:val="Основной шрифт абзаца17"/>
  </w:style>
  <w:style w:type="paragraph" w:styleId="961" w:customStyle="1">
    <w:name w:val="Абзац списка1"/>
    <w:basedOn w:val="761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962" w:customStyle="1">
    <w:name w:val="Прижатый влево"/>
    <w:basedOn w:val="761"/>
    <w:next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1D3AC-D0D2-4F3B-9EB7-BAE3CF314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5</cp:revision>
  <dcterms:created xsi:type="dcterms:W3CDTF">2024-07-02T08:47:00Z</dcterms:created>
  <dcterms:modified xsi:type="dcterms:W3CDTF">2024-07-08T07:14:00Z</dcterms:modified>
</cp:coreProperties>
</file>