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</w:t>
      </w:r>
      <w:r>
        <w:rPr>
          <w:b/>
        </w:rPr>
        <w:t xml:space="preserve">7</w:t>
      </w:r>
      <w:r>
        <w:rPr>
          <w:b/>
        </w:rPr>
        <w:t xml:space="preserve">.0</w:t>
      </w:r>
      <w:r>
        <w:rPr>
          <w:b/>
        </w:rPr>
        <w:t xml:space="preserve">6</w:t>
      </w:r>
      <w:r>
        <w:rPr>
          <w:b/>
        </w:rPr>
        <w:t xml:space="preserve">.202</w:t>
      </w:r>
      <w:r>
        <w:rPr>
          <w:b/>
        </w:rPr>
        <w:t xml:space="preserve">4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  <w:r>
        <w:rPr>
          <w:b/>
        </w:rPr>
        <w:t xml:space="preserve"> </w:t>
      </w:r>
      <w:r>
        <w:rPr>
          <w:b/>
        </w:rPr>
        <w:t xml:space="preserve">№ </w:t>
      </w:r>
      <w:r>
        <w:rPr>
          <w:b/>
        </w:rPr>
        <w:t xml:space="preserve">9</w:t>
      </w:r>
      <w:r>
        <w:rPr>
          <w:b/>
        </w:rPr>
        <w:t xml:space="preserve">96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bookmarkStart w:id="0" w:name="_GoBack"/>
      <w:r/>
      <w:bookmarkEnd w:id="0"/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</w:t>
      </w:r>
      <w:r>
        <w:rPr>
          <w:b/>
          <w:sz w:val="20"/>
          <w:szCs w:val="20"/>
        </w:rPr>
        <w:t xml:space="preserve">муниципального </w:t>
      </w:r>
      <w:r>
        <w:rPr>
          <w:b/>
          <w:sz w:val="20"/>
          <w:szCs w:val="20"/>
        </w:rPr>
        <w:t xml:space="preserve">округа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</w:t>
      </w:r>
      <w:r>
        <w:t xml:space="preserve">а</w:t>
      </w:r>
      <w:r>
        <w:t xml:space="preserve"> пожарной опасности в лесах, на основании ст</w:t>
      </w:r>
      <w:r>
        <w:t xml:space="preserve">атьи </w:t>
      </w:r>
      <w:r>
        <w:t xml:space="preserve">30 Федерального закона </w:t>
      </w:r>
      <w:r>
        <w:t xml:space="preserve">от 21.12.1994 </w:t>
      </w:r>
      <w:r>
        <w:t xml:space="preserve">№ 69-ФЗ «О пожарной безопасности», п</w:t>
      </w:r>
      <w:r>
        <w:t xml:space="preserve">ункта </w:t>
      </w:r>
      <w:r>
        <w:t xml:space="preserve">13 ст</w:t>
      </w:r>
      <w:r>
        <w:t xml:space="preserve">атьи </w:t>
      </w:r>
      <w:r>
        <w:t xml:space="preserve">4 </w:t>
      </w:r>
      <w:r>
        <w:rPr>
          <w:bCs/>
          <w:lang w:eastAsia="en-US"/>
        </w:rPr>
        <w:t xml:space="preserve">Устав</w:t>
      </w:r>
      <w:r>
        <w:rPr>
          <w:bCs/>
          <w:lang w:eastAsia="en-US"/>
        </w:rPr>
        <w:t xml:space="preserve">а</w:t>
      </w:r>
      <w:r>
        <w:rPr>
          <w:bCs/>
          <w:lang w:eastAsia="en-US"/>
        </w:rPr>
        <w:t xml:space="preserve"> </w:t>
      </w:r>
      <w:r>
        <w:rPr>
          <w:bCs/>
          <w:lang w:eastAsia="en-US"/>
        </w:rPr>
        <w:t xml:space="preserve">Печенгского </w:t>
      </w:r>
      <w:r>
        <w:rPr>
          <w:bCs/>
          <w:lang w:eastAsia="en-US"/>
        </w:rPr>
        <w:t xml:space="preserve">муниципального о</w:t>
      </w:r>
      <w:r>
        <w:rPr>
          <w:bCs/>
          <w:lang w:eastAsia="en-US"/>
        </w:rPr>
        <w:t xml:space="preserve">круга</w:t>
      </w:r>
      <w:r>
        <w:rPr>
          <w:bCs/>
          <w:lang w:eastAsia="en-US"/>
        </w:rPr>
        <w:t xml:space="preserve">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858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</w:t>
      </w:r>
      <w:r>
        <w:t xml:space="preserve">Установить с </w:t>
      </w:r>
      <w:r>
        <w:t xml:space="preserve">1</w:t>
      </w:r>
      <w:r>
        <w:t xml:space="preserve">8</w:t>
      </w:r>
      <w:r>
        <w:t xml:space="preserve">.0</w:t>
      </w:r>
      <w:r>
        <w:t xml:space="preserve">6</w:t>
      </w:r>
      <w:r>
        <w:t xml:space="preserve">.</w:t>
      </w:r>
      <w:r>
        <w:t xml:space="preserve">202</w:t>
      </w:r>
      <w:r>
        <w:t xml:space="preserve">4</w:t>
      </w:r>
      <w:r>
        <w:t xml:space="preserve"> </w:t>
      </w:r>
      <w:r>
        <w:t xml:space="preserve">по </w:t>
      </w:r>
      <w:r>
        <w:t xml:space="preserve">1</w:t>
      </w:r>
      <w:r>
        <w:t xml:space="preserve">9</w:t>
      </w:r>
      <w:r>
        <w:t xml:space="preserve">.0</w:t>
      </w:r>
      <w:r>
        <w:t xml:space="preserve">6</w:t>
      </w:r>
      <w:r>
        <w:t xml:space="preserve">.202</w:t>
      </w:r>
      <w:r>
        <w:t xml:space="preserve">4</w:t>
      </w:r>
      <w:r>
        <w:t xml:space="preserve"> </w:t>
      </w:r>
      <w:r>
        <w:t xml:space="preserve">(включительно) </w:t>
      </w:r>
      <w:r>
        <w:rPr>
          <w:lang w:eastAsia="en-US"/>
        </w:rPr>
        <w:t xml:space="preserve">на территории </w:t>
      </w:r>
      <w:r>
        <w:rPr>
          <w:lang w:eastAsia="en-US"/>
        </w:rPr>
        <w:t xml:space="preserve">Печенгского </w:t>
      </w:r>
      <w:r>
        <w:rPr>
          <w:lang w:eastAsia="en-US"/>
        </w:rPr>
        <w:t xml:space="preserve">муниципального о</w:t>
      </w:r>
      <w:r>
        <w:rPr>
          <w:lang w:eastAsia="en-US"/>
        </w:rPr>
        <w:t xml:space="preserve">круга</w:t>
      </w:r>
      <w:r>
        <w:rPr>
          <w:lang w:eastAsia="en-US"/>
        </w:rPr>
        <w:t xml:space="preserve"> особый противопожарный режим</w:t>
      </w:r>
      <w:r>
        <w:t xml:space="preserve">.</w:t>
      </w:r>
      <w:r/>
    </w:p>
    <w:p>
      <w:pPr>
        <w:pStyle w:val="858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З</w:t>
      </w:r>
      <w:r>
        <w:t xml:space="preserve">апрет</w:t>
      </w:r>
      <w:r>
        <w:t xml:space="preserve">ить</w:t>
      </w:r>
      <w:r>
        <w:t xml:space="preserve"> </w:t>
      </w:r>
      <w:r>
        <w:t xml:space="preserve">использование открытого огня, сжигание мусора, травы, иных горючих материалов.</w:t>
      </w:r>
      <w:r/>
    </w:p>
    <w:p>
      <w:pPr>
        <w:pStyle w:val="858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</w:t>
      </w:r>
      <w:r>
        <w:t xml:space="preserve">В период действия особого противопожарного режима руководствоваться постановлением Правительства Мурманской области от 23.07.2007 № 346-ПП «О реализации мер пожарной безопасности в Мурманской области»</w:t>
      </w:r>
      <w:r>
        <w:t xml:space="preserve">.</w:t>
      </w:r>
      <w:r/>
    </w:p>
    <w:p>
      <w:pPr>
        <w:ind w:firstLine="709"/>
        <w:jc w:val="both"/>
        <w:rPr>
          <w:rFonts w:cs="Arial"/>
        </w:rPr>
      </w:pPr>
      <w:r>
        <w:t xml:space="preserve">4</w:t>
      </w:r>
      <w:r>
        <w:t xml:space="preserve">.</w:t>
      </w:r>
      <w:r>
        <w:rPr>
          <w:rFonts w:cs="Arial"/>
        </w:rPr>
        <w:t xml:space="preserve"> Рекомендовать руководителям предприятий, организаций всех форм собственности, а также гражданам принять меры по:</w:t>
      </w:r>
      <w:r>
        <w:rPr>
          <w:rFonts w:cs="Arial"/>
        </w:rPr>
      </w:r>
      <w:r>
        <w:rPr>
          <w:rFonts w:cs="Arial"/>
        </w:rPr>
      </w:r>
    </w:p>
    <w:p>
      <w:pPr>
        <w:ind w:firstLine="709"/>
        <w:jc w:val="both"/>
      </w:pPr>
      <w:r>
        <w:t xml:space="preserve">- 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 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 приведению в рабочее состояние установок пожарной сигнализации, систем пожаротушения, систем противодымной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пожаробезопасное состояние электросетей, электрооборудования и прочих электроприборов и электроустановок;</w:t>
      </w:r>
      <w:r/>
    </w:p>
    <w:p>
      <w:pPr>
        <w:ind w:firstLine="540"/>
        <w:jc w:val="both"/>
      </w:pPr>
      <w:r>
        <w:t xml:space="preserve">- 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540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540"/>
        <w:jc w:val="both"/>
      </w:pPr>
      <w:r>
        <w:t xml:space="preserve">- приведению в соответствие с нормативными документами состояния водоисточников, пожарных гидрантов, пирсов и т.п., используемых для целей пожаротушения;</w:t>
      </w:r>
      <w:r/>
    </w:p>
    <w:p>
      <w:pPr>
        <w:ind w:firstLine="540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567"/>
        <w:jc w:val="both"/>
      </w:pPr>
      <w:r>
        <w:t xml:space="preserve">- 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 Рекомендовать руководителю Каскада Паз</w:t>
      </w:r>
      <w:r>
        <w:rPr>
          <w:lang w:eastAsia="en-US"/>
        </w:rPr>
        <w:t xml:space="preserve">с</w:t>
      </w:r>
      <w:r>
        <w:rPr>
          <w:lang w:eastAsia="en-US"/>
        </w:rPr>
        <w:t xml:space="preserve">ких ГЭС </w:t>
      </w:r>
      <w:r>
        <w:t xml:space="preserve">филиала «Кольский» ПАО «ТГК-1» (</w:t>
      </w:r>
      <w:r>
        <w:t xml:space="preserve">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.1. Усилить пожарную безопасность на предприятии.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.2. Организовать патрулирование на территории населенного пункта Раякоски добровольными пожарными и (или) гражданами Российской Федерации.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.4. Провести с гражданами, проживающими в населенном пункте Раякоски,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  <w:r>
        <w:rPr>
          <w:lang w:eastAsia="en-US"/>
        </w:rPr>
      </w:r>
    </w:p>
    <w:p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6</w:t>
      </w:r>
      <w:r>
        <w:rPr>
          <w:lang w:eastAsia="en-US"/>
        </w:rPr>
        <w:t xml:space="preserve">. </w:t>
      </w:r>
      <w:r>
        <w:rPr>
          <w:lang w:eastAsia="en-US"/>
        </w:rPr>
        <w:t xml:space="preserve">Начальнику</w:t>
      </w:r>
      <w:r>
        <w:rPr>
          <w:lang w:eastAsia="en-US"/>
        </w:rPr>
        <w:t xml:space="preserve"> МКУ «ЕДДС Печенгского </w:t>
      </w:r>
      <w:r>
        <w:rPr>
          <w:lang w:eastAsia="en-US"/>
        </w:rPr>
        <w:t xml:space="preserve">муниципального округа</w:t>
      </w:r>
      <w:r>
        <w:rPr>
          <w:lang w:eastAsia="en-US"/>
        </w:rPr>
        <w:t xml:space="preserve">»</w:t>
      </w:r>
      <w:r>
        <w:rPr>
          <w:lang w:eastAsia="en-US"/>
        </w:rPr>
        <w:br/>
      </w:r>
      <w:r>
        <w:rPr>
          <w:lang w:eastAsia="en-US"/>
        </w:rPr>
        <w:t xml:space="preserve">(</w:t>
      </w:r>
      <w:r>
        <w:rPr>
          <w:lang w:eastAsia="en-US"/>
        </w:rPr>
        <w:t xml:space="preserve">Шипилов С.В.</w:t>
      </w:r>
      <w:r>
        <w:rPr>
          <w:lang w:eastAsia="en-US"/>
        </w:rPr>
        <w:t xml:space="preserve">) осуществлять </w:t>
      </w:r>
      <w:r>
        <w:t xml:space="preserve">обмен информацией согласно </w:t>
      </w:r>
      <w:r>
        <w:t xml:space="preserve">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  <w:r>
        <w:rPr>
          <w:lang w:eastAsia="en-US"/>
        </w:rPr>
      </w:r>
    </w:p>
    <w:p>
      <w:pPr>
        <w:ind w:firstLine="567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</w:t>
      </w:r>
      <w:r>
        <w:t xml:space="preserve">. </w:t>
      </w:r>
      <w:r>
        <w:t xml:space="preserve">Рекомендовать ОМВД России </w:t>
      </w:r>
      <w:r>
        <w:t xml:space="preserve">«Печенгский»</w:t>
      </w:r>
      <w:r>
        <w:t xml:space="preserve"> (</w:t>
      </w:r>
      <w:r>
        <w:t xml:space="preserve">Кузьмин Ф.В.</w:t>
      </w:r>
      <w:r>
        <w:t xml:space="preserve">), </w:t>
      </w:r>
      <w:r>
        <w:t xml:space="preserve">филиалу Печенгского лесничества – филиал ГОКУ МО «Региональный центр лесного и экологического контроля»</w:t>
      </w:r>
      <w:r>
        <w:t xml:space="preserve"> (</w:t>
      </w:r>
      <w:r>
        <w:t xml:space="preserve">Ермолицкая</w:t>
      </w:r>
      <w:r>
        <w:t xml:space="preserve"> </w:t>
      </w:r>
      <w:r>
        <w:t xml:space="preserve">Е</w:t>
      </w:r>
      <w:r>
        <w:t xml:space="preserve">.</w:t>
      </w:r>
      <w:r>
        <w:t xml:space="preserve">К</w:t>
      </w:r>
      <w:r>
        <w:t xml:space="preserve">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</w:t>
      </w:r>
      <w:r>
        <w:t xml:space="preserve">дств на территории лесных массивов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</w:t>
      </w:r>
      <w:r>
        <w:t xml:space="preserve">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</w:t>
      </w:r>
      <w:r>
        <w:rPr>
          <w:bCs/>
        </w:rPr>
        <w:t xml:space="preserve">. </w:t>
      </w:r>
      <w:r>
        <w:t xml:space="preserve">Настоящее постановление вступает в силу после его </w:t>
      </w:r>
      <w:r>
        <w:t xml:space="preserve">подписания и подлежит опубликованию </w:t>
      </w:r>
      <w:r>
        <w:t xml:space="preserve">в газете «Печенг</w:t>
      </w:r>
      <w:r>
        <w:t xml:space="preserve">а» и </w:t>
      </w:r>
      <w:r>
        <w:t xml:space="preserve">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859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</w:t>
      </w:r>
      <w:r>
        <w:t xml:space="preserve">. Контроль за исполнением настоящего постановления </w:t>
      </w:r>
      <w:r>
        <w:t xml:space="preserve">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</w:t>
      </w:r>
      <w:r>
        <w:t xml:space="preserve">а</w:t>
      </w:r>
      <w:r>
        <w:t xml:space="preserve"> Печенгского муниципального округа</w:t>
      </w:r>
      <w: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</w:r>
      <w:r>
        <w:t xml:space="preserve">          </w:t>
      </w:r>
      <w:r>
        <w:t xml:space="preserve">А.В. </w:t>
      </w:r>
      <w:r>
        <w:t xml:space="preserve">Кузнецов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Соболев</w:t>
      </w:r>
      <w:r>
        <w:rPr>
          <w:rFonts w:ascii="Times New Roman" w:hAnsi="Times New Roman"/>
        </w:rPr>
        <w:t xml:space="preserve"> А.</w:t>
      </w:r>
      <w:r>
        <w:rPr>
          <w:rFonts w:ascii="Times New Roman" w:hAnsi="Times New Roman"/>
        </w:rPr>
        <w:t xml:space="preserve">В</w:t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</w:rPr>
        <w:t xml:space="preserve">, 50007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  <w:r/>
      <w:r/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>
    <w:name w:val="Heading 1"/>
    <w:basedOn w:val="837"/>
    <w:next w:val="837"/>
    <w:link w:val="66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5">
    <w:name w:val="Heading 1 Char"/>
    <w:basedOn w:val="840"/>
    <w:link w:val="664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840"/>
    <w:link w:val="838"/>
    <w:uiPriority w:val="9"/>
    <w:rPr>
      <w:rFonts w:ascii="Arial" w:hAnsi="Arial" w:eastAsia="Arial" w:cs="Arial"/>
      <w:sz w:val="34"/>
    </w:rPr>
  </w:style>
  <w:style w:type="paragraph" w:styleId="667">
    <w:name w:val="Heading 3"/>
    <w:basedOn w:val="837"/>
    <w:next w:val="837"/>
    <w:link w:val="66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8">
    <w:name w:val="Heading 3 Char"/>
    <w:basedOn w:val="840"/>
    <w:link w:val="667"/>
    <w:uiPriority w:val="9"/>
    <w:rPr>
      <w:rFonts w:ascii="Arial" w:hAnsi="Arial" w:eastAsia="Arial" w:cs="Arial"/>
      <w:sz w:val="30"/>
      <w:szCs w:val="30"/>
    </w:rPr>
  </w:style>
  <w:style w:type="character" w:styleId="669">
    <w:name w:val="Heading 4 Char"/>
    <w:basedOn w:val="840"/>
    <w:link w:val="839"/>
    <w:uiPriority w:val="9"/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837"/>
    <w:next w:val="837"/>
    <w:link w:val="67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1">
    <w:name w:val="Heading 5 Char"/>
    <w:basedOn w:val="840"/>
    <w:link w:val="670"/>
    <w:uiPriority w:val="9"/>
    <w:rPr>
      <w:rFonts w:ascii="Arial" w:hAnsi="Arial" w:eastAsia="Arial" w:cs="Arial"/>
      <w:b/>
      <w:bCs/>
      <w:sz w:val="24"/>
      <w:szCs w:val="24"/>
    </w:rPr>
  </w:style>
  <w:style w:type="paragraph" w:styleId="672">
    <w:name w:val="Heading 6"/>
    <w:basedOn w:val="837"/>
    <w:next w:val="837"/>
    <w:link w:val="67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3">
    <w:name w:val="Heading 6 Char"/>
    <w:basedOn w:val="840"/>
    <w:link w:val="672"/>
    <w:uiPriority w:val="9"/>
    <w:rPr>
      <w:rFonts w:ascii="Arial" w:hAnsi="Arial" w:eastAsia="Arial" w:cs="Arial"/>
      <w:b/>
      <w:bCs/>
      <w:sz w:val="22"/>
      <w:szCs w:val="22"/>
    </w:rPr>
  </w:style>
  <w:style w:type="paragraph" w:styleId="674">
    <w:name w:val="Heading 7"/>
    <w:basedOn w:val="837"/>
    <w:next w:val="837"/>
    <w:link w:val="67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5">
    <w:name w:val="Heading 7 Char"/>
    <w:basedOn w:val="840"/>
    <w:link w:val="67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837"/>
    <w:next w:val="837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7">
    <w:name w:val="Heading 8 Char"/>
    <w:basedOn w:val="840"/>
    <w:link w:val="676"/>
    <w:uiPriority w:val="9"/>
    <w:rPr>
      <w:rFonts w:ascii="Arial" w:hAnsi="Arial" w:eastAsia="Arial" w:cs="Arial"/>
      <w:i/>
      <w:iCs/>
      <w:sz w:val="22"/>
      <w:szCs w:val="22"/>
    </w:rPr>
  </w:style>
  <w:style w:type="paragraph" w:styleId="678">
    <w:name w:val="Heading 9"/>
    <w:basedOn w:val="837"/>
    <w:next w:val="837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>
    <w:name w:val="Heading 9 Char"/>
    <w:basedOn w:val="840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80">
    <w:name w:val="No Spacing"/>
    <w:uiPriority w:val="1"/>
    <w:qFormat/>
    <w:pPr>
      <w:spacing w:before="0" w:after="0" w:line="240" w:lineRule="auto"/>
    </w:pPr>
  </w:style>
  <w:style w:type="paragraph" w:styleId="681">
    <w:name w:val="Title"/>
    <w:basedOn w:val="837"/>
    <w:next w:val="837"/>
    <w:link w:val="6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2">
    <w:name w:val="Title Char"/>
    <w:basedOn w:val="840"/>
    <w:link w:val="681"/>
    <w:uiPriority w:val="10"/>
    <w:rPr>
      <w:sz w:val="48"/>
      <w:szCs w:val="48"/>
    </w:rPr>
  </w:style>
  <w:style w:type="paragraph" w:styleId="683">
    <w:name w:val="Subtitle"/>
    <w:basedOn w:val="837"/>
    <w:next w:val="837"/>
    <w:link w:val="684"/>
    <w:uiPriority w:val="11"/>
    <w:qFormat/>
    <w:pPr>
      <w:spacing w:before="200" w:after="200"/>
    </w:pPr>
    <w:rPr>
      <w:sz w:val="24"/>
      <w:szCs w:val="24"/>
    </w:rPr>
  </w:style>
  <w:style w:type="character" w:styleId="684">
    <w:name w:val="Subtitle Char"/>
    <w:basedOn w:val="840"/>
    <w:link w:val="683"/>
    <w:uiPriority w:val="11"/>
    <w:rPr>
      <w:sz w:val="24"/>
      <w:szCs w:val="24"/>
    </w:rPr>
  </w:style>
  <w:style w:type="paragraph" w:styleId="685">
    <w:name w:val="Quote"/>
    <w:basedOn w:val="837"/>
    <w:next w:val="837"/>
    <w:link w:val="686"/>
    <w:uiPriority w:val="29"/>
    <w:qFormat/>
    <w:pPr>
      <w:ind w:left="720" w:right="720"/>
    </w:pPr>
    <w:rPr>
      <w:i/>
    </w:rPr>
  </w:style>
  <w:style w:type="character" w:styleId="686">
    <w:name w:val="Quote Char"/>
    <w:link w:val="685"/>
    <w:uiPriority w:val="29"/>
    <w:rPr>
      <w:i/>
    </w:rPr>
  </w:style>
  <w:style w:type="paragraph" w:styleId="687">
    <w:name w:val="Intense Quote"/>
    <w:basedOn w:val="837"/>
    <w:next w:val="837"/>
    <w:link w:val="68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8">
    <w:name w:val="Intense Quote Char"/>
    <w:link w:val="687"/>
    <w:uiPriority w:val="30"/>
    <w:rPr>
      <w:i/>
    </w:rPr>
  </w:style>
  <w:style w:type="paragraph" w:styleId="689">
    <w:name w:val="Header"/>
    <w:basedOn w:val="837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0">
    <w:name w:val="Header Char"/>
    <w:basedOn w:val="840"/>
    <w:link w:val="689"/>
    <w:uiPriority w:val="99"/>
  </w:style>
  <w:style w:type="paragraph" w:styleId="691">
    <w:name w:val="Footer"/>
    <w:basedOn w:val="837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Footer Char"/>
    <w:basedOn w:val="840"/>
    <w:link w:val="691"/>
    <w:uiPriority w:val="99"/>
  </w:style>
  <w:style w:type="paragraph" w:styleId="693">
    <w:name w:val="Caption"/>
    <w:basedOn w:val="837"/>
    <w:next w:val="8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4">
    <w:name w:val="Caption Char"/>
    <w:basedOn w:val="693"/>
    <w:link w:val="691"/>
    <w:uiPriority w:val="99"/>
  </w:style>
  <w:style w:type="table" w:styleId="695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2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3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4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5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6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7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8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9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8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9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0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1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2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3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0">
    <w:name w:val="footnote text"/>
    <w:basedOn w:val="837"/>
    <w:link w:val="821"/>
    <w:uiPriority w:val="99"/>
    <w:semiHidden/>
    <w:unhideWhenUsed/>
    <w:pPr>
      <w:spacing w:after="40" w:line="240" w:lineRule="auto"/>
    </w:pPr>
    <w:rPr>
      <w:sz w:val="18"/>
    </w:rPr>
  </w:style>
  <w:style w:type="character" w:styleId="821">
    <w:name w:val="Footnote Text Char"/>
    <w:link w:val="820"/>
    <w:uiPriority w:val="99"/>
    <w:rPr>
      <w:sz w:val="18"/>
    </w:rPr>
  </w:style>
  <w:style w:type="character" w:styleId="822">
    <w:name w:val="footnote reference"/>
    <w:basedOn w:val="840"/>
    <w:uiPriority w:val="99"/>
    <w:unhideWhenUsed/>
    <w:rPr>
      <w:vertAlign w:val="superscript"/>
    </w:rPr>
  </w:style>
  <w:style w:type="paragraph" w:styleId="823">
    <w:name w:val="endnote text"/>
    <w:basedOn w:val="837"/>
    <w:link w:val="824"/>
    <w:uiPriority w:val="99"/>
    <w:semiHidden/>
    <w:unhideWhenUsed/>
    <w:pPr>
      <w:spacing w:after="0" w:line="240" w:lineRule="auto"/>
    </w:pPr>
    <w:rPr>
      <w:sz w:val="20"/>
    </w:rPr>
  </w:style>
  <w:style w:type="character" w:styleId="824">
    <w:name w:val="Endnote Text Char"/>
    <w:link w:val="823"/>
    <w:uiPriority w:val="99"/>
    <w:rPr>
      <w:sz w:val="20"/>
    </w:rPr>
  </w:style>
  <w:style w:type="character" w:styleId="825">
    <w:name w:val="endnote reference"/>
    <w:basedOn w:val="840"/>
    <w:uiPriority w:val="99"/>
    <w:semiHidden/>
    <w:unhideWhenUsed/>
    <w:rPr>
      <w:vertAlign w:val="superscript"/>
    </w:rPr>
  </w:style>
  <w:style w:type="paragraph" w:styleId="826">
    <w:name w:val="toc 1"/>
    <w:basedOn w:val="837"/>
    <w:next w:val="837"/>
    <w:uiPriority w:val="39"/>
    <w:unhideWhenUsed/>
    <w:pPr>
      <w:ind w:left="0" w:right="0" w:firstLine="0"/>
      <w:spacing w:after="57"/>
    </w:pPr>
  </w:style>
  <w:style w:type="paragraph" w:styleId="827">
    <w:name w:val="toc 2"/>
    <w:basedOn w:val="837"/>
    <w:next w:val="837"/>
    <w:uiPriority w:val="39"/>
    <w:unhideWhenUsed/>
    <w:pPr>
      <w:ind w:left="283" w:right="0" w:firstLine="0"/>
      <w:spacing w:after="57"/>
    </w:pPr>
  </w:style>
  <w:style w:type="paragraph" w:styleId="828">
    <w:name w:val="toc 3"/>
    <w:basedOn w:val="837"/>
    <w:next w:val="837"/>
    <w:uiPriority w:val="39"/>
    <w:unhideWhenUsed/>
    <w:pPr>
      <w:ind w:left="567" w:right="0" w:firstLine="0"/>
      <w:spacing w:after="57"/>
    </w:pPr>
  </w:style>
  <w:style w:type="paragraph" w:styleId="829">
    <w:name w:val="toc 4"/>
    <w:basedOn w:val="837"/>
    <w:next w:val="837"/>
    <w:uiPriority w:val="39"/>
    <w:unhideWhenUsed/>
    <w:pPr>
      <w:ind w:left="850" w:right="0" w:firstLine="0"/>
      <w:spacing w:after="57"/>
    </w:pPr>
  </w:style>
  <w:style w:type="paragraph" w:styleId="830">
    <w:name w:val="toc 5"/>
    <w:basedOn w:val="837"/>
    <w:next w:val="837"/>
    <w:uiPriority w:val="39"/>
    <w:unhideWhenUsed/>
    <w:pPr>
      <w:ind w:left="1134" w:right="0" w:firstLine="0"/>
      <w:spacing w:after="57"/>
    </w:pPr>
  </w:style>
  <w:style w:type="paragraph" w:styleId="831">
    <w:name w:val="toc 6"/>
    <w:basedOn w:val="837"/>
    <w:next w:val="837"/>
    <w:uiPriority w:val="39"/>
    <w:unhideWhenUsed/>
    <w:pPr>
      <w:ind w:left="1417" w:right="0" w:firstLine="0"/>
      <w:spacing w:after="57"/>
    </w:pPr>
  </w:style>
  <w:style w:type="paragraph" w:styleId="832">
    <w:name w:val="toc 7"/>
    <w:basedOn w:val="837"/>
    <w:next w:val="837"/>
    <w:uiPriority w:val="39"/>
    <w:unhideWhenUsed/>
    <w:pPr>
      <w:ind w:left="1701" w:right="0" w:firstLine="0"/>
      <w:spacing w:after="57"/>
    </w:pPr>
  </w:style>
  <w:style w:type="paragraph" w:styleId="833">
    <w:name w:val="toc 8"/>
    <w:basedOn w:val="837"/>
    <w:next w:val="837"/>
    <w:uiPriority w:val="39"/>
    <w:unhideWhenUsed/>
    <w:pPr>
      <w:ind w:left="1984" w:right="0" w:firstLine="0"/>
      <w:spacing w:after="57"/>
    </w:pPr>
  </w:style>
  <w:style w:type="paragraph" w:styleId="834">
    <w:name w:val="toc 9"/>
    <w:basedOn w:val="837"/>
    <w:next w:val="837"/>
    <w:uiPriority w:val="39"/>
    <w:unhideWhenUsed/>
    <w:pPr>
      <w:ind w:left="2268" w:right="0" w:firstLine="0"/>
      <w:spacing w:after="57"/>
    </w:pPr>
  </w:style>
  <w:style w:type="paragraph" w:styleId="835">
    <w:name w:val="TOC Heading"/>
    <w:uiPriority w:val="39"/>
    <w:unhideWhenUsed/>
  </w:style>
  <w:style w:type="paragraph" w:styleId="836">
    <w:name w:val="table of figures"/>
    <w:basedOn w:val="837"/>
    <w:next w:val="837"/>
    <w:uiPriority w:val="99"/>
    <w:unhideWhenUsed/>
    <w:pPr>
      <w:spacing w:after="0" w:afterAutospacing="0"/>
    </w:pPr>
  </w:style>
  <w:style w:type="paragraph" w:styleId="837" w:default="1">
    <w:name w:val="Normal"/>
    <w:qFormat/>
    <w:rPr>
      <w:sz w:val="24"/>
      <w:szCs w:val="24"/>
    </w:rPr>
  </w:style>
  <w:style w:type="paragraph" w:styleId="838">
    <w:name w:val="Heading 2"/>
    <w:basedOn w:val="837"/>
    <w:next w:val="837"/>
    <w:link w:val="843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839">
    <w:name w:val="Heading 4"/>
    <w:basedOn w:val="837"/>
    <w:next w:val="837"/>
    <w:link w:val="844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character" w:styleId="843" w:customStyle="1">
    <w:name w:val="Заголовок 2 Знак"/>
    <w:link w:val="838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844" w:customStyle="1">
    <w:name w:val="Заголовок 4 Знак"/>
    <w:link w:val="839"/>
    <w:uiPriority w:val="9"/>
    <w:semiHidden/>
    <w:rPr>
      <w:rFonts w:ascii="Calibri" w:hAnsi="Calibri"/>
      <w:b/>
      <w:sz w:val="28"/>
    </w:rPr>
  </w:style>
  <w:style w:type="paragraph" w:styleId="845">
    <w:name w:val="Body Text Indent"/>
    <w:basedOn w:val="837"/>
    <w:link w:val="846"/>
    <w:uiPriority w:val="99"/>
    <w:pPr>
      <w:ind w:firstLine="900"/>
      <w:jc w:val="both"/>
    </w:pPr>
  </w:style>
  <w:style w:type="character" w:styleId="846" w:customStyle="1">
    <w:name w:val="Основной текст с отступом Знак"/>
    <w:link w:val="845"/>
    <w:uiPriority w:val="99"/>
    <w:semiHidden/>
    <w:rPr>
      <w:sz w:val="24"/>
      <w:szCs w:val="24"/>
    </w:rPr>
  </w:style>
  <w:style w:type="paragraph" w:styleId="847">
    <w:name w:val="Body Text Indent 2"/>
    <w:basedOn w:val="837"/>
    <w:link w:val="848"/>
    <w:uiPriority w:val="99"/>
    <w:pPr>
      <w:ind w:left="283"/>
      <w:spacing w:after="120" w:line="480" w:lineRule="auto"/>
    </w:pPr>
  </w:style>
  <w:style w:type="character" w:styleId="848" w:customStyle="1">
    <w:name w:val="Основной текст с отступом 2 Знак"/>
    <w:link w:val="847"/>
    <w:uiPriority w:val="99"/>
    <w:semiHidden/>
    <w:rPr>
      <w:sz w:val="24"/>
      <w:szCs w:val="24"/>
    </w:rPr>
  </w:style>
  <w:style w:type="paragraph" w:styleId="849" w:customStyle="1">
    <w:name w:val="Знак Знак Знак Знак Знак Знак Знак Знак Знак Знак"/>
    <w:basedOn w:val="8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850">
    <w:name w:val="Table Grid"/>
    <w:basedOn w:val="84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1">
    <w:name w:val="Balloon Text"/>
    <w:basedOn w:val="837"/>
    <w:link w:val="852"/>
    <w:uiPriority w:val="99"/>
    <w:rPr>
      <w:rFonts w:ascii="Tahoma" w:hAnsi="Tahoma"/>
      <w:sz w:val="16"/>
      <w:szCs w:val="16"/>
    </w:rPr>
  </w:style>
  <w:style w:type="character" w:styleId="852" w:customStyle="1">
    <w:name w:val="Текст выноски Знак"/>
    <w:link w:val="851"/>
    <w:uiPriority w:val="99"/>
    <w:rPr>
      <w:rFonts w:ascii="Tahoma" w:hAnsi="Tahoma"/>
      <w:sz w:val="16"/>
    </w:rPr>
  </w:style>
  <w:style w:type="table" w:styleId="853" w:customStyle="1">
    <w:name w:val="Сетка таблицы1"/>
    <w:basedOn w:val="841"/>
    <w:next w:val="850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4">
    <w:name w:val="Strong"/>
    <w:uiPriority w:val="22"/>
    <w:qFormat/>
    <w:rPr>
      <w:b/>
    </w:rPr>
  </w:style>
  <w:style w:type="paragraph" w:styleId="855">
    <w:name w:val="Normal (Web)"/>
    <w:basedOn w:val="837"/>
    <w:uiPriority w:val="99"/>
    <w:unhideWhenUsed/>
    <w:pPr>
      <w:spacing w:before="100" w:beforeAutospacing="1" w:after="100" w:afterAutospacing="1"/>
    </w:pPr>
  </w:style>
  <w:style w:type="paragraph" w:styleId="856" w:customStyle="1">
    <w:name w:val="ConsPlusNormal"/>
    <w:link w:val="857"/>
    <w:pPr>
      <w:widowControl w:val="off"/>
    </w:pPr>
    <w:rPr>
      <w:rFonts w:ascii="Arial" w:hAnsi="Arial"/>
    </w:rPr>
  </w:style>
  <w:style w:type="character" w:styleId="857" w:customStyle="1">
    <w:name w:val="ConsPlusNormal Знак"/>
    <w:link w:val="856"/>
    <w:rPr>
      <w:rFonts w:ascii="Arial" w:hAnsi="Arial"/>
      <w:lang w:val="ru-RU" w:eastAsia="ru-RU" w:bidi="ar-SA"/>
    </w:rPr>
  </w:style>
  <w:style w:type="paragraph" w:styleId="858">
    <w:name w:val="List Paragraph"/>
    <w:basedOn w:val="837"/>
    <w:uiPriority w:val="34"/>
    <w:qFormat/>
    <w:pPr>
      <w:contextualSpacing/>
      <w:ind w:left="720"/>
    </w:pPr>
  </w:style>
  <w:style w:type="character" w:styleId="859">
    <w:name w:val="Hyperlink"/>
    <w:basedOn w:val="840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5</cp:revision>
  <dcterms:created xsi:type="dcterms:W3CDTF">2024-06-17T13:09:00Z</dcterms:created>
  <dcterms:modified xsi:type="dcterms:W3CDTF">2024-07-08T07:17:50Z</dcterms:modified>
</cp:coreProperties>
</file>