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01.07.2024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1074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18"/>
        </w:rPr>
      </w:pPr>
      <w:r>
        <w:rPr>
          <w:b/>
          <w:sz w:val="20"/>
          <w:szCs w:val="20"/>
        </w:rPr>
        <w:t xml:space="preserve">Об определении специальных мест для размещения предвыборных печатных агитационных </w:t>
      </w:r>
      <w:r>
        <w:rPr>
          <w:b/>
          <w:sz w:val="20"/>
          <w:szCs w:val="20"/>
        </w:rPr>
        <w:t xml:space="preserve">материалов </w:t>
      </w:r>
      <w:r>
        <w:rPr>
          <w:b/>
          <w:sz w:val="20"/>
          <w:szCs w:val="20"/>
        </w:rPr>
        <w:t xml:space="preserve">на выборах </w:t>
      </w:r>
      <w:r>
        <w:rPr>
          <w:b/>
          <w:sz w:val="20"/>
          <w:szCs w:val="20"/>
        </w:rPr>
        <w:t xml:space="preserve">Губернатора Мурманской области</w:t>
      </w:r>
      <w:r>
        <w:rPr>
          <w:b/>
          <w:sz w:val="20"/>
          <w:szCs w:val="18"/>
        </w:rPr>
      </w:r>
      <w:r>
        <w:rPr>
          <w:b/>
          <w:sz w:val="20"/>
          <w:szCs w:val="18"/>
        </w:rPr>
      </w:r>
    </w:p>
    <w:p>
      <w:pPr>
        <w:jc w:val="left"/>
        <w:rPr>
          <w:b/>
          <w:bCs/>
          <w:sz w:val="20"/>
          <w:szCs w:val="20"/>
        </w:rPr>
      </w:pPr>
      <w:r>
        <w:rPr>
          <w:b/>
          <w:sz w:val="20"/>
          <w:szCs w:val="18"/>
        </w:rPr>
      </w:r>
      <w:r>
        <w:rPr>
          <w:b/>
          <w:sz w:val="20"/>
          <w:szCs w:val="18"/>
        </w:rPr>
      </w:r>
      <w:r>
        <w:rPr>
          <w:b/>
          <w:bCs/>
          <w:sz w:val="20"/>
          <w:szCs w:val="20"/>
        </w:rPr>
      </w:r>
    </w:p>
    <w:p>
      <w:pPr>
        <w:jc w:val="left"/>
        <w:rPr>
          <w:b/>
          <w:bCs/>
          <w:sz w:val="20"/>
          <w:szCs w:val="20"/>
        </w:rPr>
      </w:pPr>
      <w:r>
        <w:rPr>
          <w:b/>
          <w:sz w:val="20"/>
          <w:szCs w:val="18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-2" w:firstLine="709"/>
        <w:jc w:val="both"/>
      </w:pPr>
      <w:r>
        <w:t xml:space="preserve">Руководствуясь пунктом 7 статьи 54 Федерального закона от 12.06.2002 № 67-ФЗ                  «Об основных гарантиях избирательных прав и права на участие в референдуме граждан Российской Федерации», </w:t>
      </w:r>
      <w:r/>
    </w:p>
    <w:p>
      <w:pPr>
        <w:widowControl w:val="off"/>
      </w:pPr>
      <w:r/>
      <w:r/>
    </w:p>
    <w:p>
      <w:pPr>
        <w:widowControl w:val="off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widowControl w:val="off"/>
      </w:pPr>
      <w:r/>
      <w:r/>
    </w:p>
    <w:p>
      <w:pPr>
        <w:ind w:firstLine="709"/>
        <w:jc w:val="both"/>
      </w:pPr>
      <w:r>
        <w:t xml:space="preserve">1. Определить на территории избирательных участков Печенгского </w:t>
      </w:r>
      <w:r>
        <w:t xml:space="preserve">муниципального округа </w:t>
      </w:r>
      <w:r>
        <w:t xml:space="preserve">специальные места для размещения предвыборных печатных агитационных материалов </w:t>
      </w:r>
      <w:r>
        <w:t xml:space="preserve">на выборах </w:t>
      </w:r>
      <w:r>
        <w:t xml:space="preserve">Губернатора Мурманской области </w:t>
      </w:r>
      <w:r>
        <w:t xml:space="preserve">согласно приложению.</w:t>
      </w:r>
      <w:r/>
    </w:p>
    <w:p>
      <w:pPr>
        <w:ind w:firstLine="709"/>
        <w:jc w:val="both"/>
      </w:pPr>
      <w:r>
        <w:t xml:space="preserve">2. Настоящее постановление направить в </w:t>
      </w:r>
      <w:r>
        <w:t xml:space="preserve">Печенгскую</w:t>
      </w:r>
      <w:r>
        <w:t xml:space="preserve"> территориальную избирательную комиссию.</w:t>
      </w:r>
      <w:r/>
    </w:p>
    <w:p>
      <w:pPr>
        <w:ind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3. Настоящее постановление вступает в силу после его подписания.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4. </w:t>
      </w:r>
      <w:r>
        <w:t xml:space="preserve">Настоящее постановление подлежит опубликованию в газете «Печенга» и размещению на официальном сайте </w:t>
      </w:r>
      <w:r>
        <w:t xml:space="preserve">Печенгского</w:t>
      </w:r>
      <w:r>
        <w:t xml:space="preserve"> муниципального округа </w:t>
      </w:r>
      <w:r>
        <w:rPr>
          <w:lang w:val="en-US"/>
        </w:rPr>
        <w:t xml:space="preserve">https</w:t>
      </w:r>
      <w:r>
        <w:t xml:space="preserve">://</w:t>
      </w:r>
      <w:r>
        <w:rPr>
          <w:lang w:val="en-US"/>
        </w:rPr>
        <w:t xml:space="preserve">pechengamr</w:t>
      </w:r>
      <w:r>
        <w:t xml:space="preserve">.</w:t>
      </w:r>
      <w:r>
        <w:rPr>
          <w:lang w:val="en-US"/>
        </w:rPr>
        <w:t xml:space="preserve">gov</w:t>
      </w:r>
      <w:r>
        <w:t xml:space="preserve">-</w:t>
      </w:r>
      <w:r>
        <w:rPr>
          <w:lang w:val="en-US"/>
        </w:rPr>
        <w:t xml:space="preserve">murman</w:t>
      </w:r>
      <w:r>
        <w:t xml:space="preserve">.</w:t>
      </w:r>
      <w:r>
        <w:rPr>
          <w:lang w:val="en-US"/>
        </w:rPr>
        <w:t xml:space="preserve">ru</w:t>
      </w:r>
      <w:r>
        <w:t xml:space="preserve">/.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</w:pPr>
      <w:r>
        <w:t xml:space="preserve">5</w:t>
      </w:r>
      <w:r>
        <w:t xml:space="preserve">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r/>
      <w:r/>
    </w:p>
    <w:p>
      <w:pPr>
        <w:jc w:val="both"/>
      </w:pPr>
      <w:r/>
      <w:r/>
    </w:p>
    <w:p>
      <w:pPr>
        <w:jc w:val="both"/>
      </w:pPr>
      <w:r>
        <w:t xml:space="preserve">Г</w:t>
      </w:r>
      <w:r>
        <w:t xml:space="preserve">лава</w:t>
      </w:r>
      <w:r>
        <w:t xml:space="preserve"> </w:t>
      </w:r>
      <w:r>
        <w:t xml:space="preserve">Печенгского</w:t>
      </w:r>
      <w:r>
        <w:t xml:space="preserve"> муниципального ок</w:t>
      </w:r>
      <w:r>
        <w:t xml:space="preserve">руга </w:t>
      </w:r>
      <w:r>
        <w:tab/>
      </w:r>
      <w:r>
        <w:tab/>
      </w:r>
      <w:r>
        <w:tab/>
        <w:tab/>
        <w:tab/>
        <w:t xml:space="preserve">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</w:pPr>
      <w:r>
        <w:rPr>
          <w:sz w:val="20"/>
          <w:szCs w:val="20"/>
        </w:rPr>
        <w:t xml:space="preserve">Рыжкова А.А. 51543</w:t>
      </w:r>
      <w:r>
        <w:rPr>
          <w:sz w:val="20"/>
          <w:szCs w:val="20"/>
        </w:rPr>
      </w:r>
      <w:r/>
      <w:r>
        <w:rPr>
          <w:bCs/>
        </w:rPr>
      </w:r>
      <w:r>
        <w:rPr>
          <w:b/>
          <w:bCs/>
          <w:color w:val="000000"/>
          <w:spacing w:val="-2"/>
          <w:lang w:eastAsia="en-US"/>
        </w:rPr>
      </w:r>
    </w:p>
    <w:p>
      <w:pPr>
        <w:ind w:left="5528" w:right="0" w:firstLine="0"/>
        <w:jc w:val="both"/>
        <w:rPr>
          <w:b/>
          <w:bCs/>
          <w:color w:val="000000"/>
          <w:spacing w:val="-2"/>
          <w:lang w:eastAsia="en-US"/>
        </w:rPr>
      </w:pPr>
      <w:r>
        <w:rPr>
          <w:bCs/>
        </w:rPr>
        <w:t xml:space="preserve">Приложение </w:t>
      </w:r>
      <w:r>
        <w:rPr>
          <w:b/>
          <w:bCs/>
          <w:color w:val="000000"/>
          <w:spacing w:val="-2"/>
          <w:lang w:eastAsia="en-US"/>
        </w:rPr>
      </w:r>
      <w:r/>
    </w:p>
    <w:p>
      <w:pPr>
        <w:ind w:left="5529"/>
        <w:jc w:val="both"/>
        <w:rPr>
          <w:b/>
          <w:color w:val="000000"/>
          <w:spacing w:val="-2"/>
          <w:lang w:eastAsia="en-US"/>
        </w:rPr>
        <w:outlineLvl w:val="0"/>
      </w:pPr>
      <w:r>
        <w:rPr>
          <w:bCs/>
        </w:rPr>
        <w:t xml:space="preserve">к постановлению администрации </w:t>
      </w:r>
      <w:r>
        <w:rPr>
          <w:bCs/>
        </w:rPr>
        <w:t xml:space="preserve">Печенгского муниципального округа </w:t>
      </w:r>
      <w:r>
        <w:t xml:space="preserve">от</w:t>
      </w:r>
      <w:r>
        <w:t xml:space="preserve"> </w:t>
      </w:r>
      <w:r>
        <w:t xml:space="preserve">01.07.2024 </w:t>
      </w:r>
      <w:r>
        <w:t xml:space="preserve">№ 1074</w:t>
      </w:r>
      <w:r>
        <w:rPr>
          <w:b/>
          <w:color w:val="000000"/>
          <w:spacing w:val="-2"/>
          <w:lang w:eastAsia="en-US"/>
        </w:rPr>
      </w:r>
      <w:r>
        <w:rPr>
          <w:b/>
          <w:color w:val="000000"/>
          <w:spacing w:val="-2"/>
          <w:lang w:eastAsia="en-US"/>
        </w:rPr>
      </w:r>
    </w:p>
    <w:p>
      <w:pPr>
        <w:jc w:val="center"/>
        <w:rPr>
          <w:b/>
          <w:bCs/>
          <w:color w:val="000000"/>
          <w:spacing w:val="-2"/>
          <w:sz w:val="20"/>
          <w:szCs w:val="20"/>
        </w:rPr>
      </w:pPr>
      <w:r>
        <w:rPr>
          <w:b/>
          <w:color w:val="000000"/>
          <w:spacing w:val="-2"/>
          <w:sz w:val="20"/>
          <w:szCs w:val="20"/>
          <w:lang w:eastAsia="en-US"/>
        </w:rPr>
      </w:r>
      <w:r>
        <w:rPr>
          <w:b/>
          <w:color w:val="000000"/>
          <w:spacing w:val="-2"/>
          <w:sz w:val="20"/>
          <w:szCs w:val="20"/>
          <w:lang w:eastAsia="en-US"/>
        </w:rPr>
      </w:r>
      <w:r>
        <w:rPr>
          <w:b/>
          <w:bCs/>
          <w:color w:val="000000"/>
          <w:spacing w:val="-2"/>
          <w:sz w:val="20"/>
          <w:szCs w:val="20"/>
        </w:rPr>
      </w:r>
    </w:p>
    <w:p>
      <w:pPr>
        <w:jc w:val="center"/>
        <w:rPr>
          <w:b/>
          <w:bCs/>
          <w:color w:val="000000"/>
          <w:spacing w:val="-2"/>
          <w:sz w:val="20"/>
          <w:szCs w:val="20"/>
        </w:rPr>
      </w:pPr>
      <w:r>
        <w:rPr>
          <w:b/>
          <w:color w:val="000000"/>
          <w:spacing w:val="-2"/>
          <w:sz w:val="20"/>
          <w:szCs w:val="20"/>
          <w:lang w:eastAsia="en-US"/>
        </w:rPr>
      </w:r>
      <w:r>
        <w:rPr>
          <w:b/>
          <w:bCs/>
          <w:color w:val="000000"/>
          <w:spacing w:val="-2"/>
          <w:sz w:val="20"/>
          <w:szCs w:val="20"/>
        </w:rPr>
      </w:r>
      <w:r>
        <w:rPr>
          <w:b/>
          <w:bCs/>
          <w:color w:val="000000"/>
          <w:spacing w:val="-2"/>
          <w:sz w:val="20"/>
          <w:szCs w:val="20"/>
        </w:rPr>
      </w:r>
    </w:p>
    <w:p>
      <w:pPr>
        <w:jc w:val="center"/>
        <w:rPr>
          <w:b/>
          <w:color w:val="000000"/>
          <w:spacing w:val="-2"/>
          <w:lang w:eastAsia="en-US"/>
        </w:rPr>
      </w:pPr>
      <w:r>
        <w:rPr>
          <w:b/>
          <w:color w:val="000000"/>
          <w:spacing w:val="-2"/>
          <w:lang w:eastAsia="en-US"/>
        </w:rPr>
        <w:t xml:space="preserve">СПЕЦИАЛЬНЫЕ МЕСТА</w:t>
      </w:r>
      <w:r>
        <w:rPr>
          <w:b/>
          <w:color w:val="000000"/>
          <w:spacing w:val="-2"/>
          <w:lang w:eastAsia="en-US"/>
        </w:rPr>
      </w:r>
      <w:r>
        <w:rPr>
          <w:b/>
          <w:color w:val="000000"/>
          <w:spacing w:val="-2"/>
          <w:lang w:eastAsia="en-US"/>
        </w:rPr>
      </w:r>
    </w:p>
    <w:p>
      <w:pPr>
        <w:jc w:val="center"/>
        <w:rPr>
          <w:highlight w:val="none"/>
        </w:rPr>
      </w:pPr>
      <w:r>
        <w:rPr>
          <w:color w:val="000000"/>
          <w:spacing w:val="-2"/>
          <w:lang w:eastAsia="en-US"/>
        </w:rPr>
        <w:t xml:space="preserve">для размещения предвыборных печатных агитационных материалов</w:t>
      </w:r>
      <w:r>
        <w:t xml:space="preserve"> на выборах</w:t>
      </w:r>
      <w:r>
        <w:t xml:space="preserve"> Губернатора Мурманской области</w:t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color w:val="000000"/>
          <w:spacing w:val="-2"/>
          <w:lang w:eastAsia="en-US"/>
        </w:rPr>
      </w:pPr>
      <w:r>
        <w:rPr>
          <w:highlight w:val="none"/>
        </w:rPr>
      </w:r>
      <w:r>
        <w:rPr>
          <w:highlight w:val="none"/>
        </w:rPr>
      </w:r>
      <w:r>
        <w:rPr>
          <w:color w:val="000000"/>
          <w:spacing w:val="-2"/>
          <w:lang w:eastAsia="en-US"/>
        </w:rPr>
      </w:r>
    </w:p>
    <w:tbl>
      <w:tblPr>
        <w:tblStyle w:val="85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5"/>
        <w:gridCol w:w="1969"/>
        <w:gridCol w:w="6804"/>
      </w:tblGrid>
      <w:tr>
        <w:tblPrEx/>
        <w:trPr>
          <w:trHeight w:val="84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bCs/>
                <w:iCs/>
                <w:color w:val="000000"/>
                <w:shd w:val="clear" w:color="auto" w:fill="ffffff"/>
                <w:lang w:eastAsia="en-US"/>
              </w:rPr>
              <w:t xml:space="preserve">№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п.п</w:t>
            </w:r>
            <w:r>
              <w:rPr>
                <w:color w:val="000000"/>
                <w:spacing w:val="-2"/>
                <w:lang w:eastAsia="en-US"/>
              </w:rPr>
              <w:t xml:space="preserve">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№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избирательного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участка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Адрес специальных мест для размещения предвыборных агитационных материалов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89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п.г.т. Никель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80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370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пр. Гвардейский, дом 23а (отсутствует необходимо установить  в районе остановки)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641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2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371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ул. Сидоровича, дом 21 </w:t>
            </w:r>
            <w:r>
              <w:rPr>
                <w:color w:val="000000"/>
                <w:spacing w:val="-2"/>
                <w:lang w:eastAsia="en-US"/>
              </w:rPr>
              <w:t xml:space="preserve">в районе магазина «Пятерочка»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1132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373, 374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ул. Победы, дом 12 информационный стенд по ул. Мира, дом 24 </w:t>
            </w:r>
            <w:r>
              <w:t xml:space="preserve"> информационный стенд по ул. </w:t>
            </w:r>
            <w:r>
              <w:t xml:space="preserve">Бредова</w:t>
            </w:r>
            <w:r>
              <w:t xml:space="preserve">, дом 7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42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4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375, 376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пр. Гвардейский, дом 24а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77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5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377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стенд в районе дома 35 по пр. Гвардейский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65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6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378, 379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 информационный стенд по ул. </w:t>
            </w:r>
            <w:r>
              <w:rPr>
                <w:color w:val="000000"/>
                <w:spacing w:val="-2"/>
                <w:lang w:eastAsia="en-US"/>
              </w:rPr>
              <w:t xml:space="preserve">Бредова</w:t>
            </w:r>
            <w:r>
              <w:rPr>
                <w:color w:val="000000"/>
                <w:spacing w:val="-2"/>
                <w:lang w:eastAsia="en-US"/>
              </w:rPr>
              <w:t xml:space="preserve">, дом 12</w:t>
            </w:r>
            <w:r>
              <w:rPr>
                <w:color w:val="000000"/>
                <w:spacing w:val="-2"/>
                <w:lang w:eastAsia="en-US"/>
              </w:rPr>
              <w:t xml:space="preserve"> </w:t>
            </w:r>
            <w:r>
              <w:rPr>
                <w:color w:val="000000"/>
                <w:spacing w:val="-2"/>
                <w:lang w:eastAsia="en-US"/>
              </w:rPr>
              <w:t xml:space="preserve">информационный стенд по ул. </w:t>
            </w:r>
            <w:r>
              <w:rPr>
                <w:color w:val="000000"/>
                <w:spacing w:val="-2"/>
                <w:lang w:eastAsia="en-US"/>
              </w:rPr>
              <w:t xml:space="preserve">Бредова</w:t>
            </w:r>
            <w:r>
              <w:rPr>
                <w:color w:val="000000"/>
                <w:spacing w:val="-2"/>
                <w:lang w:eastAsia="en-US"/>
              </w:rPr>
              <w:t xml:space="preserve">, дом 8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79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Раякоски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84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7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381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торец  здания кафе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73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г. Заполярный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357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  <w:t xml:space="preserve">8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382, 389, 390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на автобусной площади по ул. </w:t>
            </w:r>
            <w:r>
              <w:rPr>
                <w:color w:val="000000"/>
                <w:spacing w:val="-2"/>
                <w:lang w:eastAsia="en-US"/>
              </w:rPr>
              <w:t xml:space="preserve">Бабикова</w:t>
            </w:r>
            <w:r>
              <w:rPr>
                <w:color w:val="000000"/>
                <w:spacing w:val="-2"/>
                <w:lang w:eastAsia="en-US"/>
              </w:rPr>
              <w:t xml:space="preserve">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57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9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383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Ленина, дом 8, доска объявлений по ул. </w:t>
            </w:r>
            <w:r>
              <w:rPr>
                <w:color w:val="000000"/>
                <w:spacing w:val="-2"/>
                <w:lang w:eastAsia="en-US"/>
              </w:rPr>
              <w:t xml:space="preserve">Бабикова</w:t>
            </w:r>
            <w:r>
              <w:rPr>
                <w:color w:val="000000"/>
                <w:spacing w:val="-2"/>
                <w:lang w:eastAsia="en-US"/>
              </w:rPr>
              <w:t xml:space="preserve">, дом 6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409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10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384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Ленина, дом 33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430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11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385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Ленина, дом 18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79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12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386, 387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Ленина, дом 7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98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13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388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  <w:t xml:space="preserve">доска объявлений по ул. Юбилейная, дом 1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41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14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391, 392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Юбилейная, дом 6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90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ж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.-д. ст. Печенга (19 км)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79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15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393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у автобусной остановки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70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Спутник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317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16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394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ул. </w:t>
            </w:r>
            <w:r>
              <w:rPr>
                <w:color w:val="000000"/>
                <w:spacing w:val="-2"/>
                <w:lang w:eastAsia="en-US"/>
              </w:rPr>
              <w:t xml:space="preserve">Новая</w:t>
            </w:r>
            <w:r>
              <w:rPr>
                <w:color w:val="000000"/>
                <w:spacing w:val="-2"/>
                <w:lang w:eastAsia="en-US"/>
              </w:rPr>
              <w:t xml:space="preserve">, дом 4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322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п.г.т. Печенга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322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17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395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стенд на аллее по Печенгскому шоссе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353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Лиинахамари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78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18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396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ул. Шабалина, дом 3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81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Луостари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866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19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397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в районе дома 8 </w:t>
            </w:r>
            <w:r>
              <w:rPr>
                <w:color w:val="000000"/>
                <w:spacing w:val="-2"/>
                <w:lang w:eastAsia="en-US"/>
              </w:rPr>
              <w:t xml:space="preserve">по ул. </w:t>
            </w:r>
            <w:r>
              <w:rPr>
                <w:color w:val="000000"/>
                <w:spacing w:val="-2"/>
                <w:lang w:eastAsia="en-US"/>
              </w:rPr>
              <w:t xml:space="preserve">Нижняя</w:t>
            </w:r>
            <w:r>
              <w:rPr>
                <w:color w:val="000000"/>
                <w:spacing w:val="-2"/>
                <w:lang w:eastAsia="en-US"/>
              </w:rPr>
              <w:t xml:space="preserve">, информационный стенд между домом № 10 и № Общежитием по ул. Верхняя 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85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Корзуново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76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  <w:t xml:space="preserve">20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399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  <w:t xml:space="preserve">информационный стенд в районе остановки и ФАП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</w:tbl>
    <w:p>
      <w:r/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4">
    <w:name w:val="Heading 1 Char"/>
    <w:basedOn w:val="849"/>
    <w:link w:val="848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7"/>
    <w:next w:val="847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49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7"/>
    <w:next w:val="847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49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7"/>
    <w:next w:val="847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49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7"/>
    <w:next w:val="847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49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7"/>
    <w:next w:val="847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49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7"/>
    <w:next w:val="847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49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7"/>
    <w:next w:val="847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4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7"/>
    <w:next w:val="847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49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7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7"/>
    <w:next w:val="847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49"/>
    <w:link w:val="693"/>
    <w:uiPriority w:val="10"/>
    <w:rPr>
      <w:sz w:val="48"/>
      <w:szCs w:val="48"/>
    </w:rPr>
  </w:style>
  <w:style w:type="paragraph" w:styleId="695">
    <w:name w:val="Subtitle"/>
    <w:basedOn w:val="847"/>
    <w:next w:val="847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49"/>
    <w:link w:val="695"/>
    <w:uiPriority w:val="11"/>
    <w:rPr>
      <w:sz w:val="24"/>
      <w:szCs w:val="24"/>
    </w:rPr>
  </w:style>
  <w:style w:type="paragraph" w:styleId="697">
    <w:name w:val="Quote"/>
    <w:basedOn w:val="847"/>
    <w:next w:val="847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7"/>
    <w:next w:val="847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49"/>
    <w:link w:val="854"/>
    <w:uiPriority w:val="99"/>
  </w:style>
  <w:style w:type="character" w:styleId="702">
    <w:name w:val="Footer Char"/>
    <w:basedOn w:val="849"/>
    <w:link w:val="856"/>
    <w:uiPriority w:val="99"/>
  </w:style>
  <w:style w:type="paragraph" w:styleId="703">
    <w:name w:val="Caption"/>
    <w:basedOn w:val="847"/>
    <w:next w:val="8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6"/>
    <w:uiPriority w:val="99"/>
  </w:style>
  <w:style w:type="table" w:styleId="705">
    <w:name w:val="Table Grid Light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7">
    <w:name w:val="Grid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8">
    <w:name w:val="Grid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9">
    <w:name w:val="Grid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0">
    <w:name w:val="Grid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1">
    <w:name w:val="Grid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3">
    <w:name w:val="List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4">
    <w:name w:val="List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5">
    <w:name w:val="List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6">
    <w:name w:val="List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7">
    <w:name w:val="List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8">
    <w:name w:val="List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9">
    <w:name w:val="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 &amp; 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8">
    <w:name w:val="Bordered &amp; 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9">
    <w:name w:val="Bordered &amp; 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0">
    <w:name w:val="Bordered &amp; 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1">
    <w:name w:val="Bordered &amp; 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2">
    <w:name w:val="Bordered &amp; 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3">
    <w:name w:val="Bordered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0">
    <w:name w:val="footnote text"/>
    <w:basedOn w:val="847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>
    <w:name w:val="Footnote Text Char"/>
    <w:link w:val="830"/>
    <w:uiPriority w:val="99"/>
    <w:rPr>
      <w:sz w:val="18"/>
    </w:rPr>
  </w:style>
  <w:style w:type="character" w:styleId="832">
    <w:name w:val="footnote reference"/>
    <w:basedOn w:val="849"/>
    <w:uiPriority w:val="99"/>
    <w:unhideWhenUsed/>
    <w:rPr>
      <w:vertAlign w:val="superscript"/>
    </w:rPr>
  </w:style>
  <w:style w:type="paragraph" w:styleId="833">
    <w:name w:val="endnote text"/>
    <w:basedOn w:val="847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>
    <w:name w:val="Endnote Text Char"/>
    <w:link w:val="833"/>
    <w:uiPriority w:val="99"/>
    <w:rPr>
      <w:sz w:val="20"/>
    </w:rPr>
  </w:style>
  <w:style w:type="character" w:styleId="835">
    <w:name w:val="endnote reference"/>
    <w:basedOn w:val="849"/>
    <w:uiPriority w:val="99"/>
    <w:semiHidden/>
    <w:unhideWhenUsed/>
    <w:rPr>
      <w:vertAlign w:val="superscript"/>
    </w:rPr>
  </w:style>
  <w:style w:type="paragraph" w:styleId="836">
    <w:name w:val="toc 1"/>
    <w:basedOn w:val="847"/>
    <w:next w:val="847"/>
    <w:uiPriority w:val="39"/>
    <w:unhideWhenUsed/>
    <w:pPr>
      <w:ind w:left="0" w:right="0" w:firstLine="0"/>
      <w:spacing w:after="57"/>
    </w:pPr>
  </w:style>
  <w:style w:type="paragraph" w:styleId="837">
    <w:name w:val="toc 2"/>
    <w:basedOn w:val="847"/>
    <w:next w:val="847"/>
    <w:uiPriority w:val="39"/>
    <w:unhideWhenUsed/>
    <w:pPr>
      <w:ind w:left="283" w:right="0" w:firstLine="0"/>
      <w:spacing w:after="57"/>
    </w:pPr>
  </w:style>
  <w:style w:type="paragraph" w:styleId="838">
    <w:name w:val="toc 3"/>
    <w:basedOn w:val="847"/>
    <w:next w:val="847"/>
    <w:uiPriority w:val="39"/>
    <w:unhideWhenUsed/>
    <w:pPr>
      <w:ind w:left="567" w:right="0" w:firstLine="0"/>
      <w:spacing w:after="57"/>
    </w:pPr>
  </w:style>
  <w:style w:type="paragraph" w:styleId="839">
    <w:name w:val="toc 4"/>
    <w:basedOn w:val="847"/>
    <w:next w:val="847"/>
    <w:uiPriority w:val="39"/>
    <w:unhideWhenUsed/>
    <w:pPr>
      <w:ind w:left="850" w:right="0" w:firstLine="0"/>
      <w:spacing w:after="57"/>
    </w:pPr>
  </w:style>
  <w:style w:type="paragraph" w:styleId="840">
    <w:name w:val="toc 5"/>
    <w:basedOn w:val="847"/>
    <w:next w:val="847"/>
    <w:uiPriority w:val="39"/>
    <w:unhideWhenUsed/>
    <w:pPr>
      <w:ind w:left="1134" w:right="0" w:firstLine="0"/>
      <w:spacing w:after="57"/>
    </w:pPr>
  </w:style>
  <w:style w:type="paragraph" w:styleId="841">
    <w:name w:val="toc 6"/>
    <w:basedOn w:val="847"/>
    <w:next w:val="847"/>
    <w:uiPriority w:val="39"/>
    <w:unhideWhenUsed/>
    <w:pPr>
      <w:ind w:left="1417" w:right="0" w:firstLine="0"/>
      <w:spacing w:after="57"/>
    </w:pPr>
  </w:style>
  <w:style w:type="paragraph" w:styleId="842">
    <w:name w:val="toc 7"/>
    <w:basedOn w:val="847"/>
    <w:next w:val="847"/>
    <w:uiPriority w:val="39"/>
    <w:unhideWhenUsed/>
    <w:pPr>
      <w:ind w:left="1701" w:right="0" w:firstLine="0"/>
      <w:spacing w:after="57"/>
    </w:pPr>
  </w:style>
  <w:style w:type="paragraph" w:styleId="843">
    <w:name w:val="toc 8"/>
    <w:basedOn w:val="847"/>
    <w:next w:val="847"/>
    <w:uiPriority w:val="39"/>
    <w:unhideWhenUsed/>
    <w:pPr>
      <w:ind w:left="1984" w:right="0" w:firstLine="0"/>
      <w:spacing w:after="57"/>
    </w:pPr>
  </w:style>
  <w:style w:type="paragraph" w:styleId="844">
    <w:name w:val="toc 9"/>
    <w:basedOn w:val="847"/>
    <w:next w:val="847"/>
    <w:uiPriority w:val="39"/>
    <w:unhideWhenUsed/>
    <w:pPr>
      <w:ind w:left="2268" w:right="0" w:firstLine="0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847"/>
    <w:next w:val="847"/>
    <w:uiPriority w:val="99"/>
    <w:unhideWhenUsed/>
    <w:pPr>
      <w:spacing w:after="0" w:afterAutospacing="0"/>
    </w:pPr>
  </w:style>
  <w:style w:type="paragraph" w:styleId="847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848">
    <w:name w:val="Heading 1"/>
    <w:basedOn w:val="847"/>
    <w:next w:val="847"/>
    <w:link w:val="852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character" w:styleId="849" w:default="1">
    <w:name w:val="Default Paragraph Font"/>
    <w:uiPriority w:val="1"/>
    <w:semiHidden/>
    <w:unhideWhenUsed/>
  </w:style>
  <w:style w:type="table" w:styleId="85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1" w:default="1">
    <w:name w:val="No List"/>
    <w:uiPriority w:val="99"/>
    <w:semiHidden/>
    <w:unhideWhenUsed/>
  </w:style>
  <w:style w:type="character" w:styleId="852" w:customStyle="1">
    <w:name w:val="Заголовок 1 Знак"/>
    <w:basedOn w:val="849"/>
    <w:link w:val="848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53">
    <w:name w:val="Table Grid"/>
    <w:basedOn w:val="850"/>
    <w:uiPriority w:val="99"/>
    <w:pPr>
      <w:spacing w:after="0" w:line="240" w:lineRule="auto"/>
    </w:pPr>
    <w:rPr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54">
    <w:name w:val="Header"/>
    <w:basedOn w:val="847"/>
    <w:link w:val="855"/>
    <w:uiPriority w:val="99"/>
    <w:pPr>
      <w:tabs>
        <w:tab w:val="center" w:pos="4677" w:leader="none"/>
        <w:tab w:val="right" w:pos="9355" w:leader="none"/>
      </w:tabs>
    </w:pPr>
  </w:style>
  <w:style w:type="character" w:styleId="855" w:customStyle="1">
    <w:name w:val="Верхний колонтитул Знак"/>
    <w:basedOn w:val="849"/>
    <w:link w:val="854"/>
    <w:uiPriority w:val="99"/>
    <w:semiHidden/>
    <w:rPr>
      <w:rFonts w:cs="Times New Roman"/>
      <w:sz w:val="24"/>
      <w:szCs w:val="24"/>
    </w:rPr>
  </w:style>
  <w:style w:type="paragraph" w:styleId="856">
    <w:name w:val="Footer"/>
    <w:basedOn w:val="847"/>
    <w:link w:val="857"/>
    <w:uiPriority w:val="99"/>
    <w:pPr>
      <w:tabs>
        <w:tab w:val="center" w:pos="4677" w:leader="none"/>
        <w:tab w:val="right" w:pos="9355" w:leader="none"/>
      </w:tabs>
    </w:pPr>
  </w:style>
  <w:style w:type="character" w:styleId="857" w:customStyle="1">
    <w:name w:val="Нижний колонтитул Знак"/>
    <w:basedOn w:val="849"/>
    <w:link w:val="856"/>
    <w:uiPriority w:val="99"/>
    <w:semiHidden/>
    <w:rPr>
      <w:rFonts w:cs="Times New Roman"/>
      <w:sz w:val="24"/>
      <w:szCs w:val="24"/>
    </w:rPr>
  </w:style>
  <w:style w:type="character" w:styleId="858">
    <w:name w:val="page number"/>
    <w:basedOn w:val="849"/>
    <w:uiPriority w:val="99"/>
    <w:rPr>
      <w:rFonts w:cs="Times New Roman"/>
    </w:rPr>
  </w:style>
  <w:style w:type="paragraph" w:styleId="859">
    <w:name w:val="Balloon Text"/>
    <w:basedOn w:val="847"/>
    <w:link w:val="860"/>
    <w:uiPriority w:val="99"/>
    <w:semiHidden/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basedOn w:val="849"/>
    <w:link w:val="859"/>
    <w:uiPriority w:val="99"/>
    <w:semiHidden/>
    <w:rPr>
      <w:rFonts w:ascii="Tahoma" w:hAnsi="Tahoma" w:cs="Tahoma"/>
      <w:sz w:val="16"/>
      <w:szCs w:val="16"/>
    </w:rPr>
  </w:style>
  <w:style w:type="paragraph" w:styleId="861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62" w:customStyle="1">
    <w:name w:val="Знак Знак Знак Знак Знак Знак Знак Знак Знак Знак"/>
    <w:basedOn w:val="847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63">
    <w:name w:val="Hyperlink"/>
    <w:basedOn w:val="849"/>
    <w:uiPriority w:val="99"/>
    <w:unhideWhenUsed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748CA-77DA-4729-BADE-9A1D44331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4</cp:revision>
  <dcterms:created xsi:type="dcterms:W3CDTF">2024-06-26T07:14:00Z</dcterms:created>
  <dcterms:modified xsi:type="dcterms:W3CDTF">2024-07-08T07:26:11Z</dcterms:modified>
</cp:coreProperties>
</file>