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01.07.2024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№ </w:t>
      </w:r>
      <w:bookmarkStart w:id="0" w:name="_GoBack"/>
      <w:r>
        <w:rPr>
          <w:b/>
          <w:bCs/>
          <w:sz w:val="24"/>
          <w:szCs w:val="24"/>
        </w:rPr>
      </w:r>
      <w:bookmarkEnd w:id="0"/>
      <w:r>
        <w:rPr>
          <w:b/>
          <w:bCs/>
          <w:sz w:val="24"/>
          <w:szCs w:val="24"/>
        </w:rPr>
        <w:t xml:space="preserve">1075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b/>
          <w:bCs/>
          <w:highlight w:val="none"/>
        </w:rPr>
      </w:pPr>
      <w:r>
        <w:rPr>
          <w:b/>
        </w:rPr>
        <w:t xml:space="preserve">Об определении резервных </w:t>
      </w:r>
      <w:r>
        <w:rPr>
          <w:b/>
        </w:rPr>
        <w:t xml:space="preserve">пунктов (</w:t>
      </w:r>
      <w:r>
        <w:rPr>
          <w:b/>
        </w:rPr>
        <w:t xml:space="preserve">помещений</w:t>
      </w:r>
      <w:r>
        <w:rPr>
          <w:b/>
        </w:rPr>
        <w:t xml:space="preserve">, </w:t>
      </w:r>
      <w:r>
        <w:rPr>
          <w:b/>
        </w:rPr>
        <w:t xml:space="preserve">мест) </w:t>
      </w:r>
      <w:r>
        <w:rPr>
          <w:b/>
        </w:rPr>
        <w:t xml:space="preserve">для </w:t>
      </w:r>
      <w:r>
        <w:rPr>
          <w:b/>
        </w:rPr>
        <w:t xml:space="preserve">голосования</w:t>
      </w:r>
      <w:r>
        <w:rPr>
          <w:b/>
        </w:rPr>
        <w:br/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В целях оказания содействия </w:t>
      </w:r>
      <w:r>
        <w:rPr>
          <w:sz w:val="24"/>
          <w:szCs w:val="24"/>
        </w:rPr>
        <w:t xml:space="preserve">Печенгской</w:t>
      </w:r>
      <w:r>
        <w:rPr>
          <w:sz w:val="24"/>
          <w:szCs w:val="24"/>
        </w:rPr>
        <w:t xml:space="preserve"> территориальной избирательной комиссии в организации подготовки и проведения</w:t>
      </w:r>
      <w:r>
        <w:rPr>
          <w:sz w:val="24"/>
          <w:szCs w:val="24"/>
        </w:rPr>
        <w:t xml:space="preserve"> выборов</w:t>
      </w:r>
      <w:r>
        <w:rPr>
          <w:sz w:val="24"/>
          <w:szCs w:val="24"/>
        </w:rPr>
        <w:t xml:space="preserve"> Губернатора Мурманской области 08 сентября 2024 года</w:t>
      </w:r>
      <w:r>
        <w:rPr>
          <w:sz w:val="24"/>
          <w:szCs w:val="24"/>
        </w:rPr>
        <w:t xml:space="preserve">, руководствуясь Федеральным </w:t>
      </w:r>
      <w:r>
        <w:rPr>
          <w:sz w:val="24"/>
        </w:rPr>
        <w:t xml:space="preserve">законом</w:t>
      </w:r>
      <w:r>
        <w:t xml:space="preserve"> </w:t>
      </w:r>
      <w:r>
        <w:rPr>
          <w:sz w:val="24"/>
          <w:szCs w:val="24"/>
        </w:rPr>
        <w:t xml:space="preserve">от 12.06.2002 </w:t>
        <w:br/>
        <w:t xml:space="preserve">№ 67-ФЗ «Об основных гарантиях избирательных прав и права на участие в референдуме граждан Российской Федерации», на случай нештатных ситуаций для обеспечения непрерывности процедуры голосования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tabs>
          <w:tab w:val="left" w:pos="1080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Определить </w:t>
      </w:r>
      <w:r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выборах Губернатора Мурманской области 08 сентября </w:t>
      </w:r>
      <w:r>
        <w:rPr>
          <w:sz w:val="24"/>
          <w:szCs w:val="24"/>
        </w:rPr>
        <w:t xml:space="preserve">2024 года: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1.1. Резервные </w:t>
      </w:r>
      <w:r>
        <w:rPr>
          <w:sz w:val="24"/>
          <w:szCs w:val="24"/>
        </w:rPr>
        <w:t xml:space="preserve">пункты (</w:t>
      </w:r>
      <w:r>
        <w:rPr>
          <w:sz w:val="24"/>
          <w:szCs w:val="24"/>
        </w:rPr>
        <w:t xml:space="preserve">помещения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для голосования: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636"/>
        <w:gridCol w:w="4575"/>
        <w:gridCol w:w="4145"/>
      </w:tblGrid>
      <w:tr>
        <w:tblPrEx/>
        <w:trPr/>
        <w:tc>
          <w:tcPr>
            <w:tcW w:w="63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t xml:space="preserve">№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t xml:space="preserve">п</w:t>
            </w:r>
            <w:r>
              <w:t xml:space="preserve">/п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tcW w:w="8720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t xml:space="preserve">Место нахождения резервного </w:t>
            </w:r>
            <w:r>
              <w:t xml:space="preserve">пункта (</w:t>
            </w:r>
            <w:r>
              <w:t xml:space="preserve">помещения</w:t>
            </w:r>
            <w:r>
              <w:t xml:space="preserve">)</w:t>
            </w:r>
            <w:r>
              <w:t xml:space="preserve">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tcW w:w="63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575" w:type="dxa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Холл здания администрации (1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этаж)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145" w:type="dxa"/>
            <w:textDirection w:val="lrTb"/>
            <w:noWrap w:val="false"/>
          </w:tcPr>
          <w:p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п.г.т. Никель ул. </w:t>
            </w:r>
            <w:r>
              <w:rPr>
                <w:sz w:val="24"/>
                <w:szCs w:val="24"/>
              </w:rPr>
              <w:t xml:space="preserve">Пионерская</w:t>
            </w:r>
            <w:r>
              <w:rPr>
                <w:sz w:val="24"/>
                <w:szCs w:val="24"/>
              </w:rPr>
              <w:t xml:space="preserve">, д.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2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63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575" w:type="dxa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Холл здания администрации (1 этаж)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145" w:type="dxa"/>
            <w:textDirection w:val="lrTb"/>
            <w:noWrap w:val="false"/>
          </w:tcPr>
          <w:p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Заполярный</w:t>
            </w:r>
            <w:r>
              <w:rPr>
                <w:sz w:val="24"/>
                <w:szCs w:val="24"/>
              </w:rPr>
              <w:t xml:space="preserve">, ул. Ленина, д.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6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63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575" w:type="dxa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МБУ «ДЭСП» </w:t>
            </w:r>
            <w:r>
              <w:rPr>
                <w:sz w:val="24"/>
                <w:szCs w:val="24"/>
              </w:rPr>
              <w:t xml:space="preserve"> (1 этаж)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145" w:type="dxa"/>
            <w:textDirection w:val="lrTb"/>
            <w:noWrap w:val="false"/>
          </w:tcPr>
          <w:p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п.г.т</w:t>
            </w:r>
            <w:r>
              <w:rPr>
                <w:sz w:val="24"/>
                <w:szCs w:val="24"/>
              </w:rPr>
              <w:t xml:space="preserve">. Печенга, Печенгское шоссе, д.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3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63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575" w:type="dxa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Холл здания администрации (1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этаж)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145" w:type="dxa"/>
            <w:textDirection w:val="lrTb"/>
            <w:noWrap w:val="false"/>
          </w:tcPr>
          <w:p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н.п</w:t>
            </w:r>
            <w:r>
              <w:rPr>
                <w:sz w:val="24"/>
                <w:szCs w:val="24"/>
              </w:rPr>
              <w:t xml:space="preserve">. Корзуново, ул. </w:t>
            </w:r>
            <w:r>
              <w:rPr>
                <w:sz w:val="24"/>
                <w:szCs w:val="24"/>
              </w:rPr>
              <w:t xml:space="preserve">Печенгская</w:t>
            </w:r>
            <w:r>
              <w:rPr>
                <w:sz w:val="24"/>
                <w:szCs w:val="24"/>
              </w:rPr>
              <w:t xml:space="preserve">, д. 25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1.2. </w: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езервн</w:t>
      </w:r>
      <w:r>
        <w:rPr>
          <w:sz w:val="24"/>
          <w:szCs w:val="24"/>
        </w:rPr>
        <w:t xml:space="preserve">ый пункт (</w:t>
      </w:r>
      <w:r>
        <w:rPr>
          <w:sz w:val="24"/>
          <w:szCs w:val="24"/>
        </w:rPr>
        <w:t xml:space="preserve">место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для голосования в подвижном транспортном средстве: </w:t>
      </w:r>
      <w:r>
        <w:rPr>
          <w:sz w:val="24"/>
          <w:szCs w:val="24"/>
        </w:rPr>
        <w:t xml:space="preserve">служебное автотранспортное средство микроавтобус </w:t>
      </w:r>
      <w:r>
        <w:rPr>
          <w:sz w:val="24"/>
          <w:szCs w:val="24"/>
        </w:rPr>
        <w:t xml:space="preserve">Форд Транзит</w:t>
      </w:r>
      <w:r>
        <w:rPr>
          <w:sz w:val="24"/>
          <w:szCs w:val="24"/>
        </w:rPr>
        <w:t xml:space="preserve">, государственный регистрационный знак А</w:t>
      </w:r>
      <w:r>
        <w:rPr>
          <w:sz w:val="24"/>
          <w:szCs w:val="24"/>
        </w:rPr>
        <w:t xml:space="preserve">036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НЕ</w:t>
      </w:r>
      <w:r>
        <w:rPr>
          <w:sz w:val="24"/>
          <w:szCs w:val="24"/>
        </w:rPr>
        <w:t xml:space="preserve"> 51.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МКУ «Управление по обеспечению </w:t>
      </w:r>
      <w:r>
        <w:rPr>
          <w:sz w:val="24"/>
          <w:szCs w:val="24"/>
        </w:rPr>
        <w:t xml:space="preserve">деятельности </w:t>
      </w:r>
      <w:r>
        <w:rPr>
          <w:sz w:val="24"/>
          <w:szCs w:val="24"/>
        </w:rPr>
        <w:t xml:space="preserve">администрации Пе</w:t>
      </w:r>
      <w:r>
        <w:rPr>
          <w:sz w:val="24"/>
          <w:szCs w:val="24"/>
        </w:rPr>
        <w:t xml:space="preserve">ченгского округа» </w:t>
      </w:r>
      <w:r>
        <w:rPr>
          <w:sz w:val="24"/>
          <w:szCs w:val="24"/>
        </w:rPr>
        <w:t xml:space="preserve">(Рыжков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А.А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обеспечить резервн</w:t>
      </w:r>
      <w:r>
        <w:rPr>
          <w:sz w:val="24"/>
          <w:szCs w:val="24"/>
        </w:rPr>
        <w:t xml:space="preserve">ые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пункты (</w:t>
      </w:r>
      <w:r>
        <w:rPr>
          <w:sz w:val="24"/>
          <w:szCs w:val="24"/>
        </w:rPr>
        <w:t xml:space="preserve">помещени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места)</w:t>
      </w:r>
      <w:r>
        <w:rPr>
          <w:sz w:val="24"/>
          <w:szCs w:val="24"/>
        </w:rPr>
        <w:t xml:space="preserve"> для голосования техническим оборудованием, связью.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Настоящее постановление вступает в силу </w:t>
      </w:r>
      <w:r>
        <w:rPr>
          <w:sz w:val="24"/>
          <w:szCs w:val="24"/>
        </w:rPr>
        <w:t xml:space="preserve">после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его </w:t>
      </w:r>
      <w:r>
        <w:rPr>
          <w:sz w:val="24"/>
          <w:szCs w:val="24"/>
        </w:rPr>
        <w:t xml:space="preserve">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ind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54"/>
        <w:ind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</w:t>
      </w:r>
      <w:r>
        <w:rPr>
          <w:sz w:val="24"/>
          <w:szCs w:val="24"/>
        </w:rPr>
        <w:t xml:space="preserve">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ab/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left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</w:p>
    <w:p>
      <w:pPr>
        <w:jc w:val="left"/>
        <w:rPr>
          <w:b w:val="0"/>
          <w:bCs w:val="0"/>
          <w:color w:val="000000"/>
          <w:sz w:val="20"/>
          <w:szCs w:val="20"/>
        </w:rPr>
      </w:pPr>
      <w:r>
        <w:rPr>
          <w:b w:val="0"/>
          <w:bCs w:val="0"/>
          <w:color w:val="000000"/>
          <w:sz w:val="20"/>
          <w:szCs w:val="20"/>
        </w:rPr>
        <w:t xml:space="preserve">Исп. </w:t>
      </w:r>
      <w:r>
        <w:rPr>
          <w:b w:val="0"/>
          <w:bCs w:val="0"/>
          <w:color w:val="000000"/>
          <w:sz w:val="20"/>
          <w:szCs w:val="20"/>
        </w:rPr>
        <w:t xml:space="preserve">Рыжкова А.А., 25151</w:t>
      </w:r>
      <w:r>
        <w:rPr>
          <w:b w:val="0"/>
          <w:bCs w:val="0"/>
          <w:color w:val="000000"/>
          <w:sz w:val="20"/>
          <w:szCs w:val="20"/>
        </w:rPr>
      </w:r>
      <w:r>
        <w:rPr>
          <w:b w:val="0"/>
          <w:bCs w:val="0"/>
          <w:color w:val="000000"/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0" w:bottom="822" w:left="1701" w:header="720" w:footer="720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2"/>
  </w:num>
  <w:num w:numId="5">
    <w:abstractNumId w:val="1"/>
  </w:num>
  <w:num w:numId="6">
    <w:abstractNumId w:val="6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2">
    <w:name w:val="Heading 1 Char"/>
    <w:basedOn w:val="845"/>
    <w:link w:val="841"/>
    <w:uiPriority w:val="9"/>
    <w:rPr>
      <w:rFonts w:ascii="Arial" w:hAnsi="Arial" w:eastAsia="Arial" w:cs="Arial"/>
      <w:sz w:val="40"/>
      <w:szCs w:val="40"/>
    </w:rPr>
  </w:style>
  <w:style w:type="character" w:styleId="673">
    <w:name w:val="Heading 2 Char"/>
    <w:basedOn w:val="845"/>
    <w:link w:val="842"/>
    <w:uiPriority w:val="9"/>
    <w:rPr>
      <w:rFonts w:ascii="Arial" w:hAnsi="Arial" w:eastAsia="Arial" w:cs="Arial"/>
      <w:sz w:val="34"/>
    </w:rPr>
  </w:style>
  <w:style w:type="character" w:styleId="674">
    <w:name w:val="Heading 3 Char"/>
    <w:basedOn w:val="845"/>
    <w:link w:val="843"/>
    <w:uiPriority w:val="9"/>
    <w:rPr>
      <w:rFonts w:ascii="Arial" w:hAnsi="Arial" w:eastAsia="Arial" w:cs="Arial"/>
      <w:sz w:val="30"/>
      <w:szCs w:val="30"/>
    </w:rPr>
  </w:style>
  <w:style w:type="character" w:styleId="675">
    <w:name w:val="Heading 4 Char"/>
    <w:basedOn w:val="845"/>
    <w:link w:val="844"/>
    <w:uiPriority w:val="9"/>
    <w:rPr>
      <w:rFonts w:ascii="Arial" w:hAnsi="Arial" w:eastAsia="Arial" w:cs="Arial"/>
      <w:b/>
      <w:bCs/>
      <w:sz w:val="26"/>
      <w:szCs w:val="26"/>
    </w:rPr>
  </w:style>
  <w:style w:type="paragraph" w:styleId="676">
    <w:name w:val="Heading 5"/>
    <w:basedOn w:val="840"/>
    <w:next w:val="840"/>
    <w:link w:val="67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7">
    <w:name w:val="Heading 5 Char"/>
    <w:basedOn w:val="845"/>
    <w:link w:val="676"/>
    <w:uiPriority w:val="9"/>
    <w:rPr>
      <w:rFonts w:ascii="Arial" w:hAnsi="Arial" w:eastAsia="Arial" w:cs="Arial"/>
      <w:b/>
      <w:bCs/>
      <w:sz w:val="24"/>
      <w:szCs w:val="24"/>
    </w:rPr>
  </w:style>
  <w:style w:type="paragraph" w:styleId="678">
    <w:name w:val="Heading 6"/>
    <w:basedOn w:val="840"/>
    <w:next w:val="840"/>
    <w:link w:val="67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9">
    <w:name w:val="Heading 6 Char"/>
    <w:basedOn w:val="845"/>
    <w:link w:val="678"/>
    <w:uiPriority w:val="9"/>
    <w:rPr>
      <w:rFonts w:ascii="Arial" w:hAnsi="Arial" w:eastAsia="Arial" w:cs="Arial"/>
      <w:b/>
      <w:bCs/>
      <w:sz w:val="22"/>
      <w:szCs w:val="22"/>
    </w:rPr>
  </w:style>
  <w:style w:type="paragraph" w:styleId="680">
    <w:name w:val="Heading 7"/>
    <w:basedOn w:val="840"/>
    <w:next w:val="840"/>
    <w:link w:val="68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1">
    <w:name w:val="Heading 7 Char"/>
    <w:basedOn w:val="845"/>
    <w:link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2">
    <w:name w:val="Heading 8"/>
    <w:basedOn w:val="840"/>
    <w:next w:val="840"/>
    <w:link w:val="68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3">
    <w:name w:val="Heading 8 Char"/>
    <w:basedOn w:val="845"/>
    <w:link w:val="682"/>
    <w:uiPriority w:val="9"/>
    <w:rPr>
      <w:rFonts w:ascii="Arial" w:hAnsi="Arial" w:eastAsia="Arial" w:cs="Arial"/>
      <w:i/>
      <w:iCs/>
      <w:sz w:val="22"/>
      <w:szCs w:val="22"/>
    </w:rPr>
  </w:style>
  <w:style w:type="paragraph" w:styleId="684">
    <w:name w:val="Heading 9"/>
    <w:basedOn w:val="840"/>
    <w:next w:val="840"/>
    <w:link w:val="68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5">
    <w:name w:val="Heading 9 Char"/>
    <w:basedOn w:val="845"/>
    <w:link w:val="684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before="0" w:after="0" w:line="240" w:lineRule="auto"/>
    </w:pPr>
  </w:style>
  <w:style w:type="character" w:styleId="687">
    <w:name w:val="Title Char"/>
    <w:basedOn w:val="845"/>
    <w:link w:val="848"/>
    <w:uiPriority w:val="10"/>
    <w:rPr>
      <w:sz w:val="48"/>
      <w:szCs w:val="48"/>
    </w:rPr>
  </w:style>
  <w:style w:type="paragraph" w:styleId="688">
    <w:name w:val="Subtitle"/>
    <w:basedOn w:val="840"/>
    <w:next w:val="840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basedOn w:val="845"/>
    <w:link w:val="688"/>
    <w:uiPriority w:val="11"/>
    <w:rPr>
      <w:sz w:val="24"/>
      <w:szCs w:val="24"/>
    </w:rPr>
  </w:style>
  <w:style w:type="paragraph" w:styleId="690">
    <w:name w:val="Quote"/>
    <w:basedOn w:val="840"/>
    <w:next w:val="840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0"/>
    <w:next w:val="840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character" w:styleId="694">
    <w:name w:val="Header Char"/>
    <w:basedOn w:val="845"/>
    <w:link w:val="856"/>
    <w:uiPriority w:val="99"/>
  </w:style>
  <w:style w:type="character" w:styleId="695">
    <w:name w:val="Footer Char"/>
    <w:basedOn w:val="845"/>
    <w:link w:val="857"/>
    <w:uiPriority w:val="99"/>
  </w:style>
  <w:style w:type="paragraph" w:styleId="696">
    <w:name w:val="Caption"/>
    <w:basedOn w:val="840"/>
    <w:next w:val="8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857"/>
    <w:uiPriority w:val="99"/>
  </w:style>
  <w:style w:type="table" w:styleId="698">
    <w:name w:val="Table Grid Light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3">
    <w:name w:val="footnote text"/>
    <w:basedOn w:val="840"/>
    <w:link w:val="824"/>
    <w:uiPriority w:val="99"/>
    <w:semiHidden/>
    <w:unhideWhenUsed/>
    <w:pPr>
      <w:spacing w:after="40" w:line="240" w:lineRule="auto"/>
    </w:pPr>
    <w:rPr>
      <w:sz w:val="18"/>
    </w:rPr>
  </w:style>
  <w:style w:type="character" w:styleId="824">
    <w:name w:val="Footnote Text Char"/>
    <w:link w:val="823"/>
    <w:uiPriority w:val="99"/>
    <w:rPr>
      <w:sz w:val="18"/>
    </w:rPr>
  </w:style>
  <w:style w:type="character" w:styleId="825">
    <w:name w:val="footnote reference"/>
    <w:basedOn w:val="845"/>
    <w:uiPriority w:val="99"/>
    <w:unhideWhenUsed/>
    <w:rPr>
      <w:vertAlign w:val="superscript"/>
    </w:rPr>
  </w:style>
  <w:style w:type="paragraph" w:styleId="826">
    <w:name w:val="endnote text"/>
    <w:basedOn w:val="840"/>
    <w:link w:val="827"/>
    <w:uiPriority w:val="99"/>
    <w:semiHidden/>
    <w:unhideWhenUsed/>
    <w:pPr>
      <w:spacing w:after="0" w:line="240" w:lineRule="auto"/>
    </w:pPr>
    <w:rPr>
      <w:sz w:val="20"/>
    </w:rPr>
  </w:style>
  <w:style w:type="character" w:styleId="827">
    <w:name w:val="Endnote Text Char"/>
    <w:link w:val="826"/>
    <w:uiPriority w:val="99"/>
    <w:rPr>
      <w:sz w:val="20"/>
    </w:rPr>
  </w:style>
  <w:style w:type="character" w:styleId="828">
    <w:name w:val="endnote reference"/>
    <w:basedOn w:val="845"/>
    <w:uiPriority w:val="99"/>
    <w:semiHidden/>
    <w:unhideWhenUsed/>
    <w:rPr>
      <w:vertAlign w:val="superscript"/>
    </w:rPr>
  </w:style>
  <w:style w:type="paragraph" w:styleId="829">
    <w:name w:val="toc 1"/>
    <w:basedOn w:val="840"/>
    <w:next w:val="840"/>
    <w:uiPriority w:val="39"/>
    <w:unhideWhenUsed/>
    <w:pPr>
      <w:ind w:left="0" w:right="0" w:firstLine="0"/>
      <w:spacing w:after="57"/>
    </w:pPr>
  </w:style>
  <w:style w:type="paragraph" w:styleId="830">
    <w:name w:val="toc 2"/>
    <w:basedOn w:val="840"/>
    <w:next w:val="840"/>
    <w:uiPriority w:val="39"/>
    <w:unhideWhenUsed/>
    <w:pPr>
      <w:ind w:left="283" w:right="0" w:firstLine="0"/>
      <w:spacing w:after="57"/>
    </w:pPr>
  </w:style>
  <w:style w:type="paragraph" w:styleId="831">
    <w:name w:val="toc 3"/>
    <w:basedOn w:val="840"/>
    <w:next w:val="840"/>
    <w:uiPriority w:val="39"/>
    <w:unhideWhenUsed/>
    <w:pPr>
      <w:ind w:left="567" w:right="0" w:firstLine="0"/>
      <w:spacing w:after="57"/>
    </w:pPr>
  </w:style>
  <w:style w:type="paragraph" w:styleId="832">
    <w:name w:val="toc 4"/>
    <w:basedOn w:val="840"/>
    <w:next w:val="840"/>
    <w:uiPriority w:val="39"/>
    <w:unhideWhenUsed/>
    <w:pPr>
      <w:ind w:left="850" w:right="0" w:firstLine="0"/>
      <w:spacing w:after="57"/>
    </w:pPr>
  </w:style>
  <w:style w:type="paragraph" w:styleId="833">
    <w:name w:val="toc 5"/>
    <w:basedOn w:val="840"/>
    <w:next w:val="840"/>
    <w:uiPriority w:val="39"/>
    <w:unhideWhenUsed/>
    <w:pPr>
      <w:ind w:left="1134" w:right="0" w:firstLine="0"/>
      <w:spacing w:after="57"/>
    </w:pPr>
  </w:style>
  <w:style w:type="paragraph" w:styleId="834">
    <w:name w:val="toc 6"/>
    <w:basedOn w:val="840"/>
    <w:next w:val="840"/>
    <w:uiPriority w:val="39"/>
    <w:unhideWhenUsed/>
    <w:pPr>
      <w:ind w:left="1417" w:right="0" w:firstLine="0"/>
      <w:spacing w:after="57"/>
    </w:pPr>
  </w:style>
  <w:style w:type="paragraph" w:styleId="835">
    <w:name w:val="toc 7"/>
    <w:basedOn w:val="840"/>
    <w:next w:val="840"/>
    <w:uiPriority w:val="39"/>
    <w:unhideWhenUsed/>
    <w:pPr>
      <w:ind w:left="1701" w:right="0" w:firstLine="0"/>
      <w:spacing w:after="57"/>
    </w:pPr>
  </w:style>
  <w:style w:type="paragraph" w:styleId="836">
    <w:name w:val="toc 8"/>
    <w:basedOn w:val="840"/>
    <w:next w:val="840"/>
    <w:uiPriority w:val="39"/>
    <w:unhideWhenUsed/>
    <w:pPr>
      <w:ind w:left="1984" w:right="0" w:firstLine="0"/>
      <w:spacing w:after="57"/>
    </w:pPr>
  </w:style>
  <w:style w:type="paragraph" w:styleId="837">
    <w:name w:val="toc 9"/>
    <w:basedOn w:val="840"/>
    <w:next w:val="840"/>
    <w:uiPriority w:val="39"/>
    <w:unhideWhenUsed/>
    <w:pPr>
      <w:ind w:left="2268" w:right="0" w:firstLine="0"/>
      <w:spacing w:after="57"/>
    </w:pPr>
  </w:style>
  <w:style w:type="paragraph" w:styleId="838">
    <w:name w:val="TOC Heading"/>
    <w:uiPriority w:val="39"/>
    <w:unhideWhenUsed/>
  </w:style>
  <w:style w:type="paragraph" w:styleId="839">
    <w:name w:val="table of figures"/>
    <w:basedOn w:val="840"/>
    <w:next w:val="840"/>
    <w:uiPriority w:val="99"/>
    <w:unhideWhenUsed/>
    <w:pPr>
      <w:spacing w:after="0" w:afterAutospacing="0"/>
    </w:pPr>
  </w:style>
  <w:style w:type="paragraph" w:styleId="840" w:default="1">
    <w:name w:val="Normal"/>
    <w:qFormat/>
  </w:style>
  <w:style w:type="paragraph" w:styleId="841">
    <w:name w:val="Heading 1"/>
    <w:basedOn w:val="840"/>
    <w:next w:val="840"/>
    <w:qFormat/>
    <w:pPr>
      <w:jc w:val="right"/>
      <w:keepNext/>
      <w:widowControl w:val="off"/>
      <w:outlineLvl w:val="0"/>
    </w:pPr>
    <w:rPr>
      <w:rFonts w:ascii="Arial" w:hAnsi="Arial"/>
      <w:i/>
    </w:rPr>
  </w:style>
  <w:style w:type="paragraph" w:styleId="842">
    <w:name w:val="Heading 2"/>
    <w:basedOn w:val="840"/>
    <w:next w:val="840"/>
    <w:qFormat/>
    <w:pPr>
      <w:keepNext/>
      <w:tabs>
        <w:tab w:val="left" w:pos="2520" w:leader="none"/>
      </w:tabs>
      <w:outlineLvl w:val="1"/>
    </w:pPr>
    <w:rPr>
      <w:sz w:val="26"/>
      <w:szCs w:val="28"/>
    </w:rPr>
  </w:style>
  <w:style w:type="paragraph" w:styleId="843">
    <w:name w:val="Heading 3"/>
    <w:basedOn w:val="840"/>
    <w:next w:val="840"/>
    <w:qFormat/>
    <w:pPr>
      <w:keepNext/>
      <w:tabs>
        <w:tab w:val="left" w:pos="2520" w:leader="none"/>
      </w:tabs>
      <w:outlineLvl w:val="2"/>
    </w:pPr>
    <w:rPr>
      <w:i/>
      <w:iCs/>
      <w:sz w:val="18"/>
    </w:rPr>
  </w:style>
  <w:style w:type="paragraph" w:styleId="844">
    <w:name w:val="Heading 4"/>
    <w:basedOn w:val="840"/>
    <w:next w:val="840"/>
    <w:qFormat/>
    <w:pPr>
      <w:keepNext/>
      <w:spacing w:before="680"/>
      <w:outlineLvl w:val="3"/>
    </w:pPr>
    <w:rPr>
      <w:b/>
      <w:bCs/>
      <w:sz w:val="26"/>
    </w:rPr>
  </w:style>
  <w:style w:type="character" w:styleId="845" w:default="1">
    <w:name w:val="Default Paragraph Font"/>
    <w:uiPriority w:val="1"/>
    <w:semiHidden/>
    <w:unhideWhenUsed/>
  </w:style>
  <w:style w:type="table" w:styleId="84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7" w:default="1">
    <w:name w:val="No List"/>
    <w:uiPriority w:val="99"/>
    <w:semiHidden/>
    <w:unhideWhenUsed/>
  </w:style>
  <w:style w:type="paragraph" w:styleId="848">
    <w:name w:val="Title"/>
    <w:basedOn w:val="840"/>
    <w:qFormat/>
    <w:pPr>
      <w:jc w:val="center"/>
    </w:pPr>
    <w:rPr>
      <w:sz w:val="32"/>
    </w:rPr>
  </w:style>
  <w:style w:type="paragraph" w:styleId="849">
    <w:name w:val="Balloon Text"/>
    <w:basedOn w:val="840"/>
    <w:semiHidden/>
    <w:rPr>
      <w:rFonts w:ascii="Tahoma" w:hAnsi="Tahoma" w:cs="Tahoma"/>
      <w:sz w:val="16"/>
      <w:szCs w:val="16"/>
    </w:rPr>
  </w:style>
  <w:style w:type="paragraph" w:styleId="850">
    <w:name w:val="Body Text 2"/>
    <w:basedOn w:val="840"/>
    <w:pPr>
      <w:spacing w:after="120" w:line="480" w:lineRule="auto"/>
    </w:pPr>
    <w:rPr>
      <w:sz w:val="26"/>
    </w:rPr>
  </w:style>
  <w:style w:type="paragraph" w:styleId="851" w:customStyle="1">
    <w:name w:val="çàãîëîâîê 2"/>
    <w:basedOn w:val="840"/>
    <w:next w:val="840"/>
    <w:pPr>
      <w:jc w:val="center"/>
      <w:keepNext/>
      <w:spacing w:before="60"/>
    </w:pPr>
    <w:rPr>
      <w:rFonts w:ascii="Arial" w:hAnsi="Arial"/>
      <w:b/>
      <w:spacing w:val="22"/>
    </w:rPr>
  </w:style>
  <w:style w:type="paragraph" w:styleId="852">
    <w:name w:val="Body Text Indent"/>
    <w:basedOn w:val="840"/>
    <w:pPr>
      <w:ind w:firstLine="480"/>
    </w:pPr>
    <w:rPr>
      <w:sz w:val="26"/>
      <w:szCs w:val="28"/>
    </w:rPr>
  </w:style>
  <w:style w:type="paragraph" w:styleId="853">
    <w:name w:val="Body Text"/>
    <w:basedOn w:val="840"/>
    <w:pPr>
      <w:jc w:val="both"/>
      <w:tabs>
        <w:tab w:val="left" w:pos="2520" w:leader="none"/>
      </w:tabs>
    </w:pPr>
    <w:rPr>
      <w:sz w:val="24"/>
    </w:rPr>
  </w:style>
  <w:style w:type="paragraph" w:styleId="854">
    <w:name w:val="Body Text 3"/>
    <w:basedOn w:val="840"/>
    <w:link w:val="861"/>
    <w:pPr>
      <w:jc w:val="both"/>
      <w:tabs>
        <w:tab w:val="left" w:pos="2520" w:leader="none"/>
      </w:tabs>
    </w:pPr>
    <w:rPr>
      <w:sz w:val="26"/>
    </w:rPr>
  </w:style>
  <w:style w:type="table" w:styleId="855">
    <w:name w:val="Table Grid"/>
    <w:basedOn w:val="846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56">
    <w:name w:val="Header"/>
    <w:basedOn w:val="840"/>
    <w:pPr>
      <w:tabs>
        <w:tab w:val="center" w:pos="4677" w:leader="none"/>
        <w:tab w:val="right" w:pos="9355" w:leader="none"/>
      </w:tabs>
    </w:pPr>
  </w:style>
  <w:style w:type="paragraph" w:styleId="857">
    <w:name w:val="Footer"/>
    <w:basedOn w:val="840"/>
    <w:pPr>
      <w:tabs>
        <w:tab w:val="center" w:pos="4677" w:leader="none"/>
        <w:tab w:val="right" w:pos="9355" w:leader="none"/>
      </w:tabs>
    </w:pPr>
  </w:style>
  <w:style w:type="character" w:styleId="858">
    <w:name w:val="page number"/>
    <w:basedOn w:val="845"/>
  </w:style>
  <w:style w:type="paragraph" w:styleId="859" w:customStyle="1">
    <w:name w:val="ConsPlusNormal"/>
    <w:uiPriority w:val="99"/>
    <w:rPr>
      <w:sz w:val="24"/>
      <w:szCs w:val="24"/>
    </w:rPr>
  </w:style>
  <w:style w:type="paragraph" w:styleId="860">
    <w:name w:val="Normal (Web)"/>
    <w:basedOn w:val="840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61" w:customStyle="1">
    <w:name w:val="Основной текст 3 Знак"/>
    <w:link w:val="854"/>
    <w:rPr>
      <w:sz w:val="26"/>
    </w:rPr>
  </w:style>
  <w:style w:type="paragraph" w:styleId="862">
    <w:name w:val="List Paragraph"/>
    <w:basedOn w:val="840"/>
    <w:uiPriority w:val="34"/>
    <w:qFormat/>
    <w:pPr>
      <w:ind w:left="708"/>
    </w:pPr>
  </w:style>
  <w:style w:type="character" w:styleId="863">
    <w:name w:val="Hyperlink"/>
    <w:rPr>
      <w:color w:val="0000ff"/>
      <w:u w:val="single"/>
    </w:rPr>
  </w:style>
  <w:style w:type="paragraph" w:styleId="864" w:customStyle="1">
    <w:name w:val="ConsPlusNonformat"/>
    <w:uiPriority w:val="99"/>
    <w:rPr>
      <w:rFonts w:ascii="Courier New" w:hAnsi="Courier New" w:cs="Courier New"/>
    </w:rPr>
  </w:style>
  <w:style w:type="character" w:styleId="865" w:customStyle="1">
    <w:name w:val="highlight highlight_active"/>
    <w:uiPriority w:val="99"/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F69C62-9866-4559-BC9C-329008520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1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4</cp:revision>
  <dcterms:created xsi:type="dcterms:W3CDTF">2024-06-26T08:42:00Z</dcterms:created>
  <dcterms:modified xsi:type="dcterms:W3CDTF">2024-07-08T07:27:29Z</dcterms:modified>
</cp:coreProperties>
</file>