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от</w:t>
      </w:r>
      <w:r>
        <w:rPr>
          <w:rFonts w:eastAsia="Times New Roman"/>
          <w:b/>
          <w:color w:val="000000"/>
          <w:sz w:val="24"/>
        </w:rPr>
        <w:t xml:space="preserve"> 02.07.2024 </w:t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 xml:space="preserve"> № 1076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4"/>
        </w:rPr>
        <w:t xml:space="preserve">п.г.т. Никель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pStyle w:val="874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О внесении изменений в примерное положение об оплате труда работников </w:t>
      </w:r>
      <w:r>
        <w:rPr>
          <w:rFonts w:ascii="Times New Roman" w:hAnsi="Times New Roman" w:cs="Times New Roman"/>
          <w:sz w:val="20"/>
        </w:rPr>
        <w:br/>
        <w:t xml:space="preserve">муниципальных бюджетных и автономных учреждений, подведомственных отделу образования 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4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администрации Печенгского муниципального округа, утвержденное постановлением </w:t>
      </w:r>
      <w:r>
        <w:rPr>
          <w:rFonts w:ascii="Times New Roman" w:hAnsi="Times New Roman" w:cs="Times New Roman"/>
          <w:sz w:val="20"/>
        </w:rPr>
        <w:br/>
        <w:t xml:space="preserve">администрации Печенгского муниципального округа от 09.03.2022 № 307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0"/>
        <w:ind w:firstLine="700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постановлением Правительства Мурманской области от 22.04.2024 </w:t>
      </w:r>
      <w:r>
        <w:rPr>
          <w:sz w:val="24"/>
          <w:szCs w:val="24"/>
        </w:rPr>
        <w:br/>
        <w:t xml:space="preserve">№ 257-ПП «О внесении изменений в некоторые постановления Правительства Мурманской области»,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96"/>
        <w:numPr>
          <w:ilvl w:val="0"/>
          <w:numId w:val="2"/>
        </w:numPr>
        <w:ind w:left="0" w:firstLine="709"/>
        <w:jc w:val="both"/>
        <w:widowControl w:val="off"/>
        <w:tabs>
          <w:tab w:val="left" w:pos="992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 Внести в </w:t>
      </w:r>
      <w:r>
        <w:rPr>
          <w:bCs/>
          <w:iCs/>
          <w:sz w:val="24"/>
          <w:szCs w:val="24"/>
        </w:rPr>
        <w:t xml:space="preserve">примерное Положение об оплате труда работников муниципальных бюджетных и автономных учреждений</w:t>
      </w:r>
      <w:r>
        <w:rPr>
          <w:bCs/>
          <w:iCs/>
          <w:sz w:val="24"/>
          <w:szCs w:val="24"/>
        </w:rPr>
        <w:t xml:space="preserve">, подведомственных отделу образования администрации Печенгского муниципального округа, утвержденное постановлением администрации Печенгского муниципального округа от 09.03.2022 № 307 (в редакции постановлений администрации Печенгского муниципального округа</w:t>
      </w:r>
      <w:r>
        <w:rPr>
          <w:bCs/>
          <w:iCs/>
          <w:sz w:val="24"/>
          <w:szCs w:val="24"/>
        </w:rPr>
        <w:t xml:space="preserve"> от 25.04.2022 № 576, от 15.09.2022 №1229, </w:t>
      </w:r>
      <w:r>
        <w:rPr>
          <w:bCs/>
          <w:iCs/>
          <w:sz w:val="24"/>
          <w:szCs w:val="24"/>
        </w:rPr>
        <w:t xml:space="preserve">от 16.08.2023 № 1181, от </w:t>
      </w:r>
      <w:r>
        <w:rPr>
          <w:sz w:val="24"/>
        </w:rPr>
        <w:t xml:space="preserve">17.10.2023 № 1535, </w:t>
      </w:r>
      <w:r>
        <w:rPr>
          <w:sz w:val="24"/>
          <w:szCs w:val="24"/>
        </w:rPr>
        <w:t xml:space="preserve">от 24.01.2024 № 104</w:t>
      </w:r>
      <w:r>
        <w:rPr>
          <w:bCs/>
          <w:iCs/>
          <w:sz w:val="24"/>
          <w:szCs w:val="24"/>
        </w:rPr>
        <w:t xml:space="preserve">) (далее - Положение), следующие изменения: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696"/>
        <w:ind w:left="0" w:right="0" w:firstLine="709"/>
        <w:jc w:val="both"/>
        <w:widowControl w:val="off"/>
        <w:tabs>
          <w:tab w:val="left" w:pos="992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Приложение № 3 к Положению изложить в новой редакции согласно Приложению</w:t>
      </w:r>
      <w:r>
        <w:rPr>
          <w:sz w:val="24"/>
          <w:szCs w:val="24"/>
        </w:rPr>
        <w:t xml:space="preserve"> № 1 к настоящему постановлению.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889"/>
        <w:numPr>
          <w:ilvl w:val="0"/>
          <w:numId w:val="2"/>
        </w:numPr>
        <w:ind w:left="0" w:firstLine="709"/>
        <w:jc w:val="both"/>
        <w:tabs>
          <w:tab w:val="left" w:pos="99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Настоящее постановление вступает в силу после его опубликования в газете «Печенга» и распространяется на правоотношения, возникшие с 01.03.2024.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numPr>
          <w:ilvl w:val="0"/>
          <w:numId w:val="2"/>
        </w:numPr>
        <w:ind w:left="0" w:firstLine="709"/>
        <w:jc w:val="both"/>
        <w:tabs>
          <w:tab w:val="left" w:pos="99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Настоящее постановление разместить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Морозова М.Е., 5-01-79</w:t>
      </w:r>
      <w:r/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02.07.2024 № 1076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ind w:left="5529" w:firstLine="708"/>
        <w:rPr>
          <w:rFonts w:ascii="Times New Roman" w:hAnsi="Times New Roman" w:cs="Times New Roman"/>
          <w:sz w:val="24"/>
          <w:szCs w:val="24"/>
        </w:rPr>
        <w:outlineLvl w:val="1"/>
      </w:pPr>
      <w:r/>
      <w:bookmarkStart w:id="0" w:name="P42"/>
      <w:r/>
      <w:bookmarkEnd w:id="0"/>
      <w:r>
        <w:rPr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Приложение № 3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ind w:left="62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РАЗМЕРЫ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7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 компенсационного характера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58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6917"/>
        <w:gridCol w:w="2670"/>
      </w:tblGrid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Виды выплат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Максимальный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размер выплат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gridSpan w:val="2"/>
            <w:tcW w:w="9587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  <w:outlineLvl w:val="2"/>
            </w:pPr>
            <w:r>
              <w:rPr>
                <w:rFonts w:ascii="Times New Roman" w:hAnsi="Times New Roman" w:cs="Times New Roman"/>
                <w:sz w:val="20"/>
              </w:rPr>
              <w:t xml:space="preserve">1. За труд в особых условиях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1.1. За труд во вредных и опасных условиях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В соответствии со </w:t>
            </w:r>
            <w:hyperlink r:id="rId11" w:tooltip="consultantplus://offline/ref=EBA2D2314CD3F0D8C73A7E22A3A54FF4DB580C47DCE22C6FE708DD05B8EF8C126161C3F7AC529F19E0181113AAF266B2C85F7D6393F5FD72MBoEJ" w:history="1">
              <w:r>
                <w:rPr>
                  <w:rFonts w:ascii="Times New Roman" w:hAnsi="Times New Roman" w:cs="Times New Roman"/>
                  <w:sz w:val="20"/>
                </w:rPr>
                <w:t xml:space="preserve">ст. 147</w:t>
              </w:r>
            </w:hyperlink>
            <w:r>
              <w:rPr>
                <w:rFonts w:ascii="Times New Roman" w:hAnsi="Times New Roman" w:cs="Times New Roman"/>
                <w:sz w:val="20"/>
              </w:rPr>
              <w:t xml:space="preserve"> ТК РФ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работы по хлорированию воды, с приготовлением дезинфицирующих растворов, а также с их применением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10 %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работа за дисплеями ЭВМ, ПК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12 %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работы по стирке белья вручную с использованием моющих и дезинфицирующих средств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12 %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работы, проводимые в теплицах в условиях повышенной температурной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12 %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работа у горячих плит, электрожаровых шкафов и других аппаратов для жарения и выпечки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12 %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погрузочно-разгрузочные работы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12 %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работы, связанные с разделкой, обрезкой мяса, рыбы, резкой и чисткой лука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12 %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стирка, сушка и глажение спецодежды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12 %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работы с использованием химических реактивов, а также их хранением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12 %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работа на деревообрабатывающих металлообрабатывающих станках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12 %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1.2. В местностях с особыми климатическими условиями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В соответствии с законодательством РФ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gridSpan w:val="2"/>
            <w:tcW w:w="9587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  <w:outlineLvl w:val="2"/>
            </w:pPr>
            <w:r>
              <w:rPr>
                <w:rFonts w:ascii="Times New Roman" w:hAnsi="Times New Roman" w:cs="Times New Roman"/>
                <w:sz w:val="20"/>
              </w:rPr>
              <w:t xml:space="preserve">2. За труд в условиях труда, отклоняющихся от нормальных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2.1. За работу в ночное время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35 %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2.2. За работу в выходные и праздничные дни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В соответствии со </w:t>
            </w:r>
            <w:hyperlink r:id="rId12" w:tooltip="consultantplus://offline/ref=EBA2D2314CD3F0D8C73A7E22A3A54FF4DB580C47DCE22C6FE708DD05B8EF8C126161C3F1AD55914FB657104FEDA775B1CD5F7F668CMFoEJ" w:history="1">
              <w:r>
                <w:rPr>
                  <w:rFonts w:ascii="Times New Roman" w:hAnsi="Times New Roman" w:cs="Times New Roman"/>
                  <w:sz w:val="20"/>
                </w:rPr>
                <w:t xml:space="preserve">ст. 153</w:t>
              </w:r>
            </w:hyperlink>
            <w:r>
              <w:rPr>
                <w:rFonts w:ascii="Times New Roman" w:hAnsi="Times New Roman" w:cs="Times New Roman"/>
                <w:sz w:val="20"/>
              </w:rPr>
              <w:t xml:space="preserve"> ТК РФ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2.3. За сверхурочную работу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В соответствии со </w:t>
            </w:r>
            <w:hyperlink r:id="rId13" w:tooltip="consultantplus://offline/ref=EBA2D2314CD3F0D8C73A7E22A3A54FF4DB580C47DCE22C6FE708DD05B8EF8C126161C3F1AD52914FB657104FEDA775B1CD5F7F668CMFoEJ" w:history="1">
              <w:r>
                <w:rPr>
                  <w:rFonts w:ascii="Times New Roman" w:hAnsi="Times New Roman" w:cs="Times New Roman"/>
                  <w:sz w:val="20"/>
                </w:rPr>
                <w:t xml:space="preserve">ст. 152</w:t>
              </w:r>
            </w:hyperlink>
            <w:r>
              <w:rPr>
                <w:rFonts w:ascii="Times New Roman" w:hAnsi="Times New Roman" w:cs="Times New Roman"/>
                <w:sz w:val="20"/>
              </w:rPr>
              <w:t xml:space="preserve"> ТК РФ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2.4. За совмещение профессий, расширение зон обслуживания, увеличение объема работы, исполнение обязанностей временно отсутствующего работника, на замену лиц, уходящих в отпуск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По соглашению сторон трудового договора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gridSpan w:val="2"/>
            <w:tcW w:w="9587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  <w:outlineLvl w:val="2"/>
            </w:pPr>
            <w:r>
              <w:rPr>
                <w:rFonts w:ascii="Times New Roman" w:hAnsi="Times New Roman" w:cs="Times New Roman"/>
                <w:sz w:val="20"/>
              </w:rPr>
              <w:t xml:space="preserve">3. За работу с иными особыми условиями труда &lt;*&gt;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3.1. За работу с детьми с отклонениями в развитии речи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20 %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3.2. За работу с детьми-инвалидами в общеразвивающих группах (классах)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10 - 15 %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3.3. </w:t>
            </w:r>
            <w:hyperlink w:tooltip="#P713" w:anchor="P713" w:history="1">
              <w:r>
                <w:rPr>
                  <w:rFonts w:ascii="Times New Roman" w:hAnsi="Times New Roman" w:cs="Times New Roman"/>
                  <w:sz w:val="20"/>
                </w:rPr>
                <w:t xml:space="preserve">&lt;*&gt;</w:t>
              </w:r>
            </w:hyperlink>
            <w:r>
              <w:rPr>
                <w:rFonts w:ascii="Times New Roman" w:hAnsi="Times New Roman" w:cs="Times New Roman"/>
                <w:sz w:val="20"/>
              </w:rPr>
              <w:t xml:space="preserve"> За проверку письменных работ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в 1 - 4 классах, по математике, иностранному языку, истории и обществознанию, физике, химии, биологии, географии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10%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по русскому языку и литературе (чтению и письму)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15%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3.4. </w:t>
            </w:r>
            <w:hyperlink w:tooltip="#P718" w:anchor="P718" w:history="1">
              <w:r>
                <w:rPr>
                  <w:rFonts w:ascii="Times New Roman" w:hAnsi="Times New Roman" w:cs="Times New Roman"/>
                  <w:sz w:val="20"/>
                </w:rPr>
                <w:t xml:space="preserve">&lt;*&gt;</w:t>
              </w:r>
            </w:hyperlink>
            <w:r>
              <w:rPr>
                <w:rFonts w:ascii="Times New Roman" w:hAnsi="Times New Roman" w:cs="Times New Roman"/>
                <w:sz w:val="20"/>
              </w:rPr>
              <w:t xml:space="preserve"> За заведование учебными кабинетами, учебными мастерскими, теплицами (учебная мастерская по обработке древесины, учебная мастерская по обработке металла, кабинет обслуживающего труда)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10% - 25%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3.5. </w:t>
            </w:r>
            <w:hyperlink w:tooltip="#P719" w:anchor="P719" w:history="1">
              <w:r>
                <w:rPr>
                  <w:rFonts w:ascii="Times New Roman" w:hAnsi="Times New Roman" w:cs="Times New Roman"/>
                  <w:sz w:val="20"/>
                </w:rPr>
                <w:t xml:space="preserve">&lt;*&gt;</w:t>
              </w:r>
            </w:hyperlink>
            <w:r>
              <w:rPr>
                <w:rFonts w:ascii="Times New Roman" w:hAnsi="Times New Roman" w:cs="Times New Roman"/>
                <w:sz w:val="20"/>
              </w:rPr>
              <w:t xml:space="preserve"> Руководство методическим объединением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15%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3.6.  </w:t>
            </w:r>
            <w:hyperlink w:tooltip="#P729" w:anchor="P729" w:history="1">
              <w:r>
                <w:rPr>
                  <w:rFonts w:ascii="Times New Roman" w:hAnsi="Times New Roman" w:cs="Times New Roman"/>
                  <w:sz w:val="20"/>
                </w:rPr>
                <w:t xml:space="preserve">&lt;*&gt;</w:t>
              </w:r>
            </w:hyperlink>
            <w:r>
              <w:rPr>
                <w:rFonts w:ascii="Times New Roman" w:hAnsi="Times New Roman" w:cs="Times New Roman"/>
                <w:sz w:val="20"/>
              </w:rPr>
              <w:t xml:space="preserve"> Ежемесячное вознаграждение за выполнение функций классного руководителя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х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tcW w:w="6917" w:type="dxa"/>
            <w:vAlign w:val="center"/>
            <w:textDirection w:val="lrTb"/>
            <w:noWrap w:val="false"/>
          </w:tcPr>
          <w:p>
            <w:pPr>
              <w:pStyle w:val="872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3.7.  </w:t>
            </w:r>
            <w:hyperlink w:tooltip="#P729" w:anchor="P729" w:history="1">
              <w:r>
                <w:rPr>
                  <w:rFonts w:ascii="Times New Roman" w:hAnsi="Times New Roman" w:cs="Times New Roman"/>
                  <w:sz w:val="20"/>
                </w:rPr>
                <w:t xml:space="preserve">&lt;*&gt;</w:t>
              </w:r>
            </w:hyperlink>
            <w:r>
              <w:rPr>
                <w:rFonts w:ascii="Times New Roman" w:hAnsi="Times New Roman" w:cs="Times New Roman"/>
                <w:sz w:val="20"/>
              </w:rPr>
              <w:t xml:space="preserve"> Ежемесячное вознаграждение за классное руководство педагогическим работникам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tcW w:w="2670" w:type="dxa"/>
            <w:vAlign w:val="center"/>
            <w:textDirection w:val="lrTb"/>
            <w:noWrap w:val="false"/>
          </w:tcPr>
          <w:p>
            <w:pPr>
              <w:pStyle w:val="87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х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</w:tbl>
    <w:p>
      <w:pPr>
        <w:pStyle w:val="872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--------------------------------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ind w:firstLine="540"/>
        <w:jc w:val="both"/>
        <w:spacing w:before="22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Примечание: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2"/>
        <w:ind w:firstLine="540"/>
        <w:jc w:val="both"/>
        <w:spacing w:before="22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&lt;*&gt; Доплата устанавливается к должностному окладу без учета повышающего коэффициента за квалификационную категорию.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2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3.3. &lt;*&gt; Доплата устанавливается в процентах к должностному окладу, при этом в классах с числом учащихся менее 15 человек выплата осуществляется в половинном размере.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2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- учителям 1-4 классов доплата устанавливается независимо от объема учебной нагрузки;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2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- учителям 1-4 классов, ведущим индивидуальные занятия с учащимися на дому, а также групповые и индивидуальные занятия в больнице не устанавливается;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2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- учителям 5-11 классов, а также 1-4 классов по предмету иностранный язык выплата устанавливается с учетом объема учебной нагрузки, включая индивидуальные занятия с учащимися на дому, а также групповые и индивидуальные занятия в больнице.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2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3.4. &lt;*&gt; Доплата производится за одну мастерскую независимо от количества расположенных в ней помещений. На одного работника могут возлагаться обязанност</w:t>
      </w:r>
      <w:r>
        <w:rPr>
          <w:rFonts w:ascii="Times New Roman" w:hAnsi="Times New Roman" w:cs="Times New Roman"/>
          <w:sz w:val="20"/>
        </w:rPr>
        <w:t xml:space="preserve">и мастера не более чем в двух мастерских по одному учреждению, с доплатой за каждую мастерскую. Выплата устанавливается в процентах к должностному окладу, с учетом повышающего коэффициента за работу в сельских населенных пунктах и поселках городского типа.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2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3.5.&lt;*&gt; Доплата устанавливается в процентах к должностному окладу, с учетом повышающего коэффициента за работу в сельских населенных пунктах и поселках городского типа.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2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3.6. &lt;*&gt; Сумма ежемесячного вознаграждения за выполнение функций классного руководителя рассчитывается по следующей формуле: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2"/>
        <w:ind w:left="540"/>
        <w:jc w:val="both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</w:rPr>
      </w:r>
      <w:r>
        <w:rPr>
          <w:rFonts w:ascii="Times New Roman" w:hAnsi="Times New Roman" w:cs="Times New Roman"/>
          <w:i/>
          <w:sz w:val="20"/>
        </w:rPr>
      </w:r>
      <w:r>
        <w:rPr>
          <w:rFonts w:ascii="Times New Roman" w:hAnsi="Times New Roman" w:cs="Times New Roman"/>
          <w:i/>
          <w:sz w:val="20"/>
        </w:rPr>
      </w:r>
    </w:p>
    <w:p>
      <w:pPr>
        <w:pStyle w:val="872"/>
        <w:ind w:left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i/>
          <w:sz w:val="20"/>
        </w:rPr>
        <w:t xml:space="preserve">С клр=(8000 руб/</w:t>
      </w:r>
      <w:r>
        <w:rPr>
          <w:rFonts w:ascii="Times New Roman" w:hAnsi="Times New Roman" w:cs="Times New Roman"/>
          <w:i/>
          <w:sz w:val="20"/>
          <w:lang w:val="en-US"/>
        </w:rPr>
        <w:t xml:space="preserve">m</w:t>
      </w:r>
      <w:r>
        <w:rPr>
          <w:rFonts w:ascii="Times New Roman" w:hAnsi="Times New Roman" w:cs="Times New Roman"/>
          <w:i/>
          <w:sz w:val="20"/>
        </w:rPr>
        <w:t xml:space="preserve">)*</w:t>
      </w:r>
      <w:r>
        <w:rPr>
          <w:rFonts w:ascii="Times New Roman" w:hAnsi="Times New Roman" w:cs="Times New Roman"/>
          <w:i/>
          <w:sz w:val="20"/>
          <w:lang w:val="en-US"/>
        </w:rPr>
        <w:t xml:space="preserve">n</w:t>
      </w:r>
      <w:r>
        <w:rPr>
          <w:rFonts w:ascii="Times New Roman" w:hAnsi="Times New Roman" w:cs="Times New Roman"/>
          <w:i/>
          <w:sz w:val="20"/>
        </w:rPr>
        <w:t xml:space="preserve">, </w:t>
      </w:r>
      <w:r>
        <w:rPr>
          <w:rFonts w:ascii="Times New Roman" w:hAnsi="Times New Roman" w:cs="Times New Roman"/>
          <w:sz w:val="20"/>
        </w:rPr>
        <w:t xml:space="preserve">где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2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2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8000 руб. - размер денежного вознаграждения в месяц (вк</w:t>
      </w:r>
      <w:r>
        <w:rPr>
          <w:rFonts w:ascii="Times New Roman" w:hAnsi="Times New Roman" w:cs="Times New Roman"/>
          <w:sz w:val="20"/>
        </w:rPr>
        <w:t xml:space="preserve">лючая районный коэффициент и процентную надбавку за стаж работы в районах крайнего Севера) за классное руководство в классе с наполняемостью не менее 25 человек для общеобразовательных классов, не менее 12 человек для коррекционных, компенсирующих классов;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2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m - наполняемость класса, установленная в соответствии с законодательством Российской Федерации в области образования (25 человек для общеобразовательных классов, 12 человек для коррекционных, компенсирующих классов);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2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n - количество обучающихся в классе (определяется ежемесячно до 20 числа текущего месяца).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2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Вознаграждение выплачивается педагогическим работникам, на которых приказом с их письменного согласия, дополнительно возложены функции классного руководителя по организации и координации воспитательной работы с обучающимися в конкретном классе (классах).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2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Педагогический работник, выполняющий ф</w:t>
      </w:r>
      <w:r>
        <w:rPr>
          <w:rFonts w:ascii="Times New Roman" w:hAnsi="Times New Roman" w:cs="Times New Roman"/>
          <w:sz w:val="20"/>
        </w:rPr>
        <w:t xml:space="preserve">ункции классного руководителя одновременно в двух и более классах, вправе получать денежное вознаграждение только за одно классное руководство. Денежное вознаграждение выплачивается педагогическому работнику пропорционально отработанному рабочему времени».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74"/>
        <w:ind w:firstLine="700"/>
        <w:jc w:val="both"/>
        <w:rPr>
          <w:rFonts w:ascii="Times New Roman" w:hAnsi="Times New Roman" w:cs="Times New Roman"/>
          <w:b w:val="0"/>
          <w:sz w:val="20"/>
        </w:rPr>
      </w:pPr>
      <w:r>
        <w:rPr>
          <w:rFonts w:ascii="Times New Roman" w:hAnsi="Times New Roman" w:cs="Times New Roman"/>
          <w:b w:val="0"/>
          <w:sz w:val="20"/>
        </w:rPr>
        <w:t xml:space="preserve">3.7. Ежемесячное денежное вознаграждение за классное руководство педагогическим работникам устанавливается в размере:</w:t>
      </w:r>
      <w:r>
        <w:rPr>
          <w:rFonts w:ascii="Times New Roman" w:hAnsi="Times New Roman" w:cs="Times New Roman"/>
          <w:b w:val="0"/>
          <w:sz w:val="20"/>
        </w:rPr>
      </w:r>
      <w:r>
        <w:rPr>
          <w:rFonts w:ascii="Times New Roman" w:hAnsi="Times New Roman" w:cs="Times New Roman"/>
          <w:b w:val="0"/>
          <w:sz w:val="20"/>
        </w:rPr>
      </w:r>
    </w:p>
    <w:p>
      <w:pPr>
        <w:pStyle w:val="874"/>
        <w:ind w:firstLine="700"/>
        <w:jc w:val="both"/>
        <w:rPr>
          <w:rFonts w:ascii="Times New Roman" w:hAnsi="Times New Roman" w:cs="Times New Roman"/>
          <w:b w:val="0"/>
          <w:sz w:val="20"/>
        </w:rPr>
      </w:pPr>
      <w:r>
        <w:rPr>
          <w:rFonts w:ascii="Times New Roman" w:hAnsi="Times New Roman" w:cs="Times New Roman"/>
          <w:b w:val="0"/>
          <w:sz w:val="20"/>
        </w:rPr>
        <w:t xml:space="preserve">- 5 000 рублей в месяц в населенных пунктах с численностью населения 100 тысяч человек  более;</w:t>
      </w:r>
      <w:r>
        <w:rPr>
          <w:rFonts w:ascii="Times New Roman" w:hAnsi="Times New Roman" w:cs="Times New Roman"/>
          <w:b w:val="0"/>
          <w:sz w:val="20"/>
        </w:rPr>
      </w:r>
      <w:r>
        <w:rPr>
          <w:rFonts w:ascii="Times New Roman" w:hAnsi="Times New Roman" w:cs="Times New Roman"/>
          <w:b w:val="0"/>
          <w:sz w:val="20"/>
        </w:rPr>
      </w:r>
    </w:p>
    <w:p>
      <w:pPr>
        <w:pStyle w:val="874"/>
        <w:ind w:firstLine="700"/>
        <w:jc w:val="both"/>
        <w:rPr>
          <w:rFonts w:ascii="Times New Roman" w:hAnsi="Times New Roman" w:cs="Times New Roman"/>
          <w:b w:val="0"/>
          <w:sz w:val="20"/>
        </w:rPr>
      </w:pPr>
      <w:r>
        <w:rPr>
          <w:rFonts w:ascii="Times New Roman" w:hAnsi="Times New Roman" w:cs="Times New Roman"/>
          <w:b w:val="0"/>
          <w:sz w:val="20"/>
        </w:rPr>
        <w:t xml:space="preserve">- 10</w:t>
      </w:r>
      <w:r>
        <w:rPr>
          <w:rFonts w:ascii="Times New Roman" w:hAnsi="Times New Roman" w:cs="Times New Roman"/>
          <w:b w:val="0"/>
          <w:sz w:val="20"/>
        </w:rPr>
        <w:t xml:space="preserve"> </w:t>
      </w:r>
      <w:bookmarkStart w:id="1" w:name="_GoBack"/>
      <w:r/>
      <w:bookmarkEnd w:id="1"/>
      <w:r>
        <w:rPr>
          <w:rFonts w:ascii="Times New Roman" w:hAnsi="Times New Roman" w:cs="Times New Roman"/>
          <w:b w:val="0"/>
          <w:sz w:val="20"/>
        </w:rPr>
        <w:t xml:space="preserve">000 рублей в месяц в населенных пунктах с численностью населения менее 100 тысяч человек.</w:t>
      </w:r>
      <w:r>
        <w:rPr>
          <w:rFonts w:ascii="Times New Roman" w:hAnsi="Times New Roman" w:cs="Times New Roman"/>
          <w:b w:val="0"/>
          <w:sz w:val="20"/>
        </w:rPr>
      </w:r>
      <w:r>
        <w:rPr>
          <w:rFonts w:ascii="Times New Roman" w:hAnsi="Times New Roman" w:cs="Times New Roman"/>
          <w:b w:val="0"/>
          <w:sz w:val="20"/>
        </w:rPr>
      </w:r>
    </w:p>
    <w:p>
      <w:pPr>
        <w:pStyle w:val="874"/>
        <w:ind w:firstLine="700"/>
        <w:jc w:val="both"/>
        <w:rPr>
          <w:rFonts w:ascii="Times New Roman" w:hAnsi="Times New Roman" w:cs="Times New Roman"/>
          <w:b w:val="0"/>
          <w:sz w:val="20"/>
        </w:rPr>
      </w:pPr>
      <w:r>
        <w:rPr>
          <w:rFonts w:ascii="Times New Roman" w:hAnsi="Times New Roman" w:cs="Times New Roman"/>
          <w:b w:val="0"/>
          <w:sz w:val="20"/>
        </w:rPr>
        <w:t xml:space="preserve">Вознаграждение выплачивается педагогическому работнику за классное руководство в классе (кл</w:t>
      </w:r>
      <w:r>
        <w:rPr>
          <w:rFonts w:ascii="Times New Roman" w:hAnsi="Times New Roman" w:cs="Times New Roman"/>
          <w:b w:val="0"/>
          <w:sz w:val="20"/>
        </w:rPr>
        <w:t xml:space="preserve">ассах), а так же в классе-комплекте, который принимается за один класс (далее – класс), независимо от количества обучающихся в каждом из классов, а так же реализуемых в них общеобразовательных программ. Включая адаптированные общеобразовательные программы.</w:t>
      </w:r>
      <w:r>
        <w:rPr>
          <w:rFonts w:ascii="Times New Roman" w:hAnsi="Times New Roman" w:cs="Times New Roman"/>
          <w:b w:val="0"/>
          <w:sz w:val="20"/>
        </w:rPr>
      </w:r>
      <w:r>
        <w:rPr>
          <w:rFonts w:ascii="Times New Roman" w:hAnsi="Times New Roman" w:cs="Times New Roman"/>
          <w:b w:val="0"/>
          <w:sz w:val="20"/>
        </w:rPr>
      </w:r>
    </w:p>
    <w:p>
      <w:pPr>
        <w:pStyle w:val="872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Педагогическому работнику, осуществляющему к</w:t>
      </w:r>
      <w:r>
        <w:rPr>
          <w:rFonts w:ascii="Times New Roman" w:hAnsi="Times New Roman" w:cs="Times New Roman"/>
          <w:sz w:val="20"/>
        </w:rPr>
        <w:t xml:space="preserve">лассное руководство в одном и более классах, может быть установлено не более двух выплат вознаграждения. При этом деятельность педагогического работника по классному руководству и в одном, и более классах осуществляется только с его письменного согласия.».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rPr>
          <w:strike/>
          <w:color w:val="000000" w:themeColor="text1"/>
          <w:sz w:val="24"/>
          <w:szCs w:val="24"/>
        </w:rPr>
      </w:pPr>
      <w:r>
        <w:rPr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r>
      <w:r>
        <w:rPr>
          <w:strike/>
          <w:color w:val="000000" w:themeColor="text1"/>
          <w:sz w:val="24"/>
          <w:szCs w:val="24"/>
        </w:rPr>
      </w:r>
    </w:p>
    <w:sectPr>
      <w:footnotePr/>
      <w:endnotePr/>
      <w:type w:val="nextPage"/>
      <w:pgSz w:w="11905" w:h="16838" w:orient="portrait"/>
      <w:pgMar w:top="1134" w:right="850" w:bottom="1134" w:left="1701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8">
    <w:name w:val="Heading 1 Char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659">
    <w:name w:val="Heading 2 Char"/>
    <w:basedOn w:val="702"/>
    <w:link w:val="694"/>
    <w:uiPriority w:val="9"/>
    <w:rPr>
      <w:rFonts w:ascii="Arial" w:hAnsi="Arial" w:eastAsia="Arial" w:cs="Arial"/>
      <w:sz w:val="34"/>
    </w:rPr>
  </w:style>
  <w:style w:type="character" w:styleId="660">
    <w:name w:val="Heading 3 Char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661">
    <w:name w:val="Heading 5 Char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662">
    <w:name w:val="Heading 6 Char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663">
    <w:name w:val="Heading 7 Char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4">
    <w:name w:val="Heading 8 Char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665">
    <w:name w:val="Heading 9 Char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character" w:styleId="666">
    <w:name w:val="Subtitle Char"/>
    <w:basedOn w:val="702"/>
    <w:link w:val="716"/>
    <w:uiPriority w:val="11"/>
    <w:rPr>
      <w:sz w:val="24"/>
      <w:szCs w:val="24"/>
    </w:rPr>
  </w:style>
  <w:style w:type="character" w:styleId="667">
    <w:name w:val="Quote Char"/>
    <w:link w:val="718"/>
    <w:uiPriority w:val="29"/>
    <w:rPr>
      <w:i/>
    </w:rPr>
  </w:style>
  <w:style w:type="character" w:styleId="668">
    <w:name w:val="Intense Quote Char"/>
    <w:link w:val="720"/>
    <w:uiPriority w:val="30"/>
    <w:rPr>
      <w:i/>
    </w:rPr>
  </w:style>
  <w:style w:type="character" w:styleId="669">
    <w:name w:val="Header Char"/>
    <w:basedOn w:val="702"/>
    <w:link w:val="722"/>
    <w:uiPriority w:val="99"/>
  </w:style>
  <w:style w:type="character" w:styleId="670">
    <w:name w:val="Caption Char"/>
    <w:basedOn w:val="726"/>
    <w:link w:val="724"/>
    <w:uiPriority w:val="99"/>
  </w:style>
  <w:style w:type="table" w:styleId="671">
    <w:name w:val="Plain Table 1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2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4">
    <w:name w:val="Plain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Plain Table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6">
    <w:name w:val="Grid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8">
    <w:name w:val="Grid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9">
    <w:name w:val="Grid Table 4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0">
    <w:name w:val="Grid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1">
    <w:name w:val="Grid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2">
    <w:name w:val="Grid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List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List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5">
    <w:name w:val="List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List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List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8">
    <w:name w:val="List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9">
    <w:name w:val="List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90">
    <w:name w:val="Footnote Text Char"/>
    <w:link w:val="855"/>
    <w:uiPriority w:val="99"/>
    <w:rPr>
      <w:sz w:val="18"/>
    </w:rPr>
  </w:style>
  <w:style w:type="character" w:styleId="691">
    <w:name w:val="Endnote Text Char"/>
    <w:link w:val="858"/>
    <w:uiPriority w:val="99"/>
    <w:rPr>
      <w:sz w:val="20"/>
    </w:rPr>
  </w:style>
  <w:style w:type="paragraph" w:styleId="692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693">
    <w:name w:val="Heading 1"/>
    <w:basedOn w:val="692"/>
    <w:next w:val="692"/>
    <w:link w:val="70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4">
    <w:name w:val="Heading 2"/>
    <w:basedOn w:val="692"/>
    <w:next w:val="692"/>
    <w:link w:val="70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5">
    <w:name w:val="Heading 3"/>
    <w:basedOn w:val="692"/>
    <w:next w:val="692"/>
    <w:link w:val="70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6">
    <w:name w:val="Heading 4"/>
    <w:basedOn w:val="692"/>
    <w:next w:val="692"/>
    <w:link w:val="888"/>
    <w:qFormat/>
    <w:pPr>
      <w:ind w:firstLine="709"/>
      <w:keepNext/>
      <w:outlineLvl w:val="3"/>
    </w:pPr>
    <w:rPr>
      <w:rFonts w:eastAsia="Times New Roman"/>
      <w:color w:val="000000"/>
      <w:sz w:val="28"/>
    </w:rPr>
  </w:style>
  <w:style w:type="paragraph" w:styleId="697">
    <w:name w:val="Heading 5"/>
    <w:basedOn w:val="692"/>
    <w:next w:val="692"/>
    <w:link w:val="70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692"/>
    <w:next w:val="692"/>
    <w:link w:val="7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692"/>
    <w:next w:val="692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0">
    <w:name w:val="Heading 8"/>
    <w:basedOn w:val="692"/>
    <w:next w:val="692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1">
    <w:name w:val="Heading 9"/>
    <w:basedOn w:val="692"/>
    <w:next w:val="692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2" w:default="1">
    <w:name w:val="Default Paragraph Font"/>
    <w:uiPriority w:val="1"/>
    <w:semiHidden/>
    <w:unhideWhenUsed/>
  </w:style>
  <w:style w:type="table" w:styleId="7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4" w:default="1">
    <w:name w:val="No List"/>
    <w:uiPriority w:val="99"/>
    <w:semiHidden/>
    <w:unhideWhenUsed/>
  </w:style>
  <w:style w:type="character" w:styleId="705" w:customStyle="1">
    <w:name w:val="Заголовок 1 Знак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706" w:customStyle="1">
    <w:name w:val="Заголовок 2 Знак"/>
    <w:basedOn w:val="702"/>
    <w:link w:val="694"/>
    <w:uiPriority w:val="9"/>
    <w:rPr>
      <w:rFonts w:ascii="Arial" w:hAnsi="Arial" w:eastAsia="Arial" w:cs="Arial"/>
      <w:sz w:val="34"/>
    </w:rPr>
  </w:style>
  <w:style w:type="character" w:styleId="707" w:customStyle="1">
    <w:name w:val="Заголовок 3 Знак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708" w:customStyle="1">
    <w:name w:val="Heading 4 Char"/>
    <w:basedOn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709" w:customStyle="1">
    <w:name w:val="Заголовок 5 Знак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10" w:customStyle="1">
    <w:name w:val="Заголовок 6 Знак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711" w:customStyle="1">
    <w:name w:val="Заголовок 7 Знак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 w:customStyle="1">
    <w:name w:val="Заголовок 8 Знак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713" w:customStyle="1">
    <w:name w:val="Заголовок 9 Знак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No Spacing"/>
    <w:uiPriority w:val="1"/>
    <w:qFormat/>
    <w:pPr>
      <w:spacing w:after="0" w:line="240" w:lineRule="auto"/>
    </w:pPr>
  </w:style>
  <w:style w:type="character" w:styleId="715" w:customStyle="1">
    <w:name w:val="Title Char"/>
    <w:basedOn w:val="702"/>
    <w:uiPriority w:val="10"/>
    <w:rPr>
      <w:sz w:val="48"/>
      <w:szCs w:val="48"/>
    </w:rPr>
  </w:style>
  <w:style w:type="paragraph" w:styleId="716">
    <w:name w:val="Subtitle"/>
    <w:basedOn w:val="692"/>
    <w:next w:val="692"/>
    <w:link w:val="717"/>
    <w:uiPriority w:val="11"/>
    <w:qFormat/>
    <w:pPr>
      <w:spacing w:before="200" w:after="200"/>
    </w:pPr>
    <w:rPr>
      <w:sz w:val="24"/>
      <w:szCs w:val="24"/>
    </w:rPr>
  </w:style>
  <w:style w:type="character" w:styleId="717" w:customStyle="1">
    <w:name w:val="Подзаголовок Знак"/>
    <w:basedOn w:val="702"/>
    <w:link w:val="716"/>
    <w:uiPriority w:val="11"/>
    <w:rPr>
      <w:sz w:val="24"/>
      <w:szCs w:val="24"/>
    </w:rPr>
  </w:style>
  <w:style w:type="paragraph" w:styleId="718">
    <w:name w:val="Quote"/>
    <w:basedOn w:val="692"/>
    <w:next w:val="692"/>
    <w:link w:val="719"/>
    <w:uiPriority w:val="29"/>
    <w:qFormat/>
    <w:pPr>
      <w:ind w:left="720" w:right="720"/>
    </w:pPr>
    <w:rPr>
      <w:i/>
    </w:rPr>
  </w:style>
  <w:style w:type="character" w:styleId="719" w:customStyle="1">
    <w:name w:val="Цитата 2 Знак"/>
    <w:link w:val="718"/>
    <w:uiPriority w:val="29"/>
    <w:rPr>
      <w:i/>
    </w:rPr>
  </w:style>
  <w:style w:type="paragraph" w:styleId="720">
    <w:name w:val="Intense Quote"/>
    <w:basedOn w:val="692"/>
    <w:next w:val="692"/>
    <w:link w:val="72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1" w:customStyle="1">
    <w:name w:val="Выделенная цитата Знак"/>
    <w:link w:val="720"/>
    <w:uiPriority w:val="30"/>
    <w:rPr>
      <w:i/>
    </w:rPr>
  </w:style>
  <w:style w:type="paragraph" w:styleId="722">
    <w:name w:val="Header"/>
    <w:basedOn w:val="692"/>
    <w:link w:val="72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3" w:customStyle="1">
    <w:name w:val="Верхний колонтитул Знак"/>
    <w:basedOn w:val="702"/>
    <w:link w:val="722"/>
    <w:uiPriority w:val="99"/>
  </w:style>
  <w:style w:type="paragraph" w:styleId="724">
    <w:name w:val="Footer"/>
    <w:basedOn w:val="692"/>
    <w:link w:val="72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5" w:customStyle="1">
    <w:name w:val="Footer Char"/>
    <w:basedOn w:val="702"/>
    <w:uiPriority w:val="99"/>
  </w:style>
  <w:style w:type="paragraph" w:styleId="726">
    <w:name w:val="Caption"/>
    <w:basedOn w:val="692"/>
    <w:next w:val="69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7" w:customStyle="1">
    <w:name w:val="Нижний колонтитул Знак"/>
    <w:link w:val="724"/>
    <w:uiPriority w:val="99"/>
  </w:style>
  <w:style w:type="table" w:styleId="728">
    <w:name w:val="Table Grid"/>
    <w:basedOn w:val="703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9" w:customStyle="1">
    <w:name w:val="Table Grid Light"/>
    <w:basedOn w:val="70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0" w:customStyle="1">
    <w:name w:val="Таблица простая 11"/>
    <w:basedOn w:val="70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Таблица простая 21"/>
    <w:basedOn w:val="70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 w:customStyle="1">
    <w:name w:val="Таблица простая 31"/>
    <w:basedOn w:val="70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 w:customStyle="1">
    <w:name w:val="Таблица простая 41"/>
    <w:basedOn w:val="70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Таблица простая 51"/>
    <w:basedOn w:val="70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 w:customStyle="1">
    <w:name w:val="Таблица-сетка 1 светлая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Таблица-сетка 2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Таблица-сетка 3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Таблица-сетка 41"/>
    <w:basedOn w:val="70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 w:customStyle="1">
    <w:name w:val="Grid Table 4 - Accent 1"/>
    <w:basedOn w:val="70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8" w:customStyle="1">
    <w:name w:val="Grid Table 4 - Accent 2"/>
    <w:basedOn w:val="70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9" w:customStyle="1">
    <w:name w:val="Grid Table 4 - Accent 3"/>
    <w:basedOn w:val="70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0" w:customStyle="1">
    <w:name w:val="Grid Table 4 - Accent 4"/>
    <w:basedOn w:val="70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1" w:customStyle="1">
    <w:name w:val="Grid Table 4 - Accent 5"/>
    <w:basedOn w:val="70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2" w:customStyle="1">
    <w:name w:val="Grid Table 4 - Accent 6"/>
    <w:basedOn w:val="70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3" w:customStyle="1">
    <w:name w:val="Таблица-сетка 5 темная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0" w:customStyle="1">
    <w:name w:val="Таблица-сетка 6 цветная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1" w:customStyle="1">
    <w:name w:val="Grid Table 6 Colorful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2" w:customStyle="1">
    <w:name w:val="Grid Table 6 Colorful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3" w:customStyle="1">
    <w:name w:val="Grid Table 6 Colorful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4" w:customStyle="1">
    <w:name w:val="Grid Table 6 Colorful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5" w:customStyle="1">
    <w:name w:val="Grid Table 6 Colorful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 w:customStyle="1">
    <w:name w:val="Grid Table 6 Colorful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7" w:customStyle="1">
    <w:name w:val="Таблица-сетка 7 цветная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Список-таблица 1 светлая1"/>
    <w:basedOn w:val="70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1"/>
    <w:basedOn w:val="70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2"/>
    <w:basedOn w:val="70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3"/>
    <w:basedOn w:val="70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4"/>
    <w:basedOn w:val="70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5"/>
    <w:basedOn w:val="70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6"/>
    <w:basedOn w:val="70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Список-таблица 2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8" w:customStyle="1">
    <w:name w:val="Список-таблица 3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Список-таблица 4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Список-таблица 5 темная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Список-таблица 6 цветная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0" w:customStyle="1">
    <w:name w:val="List Table 6 Colorful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1" w:customStyle="1">
    <w:name w:val="List Table 6 Colorful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2" w:customStyle="1">
    <w:name w:val="List Table 6 Colorful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3" w:customStyle="1">
    <w:name w:val="List Table 6 Colorful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4" w:customStyle="1">
    <w:name w:val="List Table 6 Colorful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5" w:customStyle="1">
    <w:name w:val="List Table 6 Colorful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6" w:customStyle="1">
    <w:name w:val="Список-таблица 7 цветная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ned - Accent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Lined - Accent 1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Lined - Accent 2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Lined - Accent 3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Lined - Accent 4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Lined - Accent 5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Lined - Accent 6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 &amp; Lined - Accent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1" w:customStyle="1">
    <w:name w:val="Bordered &amp; Lined - Accent 1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2" w:customStyle="1">
    <w:name w:val="Bordered &amp; Lined - Accent 2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3" w:customStyle="1">
    <w:name w:val="Bordered &amp; Lined - Accent 3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4" w:customStyle="1">
    <w:name w:val="Bordered &amp; Lined - Accent 4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5" w:customStyle="1">
    <w:name w:val="Bordered &amp; Lined - Accent 5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6" w:customStyle="1">
    <w:name w:val="Bordered &amp; Lined - Accent 6"/>
    <w:basedOn w:val="70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7" w:customStyle="1">
    <w:name w:val="Bordered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8" w:customStyle="1">
    <w:name w:val="Bordered - Accent 1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9" w:customStyle="1">
    <w:name w:val="Bordered - Accent 2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0" w:customStyle="1">
    <w:name w:val="Bordered - Accent 3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1" w:customStyle="1">
    <w:name w:val="Bordered - Accent 4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2" w:customStyle="1">
    <w:name w:val="Bordered - Accent 5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3" w:customStyle="1">
    <w:name w:val="Bordered - Accent 6"/>
    <w:basedOn w:val="70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54">
    <w:name w:val="Hyperlink"/>
    <w:uiPriority w:val="99"/>
    <w:unhideWhenUsed/>
    <w:rPr>
      <w:color w:val="0000ff" w:themeColor="hyperlink"/>
      <w:u w:val="single"/>
    </w:rPr>
  </w:style>
  <w:style w:type="paragraph" w:styleId="855">
    <w:name w:val="footnote text"/>
    <w:basedOn w:val="692"/>
    <w:link w:val="856"/>
    <w:uiPriority w:val="99"/>
    <w:semiHidden/>
    <w:unhideWhenUsed/>
    <w:pPr>
      <w:spacing w:after="40"/>
    </w:pPr>
    <w:rPr>
      <w:sz w:val="18"/>
    </w:rPr>
  </w:style>
  <w:style w:type="character" w:styleId="856" w:customStyle="1">
    <w:name w:val="Текст сноски Знак"/>
    <w:link w:val="855"/>
    <w:uiPriority w:val="99"/>
    <w:rPr>
      <w:sz w:val="18"/>
    </w:rPr>
  </w:style>
  <w:style w:type="character" w:styleId="857">
    <w:name w:val="footnote reference"/>
    <w:basedOn w:val="702"/>
    <w:uiPriority w:val="99"/>
    <w:unhideWhenUsed/>
    <w:rPr>
      <w:vertAlign w:val="superscript"/>
    </w:rPr>
  </w:style>
  <w:style w:type="paragraph" w:styleId="858">
    <w:name w:val="endnote text"/>
    <w:basedOn w:val="692"/>
    <w:link w:val="859"/>
    <w:uiPriority w:val="99"/>
    <w:semiHidden/>
    <w:unhideWhenUsed/>
  </w:style>
  <w:style w:type="character" w:styleId="859" w:customStyle="1">
    <w:name w:val="Текст концевой сноски Знак"/>
    <w:link w:val="858"/>
    <w:uiPriority w:val="99"/>
    <w:rPr>
      <w:sz w:val="20"/>
    </w:rPr>
  </w:style>
  <w:style w:type="character" w:styleId="860">
    <w:name w:val="endnote reference"/>
    <w:basedOn w:val="702"/>
    <w:uiPriority w:val="99"/>
    <w:semiHidden/>
    <w:unhideWhenUsed/>
    <w:rPr>
      <w:vertAlign w:val="superscript"/>
    </w:rPr>
  </w:style>
  <w:style w:type="paragraph" w:styleId="861">
    <w:name w:val="toc 1"/>
    <w:basedOn w:val="692"/>
    <w:next w:val="692"/>
    <w:uiPriority w:val="39"/>
    <w:unhideWhenUsed/>
    <w:pPr>
      <w:spacing w:after="57"/>
    </w:pPr>
  </w:style>
  <w:style w:type="paragraph" w:styleId="862">
    <w:name w:val="toc 2"/>
    <w:basedOn w:val="692"/>
    <w:next w:val="692"/>
    <w:uiPriority w:val="39"/>
    <w:unhideWhenUsed/>
    <w:pPr>
      <w:ind w:left="283"/>
      <w:spacing w:after="57"/>
    </w:pPr>
  </w:style>
  <w:style w:type="paragraph" w:styleId="863">
    <w:name w:val="toc 3"/>
    <w:basedOn w:val="692"/>
    <w:next w:val="692"/>
    <w:uiPriority w:val="39"/>
    <w:unhideWhenUsed/>
    <w:pPr>
      <w:ind w:left="567"/>
      <w:spacing w:after="57"/>
    </w:pPr>
  </w:style>
  <w:style w:type="paragraph" w:styleId="864">
    <w:name w:val="toc 4"/>
    <w:basedOn w:val="692"/>
    <w:next w:val="692"/>
    <w:uiPriority w:val="39"/>
    <w:unhideWhenUsed/>
    <w:pPr>
      <w:ind w:left="850"/>
      <w:spacing w:after="57"/>
    </w:pPr>
  </w:style>
  <w:style w:type="paragraph" w:styleId="865">
    <w:name w:val="toc 5"/>
    <w:basedOn w:val="692"/>
    <w:next w:val="692"/>
    <w:uiPriority w:val="39"/>
    <w:unhideWhenUsed/>
    <w:pPr>
      <w:ind w:left="1134"/>
      <w:spacing w:after="57"/>
    </w:pPr>
  </w:style>
  <w:style w:type="paragraph" w:styleId="866">
    <w:name w:val="toc 6"/>
    <w:basedOn w:val="692"/>
    <w:next w:val="692"/>
    <w:uiPriority w:val="39"/>
    <w:unhideWhenUsed/>
    <w:pPr>
      <w:ind w:left="1417"/>
      <w:spacing w:after="57"/>
    </w:pPr>
  </w:style>
  <w:style w:type="paragraph" w:styleId="867">
    <w:name w:val="toc 7"/>
    <w:basedOn w:val="692"/>
    <w:next w:val="692"/>
    <w:uiPriority w:val="39"/>
    <w:unhideWhenUsed/>
    <w:pPr>
      <w:ind w:left="1701"/>
      <w:spacing w:after="57"/>
    </w:pPr>
  </w:style>
  <w:style w:type="paragraph" w:styleId="868">
    <w:name w:val="toc 8"/>
    <w:basedOn w:val="692"/>
    <w:next w:val="692"/>
    <w:uiPriority w:val="39"/>
    <w:unhideWhenUsed/>
    <w:pPr>
      <w:ind w:left="1984"/>
      <w:spacing w:after="57"/>
    </w:pPr>
  </w:style>
  <w:style w:type="paragraph" w:styleId="869">
    <w:name w:val="toc 9"/>
    <w:basedOn w:val="692"/>
    <w:next w:val="692"/>
    <w:uiPriority w:val="39"/>
    <w:unhideWhenUsed/>
    <w:pPr>
      <w:ind w:left="2268"/>
      <w:spacing w:after="57"/>
    </w:pPr>
  </w:style>
  <w:style w:type="paragraph" w:styleId="870">
    <w:name w:val="TOC Heading"/>
    <w:uiPriority w:val="39"/>
    <w:unhideWhenUsed/>
  </w:style>
  <w:style w:type="paragraph" w:styleId="871">
    <w:name w:val="table of figures"/>
    <w:basedOn w:val="692"/>
    <w:next w:val="692"/>
    <w:uiPriority w:val="99"/>
    <w:unhideWhenUsed/>
  </w:style>
  <w:style w:type="paragraph" w:styleId="872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73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74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75" w:customStyle="1">
    <w:name w:val="ConsPlusCell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76" w:customStyle="1">
    <w:name w:val="ConsPlusDocList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77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78" w:customStyle="1">
    <w:name w:val="ConsPlusJurTerm"/>
    <w:pPr>
      <w:spacing w:after="0" w:line="240" w:lineRule="auto"/>
      <w:widowControl w:val="off"/>
    </w:pPr>
    <w:rPr>
      <w:rFonts w:ascii="Tahoma" w:hAnsi="Tahoma" w:eastAsia="Times New Roman" w:cs="Tahoma"/>
      <w:sz w:val="26"/>
      <w:szCs w:val="20"/>
      <w:lang w:eastAsia="ru-RU"/>
    </w:rPr>
  </w:style>
  <w:style w:type="paragraph" w:styleId="879" w:customStyle="1">
    <w:name w:val="ConsPlusTextList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880">
    <w:name w:val="Title"/>
    <w:basedOn w:val="692"/>
    <w:link w:val="881"/>
    <w:qFormat/>
    <w:pPr>
      <w:jc w:val="center"/>
    </w:pPr>
    <w:rPr>
      <w:rFonts w:eastAsia="Times New Roman"/>
      <w:b/>
      <w:bCs/>
      <w:sz w:val="48"/>
      <w:szCs w:val="24"/>
    </w:rPr>
  </w:style>
  <w:style w:type="character" w:styleId="881" w:customStyle="1">
    <w:name w:val="Заголовок Знак"/>
    <w:basedOn w:val="702"/>
    <w:link w:val="880"/>
    <w:rPr>
      <w:rFonts w:ascii="Times New Roman" w:hAnsi="Times New Roman" w:eastAsia="Times New Roman" w:cs="Times New Roman"/>
      <w:b/>
      <w:bCs/>
      <w:sz w:val="48"/>
      <w:szCs w:val="24"/>
      <w:lang w:eastAsia="ru-RU"/>
    </w:rPr>
  </w:style>
  <w:style w:type="paragraph" w:styleId="882">
    <w:name w:val="Balloon Text"/>
    <w:basedOn w:val="692"/>
    <w:link w:val="883"/>
    <w:uiPriority w:val="99"/>
    <w:semiHidden/>
    <w:unhideWhenUsed/>
    <w:rPr>
      <w:rFonts w:ascii="Tahoma" w:hAnsi="Tahoma" w:cs="Tahoma"/>
      <w:sz w:val="16"/>
      <w:szCs w:val="16"/>
    </w:rPr>
  </w:style>
  <w:style w:type="character" w:styleId="883" w:customStyle="1">
    <w:name w:val="Текст выноски Знак"/>
    <w:basedOn w:val="702"/>
    <w:link w:val="882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character" w:styleId="884" w:customStyle="1">
    <w:name w:val="WW8Num1z0"/>
  </w:style>
  <w:style w:type="paragraph" w:styleId="885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886">
    <w:name w:val="Normal (Web)"/>
    <w:basedOn w:val="692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887" w:customStyle="1">
    <w:name w:val="Знак Знак"/>
    <w:basedOn w:val="69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888" w:customStyle="1">
    <w:name w:val="Заголовок 4 Знак"/>
    <w:basedOn w:val="702"/>
    <w:link w:val="696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89">
    <w:name w:val="List Paragraph"/>
    <w:basedOn w:val="692"/>
    <w:uiPriority w:val="34"/>
    <w:qFormat/>
    <w:pPr>
      <w:contextualSpacing/>
      <w:ind w:left="720"/>
    </w:pPr>
    <w:rPr>
      <w:rFonts w:eastAsia="Times New Roman"/>
      <w:color w:val="000000"/>
    </w:rPr>
  </w:style>
  <w:style w:type="paragraph" w:styleId="890">
    <w:name w:val="Body Text 3"/>
    <w:basedOn w:val="692"/>
    <w:link w:val="891"/>
    <w:pPr>
      <w:spacing w:after="120"/>
    </w:pPr>
    <w:rPr>
      <w:rFonts w:eastAsia="Times New Roman"/>
      <w:sz w:val="16"/>
      <w:szCs w:val="16"/>
    </w:rPr>
  </w:style>
  <w:style w:type="character" w:styleId="891" w:customStyle="1">
    <w:name w:val="Основной текст 3 Знак"/>
    <w:basedOn w:val="702"/>
    <w:link w:val="890"/>
    <w:rPr>
      <w:rFonts w:ascii="Times New Roman" w:hAnsi="Times New Roman" w:eastAsia="Times New Roman" w:cs="Times New Roman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EBA2D2314CD3F0D8C73A7E22A3A54FF4DB580C47DCE22C6FE708DD05B8EF8C126161C3F7AC529F19E0181113AAF266B2C85F7D6393F5FD72MBoEJ" TargetMode="External"/><Relationship Id="rId12" Type="http://schemas.openxmlformats.org/officeDocument/2006/relationships/hyperlink" Target="consultantplus://offline/ref=EBA2D2314CD3F0D8C73A7E22A3A54FF4DB580C47DCE22C6FE708DD05B8EF8C126161C3F1AD55914FB657104FEDA775B1CD5F7F668CMFoEJ" TargetMode="External"/><Relationship Id="rId13" Type="http://schemas.openxmlformats.org/officeDocument/2006/relationships/hyperlink" Target="consultantplus://offline/ref=EBA2D2314CD3F0D8C73A7E22A3A54FF4DB580C47DCE22C6FE708DD05B8EF8C126161C3F1AD52914FB657104FEDA775B1CD5F7F668CMFoEJ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F4392-4F22-4869-A751-96782FFC7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4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</dc:creator>
  <cp:revision>4</cp:revision>
  <dcterms:created xsi:type="dcterms:W3CDTF">2024-06-10T09:27:00Z</dcterms:created>
  <dcterms:modified xsi:type="dcterms:W3CDTF">2024-07-08T07:28:02Z</dcterms:modified>
</cp:coreProperties>
</file>