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10.07.2024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ab/>
        <w:tab/>
        <w:tab/>
        <w:t xml:space="preserve"> № 1129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6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Об утверждении </w:t>
      </w:r>
      <w:r>
        <w:rPr>
          <w:b/>
          <w:bCs/>
          <w:sz w:val="20"/>
          <w:szCs w:val="20"/>
        </w:rPr>
        <w:t xml:space="preserve">положения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26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26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540"/>
        <w:jc w:val="both"/>
      </w:pPr>
      <w:r/>
      <w:r/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В целях реализации постановления Правительств</w:t>
      </w:r>
      <w:r>
        <w:rPr>
          <w:sz w:val="24"/>
          <w:szCs w:val="24"/>
        </w:rPr>
        <w:t xml:space="preserve">а Мурманской области </w:t>
      </w:r>
      <w:r>
        <w:rPr>
          <w:sz w:val="24"/>
          <w:szCs w:val="24"/>
        </w:rPr>
        <w:br/>
        <w:t xml:space="preserve">от 12.05.2014 № 243-ПП «Об оплате труда работников областных бюджетных, автономных и казенных учреждений Мурманской области», приказа Министерства образования и науки Мурманской области от 02.07.2014 № 1399 «Об утвер</w:t>
      </w:r>
      <w:r>
        <w:rPr>
          <w:sz w:val="24"/>
          <w:szCs w:val="24"/>
        </w:rPr>
        <w:t xml:space="preserve">ждении примерного положения об оплате труда работников государственных областных бюджетных и автономных учреждений, подведомственных Министерству образования и науки Мурманской области», руководствуясь «Едиными рекомендациями по установлению на федеральном</w:t>
      </w:r>
      <w:r>
        <w:rPr>
          <w:sz w:val="24"/>
          <w:szCs w:val="24"/>
        </w:rPr>
        <w:t xml:space="preserve">, региональном и </w:t>
      </w:r>
      <w:r>
        <w:rPr>
          <w:sz w:val="24"/>
          <w:szCs w:val="24"/>
        </w:rPr>
        <w:t xml:space="preserve">местном</w:t>
      </w:r>
      <w:r>
        <w:rPr>
          <w:sz w:val="24"/>
          <w:szCs w:val="24"/>
        </w:rPr>
        <w:t xml:space="preserve"> уровнях систем оплаты труда работников государственных и муниципальных учреждений на 2023 год», </w:t>
      </w:r>
      <w:r>
        <w:rPr>
          <w:sz w:val="24"/>
          <w:szCs w:val="24"/>
        </w:rPr>
        <w:t xml:space="preserve">утвержденными</w:t>
      </w:r>
      <w:r>
        <w:rPr>
          <w:sz w:val="24"/>
          <w:szCs w:val="24"/>
        </w:rPr>
        <w:t xml:space="preserve"> решением Российской трехсторонней комиссии по регулированию социально-трудовых отношений от 23.12.2022, протокол 12,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6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26"/>
        <w:ind w:firstLine="720"/>
        <w:jc w:val="both"/>
      </w:pPr>
      <w:r>
        <w:t xml:space="preserve">1. Утвердить положение по оплате труда руководителей </w:t>
      </w:r>
      <w:r>
        <w:rPr>
          <w:bCs/>
        </w:rPr>
        <w:t xml:space="preserve">муниципальных бюджетных учреждений, подведомственных отделу образования администрации Печенгского муниципального округа согласно приложению</w:t>
      </w:r>
      <w:r>
        <w:t xml:space="preserve">.  </w:t>
      </w:r>
      <w:r/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2. Расходы, связанные с реализацией настоящего постановл</w:t>
      </w:r>
      <w:r>
        <w:rPr>
          <w:rFonts w:eastAsia="Times New Roman"/>
          <w:sz w:val="24"/>
          <w:szCs w:val="24"/>
        </w:rPr>
        <w:t xml:space="preserve">ения, осуществляются </w:t>
      </w:r>
      <w:r>
        <w:rPr>
          <w:rFonts w:eastAsia="Times New Roman"/>
          <w:sz w:val="24"/>
          <w:szCs w:val="24"/>
        </w:rPr>
        <w:t xml:space="preserve">в пределах бюджетных ассигнований,</w:t>
      </w:r>
      <w:r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а также средств от приносящей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доход деятельности, направленных учреждением на оплату труда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3. Признать утратившими силу: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8"/>
        <w:jc w:val="both"/>
      </w:pPr>
      <w:r>
        <w:rPr>
          <w:rFonts w:eastAsia="Times New Roman"/>
          <w:sz w:val="24"/>
          <w:szCs w:val="24"/>
        </w:rPr>
        <w:t xml:space="preserve">- постановление администрации Печенгского района от 14.10.2019 № 884 </w:t>
        <w:br/>
        <w:t xml:space="preserve">«</w:t>
      </w:r>
      <w:r>
        <w:rPr>
          <w:bCs/>
          <w:iCs/>
          <w:sz w:val="24"/>
          <w:szCs w:val="24"/>
        </w:rPr>
        <w:t xml:space="preserve">Об утверждении </w:t>
      </w:r>
      <w:r>
        <w:rPr>
          <w:bCs/>
          <w:sz w:val="24"/>
          <w:szCs w:val="24"/>
        </w:rPr>
        <w:t xml:space="preserve">Положения по оплате труда руководителей муниципальных бюджетных учреждений образования, подведомственных отделу образования администрации Печенгского района»; </w:t>
      </w:r>
      <w:r/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bCs/>
          <w:sz w:val="24"/>
          <w:szCs w:val="24"/>
        </w:rPr>
        <w:t xml:space="preserve">-</w:t>
      </w:r>
      <w:r>
        <w:t xml:space="preserve"> </w:t>
      </w:r>
      <w:r>
        <w:rPr>
          <w:bCs/>
          <w:sz w:val="24"/>
          <w:szCs w:val="24"/>
        </w:rPr>
        <w:t xml:space="preserve">постановление администрации Печенгского района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28.12.2019 № 1294 </w:t>
        <w:br/>
        <w:t xml:space="preserve">«О внесе</w:t>
      </w:r>
      <w:r>
        <w:rPr>
          <w:sz w:val="24"/>
          <w:szCs w:val="24"/>
        </w:rPr>
        <w:t xml:space="preserve">нии изменений в Положение по оплате труда руководителей муниципальных бюджетных учреждений образования, подведомственных отделу образования администрации Печенгского района, утвержденное постановлением администрации Печенгского района от 14.10.2019 № 884»;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t xml:space="preserve"> </w:t>
      </w:r>
      <w:r>
        <w:rPr>
          <w:sz w:val="24"/>
          <w:szCs w:val="24"/>
        </w:rPr>
        <w:t xml:space="preserve">постановление администрации Печенгского района от 05.11.2020 № 1116 </w:t>
        <w:br/>
        <w:t xml:space="preserve">«О внесе</w:t>
      </w:r>
      <w:r>
        <w:rPr>
          <w:sz w:val="24"/>
          <w:szCs w:val="24"/>
        </w:rPr>
        <w:t xml:space="preserve">нии изменений в Положение по оплате труда руководителей муниципальных бюджетных учреждений образования, подведомственных отделу образования администрации Печенгского района, утвержденное постановлением администрации Печенгского района от 14.10.2019 № 884»;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bCs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постановление администрации Печенгского муниципального округа </w:t>
      </w:r>
      <w:r>
        <w:rPr>
          <w:sz w:val="24"/>
          <w:szCs w:val="24"/>
        </w:rPr>
        <w:t xml:space="preserve">от 30.09.2021 № 1044 «</w:t>
      </w:r>
      <w:r>
        <w:rPr>
          <w:bCs/>
          <w:sz w:val="24"/>
          <w:szCs w:val="24"/>
        </w:rPr>
        <w:t xml:space="preserve">О внесении изменений в Положение по оплате труда</w:t>
      </w:r>
      <w:r>
        <w:rPr>
          <w:bCs/>
          <w:sz w:val="24"/>
          <w:szCs w:val="24"/>
        </w:rPr>
        <w:t xml:space="preserve"> руководителей муниципальных бюджетных учреждений образования, подведомственных отделу образования администрации Печенгского района, утвержденное постановлением администрации Печенгск</w:t>
      </w:r>
      <w:r>
        <w:rPr>
          <w:bCs/>
          <w:sz w:val="24"/>
          <w:szCs w:val="24"/>
        </w:rPr>
        <w:t xml:space="preserve">ого района от 14.10.2019 № 884».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опубликования в газете «Печенга» и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6"/>
        <w:ind w:firstLine="720"/>
        <w:jc w:val="both"/>
        <w:rPr>
          <w:i/>
          <w:color w:val="ff0000"/>
        </w:rPr>
      </w:pPr>
      <w:r>
        <w:t xml:space="preserve">5.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pStyle w:val="926"/>
        <w:ind w:firstLine="709"/>
        <w:jc w:val="both"/>
      </w:pPr>
      <w:r/>
      <w:r/>
    </w:p>
    <w:p>
      <w:pPr>
        <w:pStyle w:val="926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</w:t>
      </w:r>
      <w:r>
        <w:rPr>
          <w:sz w:val="24"/>
          <w:szCs w:val="24"/>
        </w:rPr>
        <w:t xml:space="preserve">пального округа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               А.В. Кузнецов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</w:p>
    <w:p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Морозова М.Е., 51917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10.07.2024 № 1129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ПОЛОЖЕНИЕ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14"/>
        <w:jc w:val="center"/>
        <w:shd w:val="clear" w:color="auto" w:fill="ffffff"/>
        <w:rPr>
          <w:sz w:val="24"/>
          <w:szCs w:val="24"/>
        </w:rPr>
      </w:pPr>
      <w:r>
        <w:rPr>
          <w:bCs/>
          <w:sz w:val="24"/>
          <w:szCs w:val="24"/>
        </w:rPr>
        <w:t xml:space="preserve">по оплате труда руководителей муниципальных бюджетных учреждений, подведомственных отделу образования администрации 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right="14"/>
        <w:jc w:val="center"/>
        <w:shd w:val="clear" w:color="auto" w:fill="ffffff"/>
        <w:rPr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ind w:right="14" w:firstLine="70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right="14" w:firstLine="709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68" w:hanging="68"/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ОБЩИЕ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1.1. Настоящее положение разработано в целях повышения эффективности деятельности руководителей муниципальных бюджетных учреждений, подведомственных отделу образования администрации Печенгского муниципального округа (далее – Положение, руков</w:t>
      </w:r>
      <w:r>
        <w:rPr>
          <w:bCs/>
          <w:sz w:val="24"/>
          <w:szCs w:val="24"/>
        </w:rPr>
        <w:t xml:space="preserve">одители учреждений), создания условий для повышения качества работы руководителей учреждений, развития творческой активности и инициативы при выполнении поставленных задач, успешного и добросовестного исполнения должностных обязанностей и включает в себя: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порядок определения должностного оклада руководителя учреждения;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порядок и условия применения выплат компенсационного характера;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порядок и условия применения выплат стимулирующего характера.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bCs/>
          <w:sz w:val="24"/>
          <w:szCs w:val="24"/>
        </w:rPr>
        <w:t xml:space="preserve">1.2. </w:t>
      </w:r>
      <w:r>
        <w:rPr>
          <w:sz w:val="24"/>
          <w:szCs w:val="24"/>
        </w:rPr>
        <w:t xml:space="preserve">В настоящем Положении используются следующие понятия и термины: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Заработная плата - вознаграждение за труд в зависимости от сложности, количества, качества и условий выполняемой работы, а также выплаты компенсационного и стимулирующего характера.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Повышающий коэффициент - коэффициент, устанавливаемый к должностному окладу, в результате чего образуется новый должностной оклад, применяемый при исчислении заработной платы.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Должностной оклад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фиксированный </w:t>
      </w:r>
      <w:r>
        <w:rPr>
          <w:sz w:val="24"/>
          <w:szCs w:val="24"/>
        </w:rPr>
        <w:t xml:space="preserve">размер оплаты труда</w:t>
      </w:r>
      <w:r>
        <w:rPr>
          <w:sz w:val="24"/>
          <w:szCs w:val="24"/>
        </w:rPr>
        <w:t xml:space="preserve"> работника за исполнение должностных (трудовых) обязанностей в течение соответствующего календарного месяца </w:t>
      </w:r>
      <w:r>
        <w:rPr>
          <w:sz w:val="24"/>
          <w:szCs w:val="24"/>
        </w:rPr>
        <w:t xml:space="preserve">без учета</w:t>
      </w:r>
      <w:r>
        <w:rPr>
          <w:sz w:val="24"/>
          <w:szCs w:val="24"/>
        </w:rPr>
        <w:t xml:space="preserve"> повышающих коэффициентов, образующих новый должностной оклад.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hd w:val="clear" w:color="auto" w:fill="ffff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ПОРЯДОК ОПРЕДЕЛЕНИЯ ДОЛЖНОСТНОГО ОКЛАДА РУКОВОДИТЕЛЯ УЧРЕЖДЕНИЯ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Должностные оклады руководителей учреждений устанавливаются в следующих размерах: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621"/>
        <w:gridCol w:w="1953"/>
      </w:tblGrid>
      <w:tr>
        <w:tblPrEx/>
        <w:trPr/>
        <w:tc>
          <w:tcPr>
            <w:shd w:val="clear" w:color="auto" w:fill="auto"/>
            <w:tcW w:w="762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должности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5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Должностной оклад, руб.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621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Директор общеобразовательного учреждения 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5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19856,00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621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Заведующий дошкольным образовательным учреждением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5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15225,00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621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Руководитель учреждения дополнительного образования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5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15151,00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7621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Директор методического центра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95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11352,00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2.2. </w:t>
      </w:r>
      <w:r>
        <w:rPr>
          <w:sz w:val="24"/>
        </w:rPr>
        <w:t xml:space="preserve">При формировании </w:t>
      </w:r>
      <w:r>
        <w:rPr>
          <w:sz w:val="24"/>
        </w:rPr>
        <w:t xml:space="preserve">должностного</w:t>
      </w:r>
      <w:r>
        <w:rPr>
          <w:sz w:val="24"/>
        </w:rPr>
        <w:t xml:space="preserve"> оклада руководителей общеобразовательных учреждений учитываются следующие повышающие коэффициенты, образующие </w:t>
      </w:r>
      <w:r>
        <w:rPr>
          <w:sz w:val="24"/>
        </w:rPr>
        <w:t xml:space="preserve">новый должностной</w:t>
      </w:r>
      <w:r>
        <w:rPr>
          <w:sz w:val="24"/>
        </w:rPr>
        <w:t xml:space="preserve"> оклад </w:t>
      </w:r>
      <w:r>
        <w:rPr>
          <w:sz w:val="24"/>
        </w:rPr>
        <w:t xml:space="preserve">руководителей учреждений: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- </w:t>
      </w:r>
      <w:r>
        <w:rPr>
          <w:sz w:val="24"/>
        </w:rPr>
        <w:t xml:space="preserve">за работу в сельских населенных пунктах и поселках городского типа специалистам, указанным в </w:t>
      </w:r>
      <w:hyperlink r:id="rId11" w:tooltip="consultantplus://offline/ref=8E88993A0FC8BDC5ADF3F8BAC2FD495AD5A3BB3F059F3BDCC337E9750431B8654EF34C6DC591464C18ECBD2FR8Q" w:history="1">
        <w:r>
          <w:rPr>
            <w:sz w:val="24"/>
          </w:rPr>
          <w:t xml:space="preserve">статье 1</w:t>
        </w:r>
      </w:hyperlink>
      <w:r>
        <w:rPr>
          <w:sz w:val="24"/>
        </w:rPr>
        <w:t xml:space="preserve"> Закона Мурманской о</w:t>
      </w:r>
      <w:r>
        <w:rPr>
          <w:sz w:val="24"/>
        </w:rPr>
        <w:t xml:space="preserve">бласти от 27.12.2004</w:t>
      </w:r>
      <w:r>
        <w:rPr>
          <w:sz w:val="24"/>
        </w:rPr>
        <w:t xml:space="preserve"> </w:t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- </w:t>
        <w:br/>
        <w:t xml:space="preserve">на</w:t>
      </w:r>
      <w:r>
        <w:rPr>
          <w:sz w:val="24"/>
        </w:rPr>
        <w:t xml:space="preserve"> </w:t>
      </w:r>
      <w:r>
        <w:rPr>
          <w:sz w:val="24"/>
        </w:rPr>
        <w:t xml:space="preserve">25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 с учетом численности обучающихся:</w:t>
      </w:r>
      <w:r>
        <w:rPr>
          <w:sz w:val="24"/>
        </w:rPr>
      </w:r>
      <w:r>
        <w:rPr>
          <w:sz w:val="24"/>
        </w:rPr>
      </w:r>
    </w:p>
    <w:p>
      <w:pPr>
        <w:ind w:firstLine="708"/>
        <w:jc w:val="both"/>
        <w:rPr>
          <w:sz w:val="24"/>
        </w:rPr>
      </w:pPr>
      <w:r>
        <w:rPr>
          <w:sz w:val="24"/>
        </w:rPr>
        <w:t xml:space="preserve">а) численность обучающихся общеобразовательного учреждения составляет свыше 500 -</w:t>
      </w:r>
      <w:r>
        <w:rPr>
          <w:b/>
          <w:sz w:val="24"/>
          <w:szCs w:val="24"/>
        </w:rPr>
        <w:t xml:space="preserve"> </w:t>
      </w:r>
      <w:r>
        <w:rPr>
          <w:sz w:val="24"/>
        </w:rPr>
        <w:t xml:space="preserve">на 45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 численность обучающихся общеобразовательного учреждения составляет 100 - 500 - на 40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 за особенность организации образовательного процесса: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а) центров образования цифровых и гуманитарных профилей - на 15 процентов.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</w:rPr>
      </w:pPr>
      <w:r>
        <w:rPr>
          <w:rFonts w:eastAsia="Times New Roman"/>
          <w:sz w:val="24"/>
          <w:szCs w:val="24"/>
        </w:rPr>
        <w:t xml:space="preserve">2.3. </w:t>
      </w:r>
      <w:r>
        <w:rPr>
          <w:sz w:val="24"/>
        </w:rPr>
        <w:t xml:space="preserve">При формировании </w:t>
      </w:r>
      <w:r>
        <w:rPr>
          <w:sz w:val="24"/>
        </w:rPr>
        <w:t xml:space="preserve">должностного</w:t>
      </w:r>
      <w:r>
        <w:rPr>
          <w:sz w:val="24"/>
        </w:rPr>
        <w:t xml:space="preserve"> оклада руководителей дошкольных образовательных учреждений учитываются повышающие коэффициенты, образующие </w:t>
      </w:r>
      <w:r>
        <w:rPr>
          <w:sz w:val="24"/>
        </w:rPr>
        <w:t xml:space="preserve">должностной</w:t>
      </w:r>
      <w:r>
        <w:rPr>
          <w:sz w:val="24"/>
        </w:rPr>
        <w:t xml:space="preserve"> оклад руководителей учреждений: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- </w:t>
      </w:r>
      <w:r>
        <w:rPr>
          <w:sz w:val="24"/>
        </w:rPr>
        <w:t xml:space="preserve">за работу в сельских населенных пунктах и поселках городского типа специалистам, указанным в </w:t>
      </w:r>
      <w:hyperlink r:id="rId12" w:tooltip="consultantplus://offline/ref=8E88993A0FC8BDC5ADF3F8BAC2FD495AD5A3BB3F059F3BDCC337E9750431B8654EF34C6DC591464C18ECBD2FR8Q" w:history="1">
        <w:r>
          <w:rPr>
            <w:sz w:val="24"/>
          </w:rPr>
          <w:t xml:space="preserve">статье 1</w:t>
        </w:r>
      </w:hyperlink>
      <w:r>
        <w:rPr>
          <w:sz w:val="24"/>
        </w:rPr>
        <w:t xml:space="preserve"> Закона Мурманской об</w:t>
      </w:r>
      <w:r>
        <w:rPr>
          <w:sz w:val="24"/>
        </w:rPr>
        <w:t xml:space="preserve">ласти от 27.12.2004</w:t>
      </w:r>
      <w:r>
        <w:rPr>
          <w:sz w:val="24"/>
        </w:rPr>
        <w:t xml:space="preserve"> </w:t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- </w:t>
        <w:br/>
        <w:t xml:space="preserve">на 25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rFonts w:eastAsia="Times New Roman"/>
          <w:sz w:val="24"/>
          <w:szCs w:val="24"/>
        </w:rPr>
        <w:t xml:space="preserve">- </w:t>
      </w:r>
      <w:r>
        <w:rPr>
          <w:sz w:val="24"/>
        </w:rPr>
        <w:t xml:space="preserve">с учетом численности воспитанников: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а) численность воспитанников дошкольного образовательного учреждения составляет свыше 250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70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 численность воспитанников дошкольного образовательного учреждения составляет 151 - 250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65 процента;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в) численность воспитанников дошкольного образовательного учреждения составляет 100 - 150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60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г) численность воспитанников дошкольного образовательного учреждения составляет ниже 100</w:t>
      </w:r>
      <w:r>
        <w:rPr>
          <w:b/>
          <w:sz w:val="24"/>
          <w:szCs w:val="24"/>
        </w:rPr>
        <w:t xml:space="preserve"> - </w:t>
      </w:r>
      <w:r>
        <w:rPr>
          <w:sz w:val="24"/>
        </w:rPr>
        <w:t xml:space="preserve">на 50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 за особенность организации образовательного процесса:</w:t>
      </w:r>
      <w:r>
        <w:rPr>
          <w:sz w:val="24"/>
        </w:rPr>
      </w:r>
      <w:r>
        <w:rPr>
          <w:sz w:val="24"/>
        </w:rPr>
      </w:r>
    </w:p>
    <w:p>
      <w:pPr>
        <w:ind w:firstLine="708"/>
        <w:jc w:val="both"/>
        <w:rPr>
          <w:sz w:val="24"/>
        </w:rPr>
      </w:pPr>
      <w:r>
        <w:rPr>
          <w:sz w:val="24"/>
        </w:rPr>
        <w:t xml:space="preserve">а) логопедический пункт </w:t>
      </w:r>
      <w:r>
        <w:rPr>
          <w:sz w:val="24"/>
        </w:rPr>
        <w:t xml:space="preserve">- </w:t>
      </w:r>
      <w:r>
        <w:rPr>
          <w:sz w:val="24"/>
        </w:rPr>
        <w:t xml:space="preserve">на 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 центр игровой поддержки ребенка </w:t>
      </w:r>
      <w:r>
        <w:rPr>
          <w:sz w:val="24"/>
        </w:rPr>
        <w:t xml:space="preserve">- </w:t>
      </w:r>
      <w:r>
        <w:rPr>
          <w:sz w:val="24"/>
        </w:rPr>
        <w:t xml:space="preserve">на 10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в) </w:t>
      </w:r>
      <w:r>
        <w:rPr>
          <w:sz w:val="24"/>
        </w:rPr>
        <w:t xml:space="preserve">консультационный центр</w:t>
      </w:r>
      <w:r>
        <w:rPr>
          <w:sz w:val="24"/>
        </w:rPr>
        <w:t xml:space="preserve"> -</w:t>
      </w:r>
      <w:r>
        <w:rPr>
          <w:sz w:val="24"/>
        </w:rPr>
        <w:t xml:space="preserve"> на 15 процентов.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2.4. При формировании </w:t>
      </w:r>
      <w:r>
        <w:rPr>
          <w:sz w:val="24"/>
        </w:rPr>
        <w:t xml:space="preserve">должностного</w:t>
      </w:r>
      <w:r>
        <w:rPr>
          <w:sz w:val="24"/>
        </w:rPr>
        <w:t xml:space="preserve"> оклада руководителей учреждений дополнительного образования учитываются следующие повышающие коэффициенты, образующие </w:t>
      </w:r>
      <w:r>
        <w:rPr>
          <w:sz w:val="24"/>
        </w:rPr>
        <w:t xml:space="preserve">должностной </w:t>
      </w:r>
      <w:r>
        <w:rPr>
          <w:sz w:val="24"/>
        </w:rPr>
        <w:t xml:space="preserve">оклад руководителей</w:t>
      </w:r>
      <w:r>
        <w:rPr>
          <w:sz w:val="24"/>
        </w:rPr>
        <w:t xml:space="preserve"> учреждений</w:t>
      </w:r>
      <w:r>
        <w:rPr>
          <w:sz w:val="24"/>
        </w:rPr>
        <w:t xml:space="preserve">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- </w:t>
      </w:r>
      <w:r>
        <w:rPr>
          <w:sz w:val="24"/>
        </w:rPr>
        <w:t xml:space="preserve">за работу в сельских населенных пунктах и поселках городского типа специалистам, указанным в </w:t>
      </w:r>
      <w:hyperlink r:id="rId13" w:tooltip="consultantplus://offline/ref=8E88993A0FC8BDC5ADF3F8BAC2FD495AD5A3BB3F059F3BDCC337E9750431B8654EF34C6DC591464C18ECBD2FR8Q" w:history="1">
        <w:r>
          <w:rPr>
            <w:sz w:val="24"/>
          </w:rPr>
          <w:t xml:space="preserve">статье 1</w:t>
        </w:r>
      </w:hyperlink>
      <w:r>
        <w:rPr>
          <w:sz w:val="24"/>
        </w:rPr>
        <w:t xml:space="preserve"> Закона Мурманской области</w:t>
      </w:r>
      <w:r>
        <w:rPr>
          <w:sz w:val="24"/>
        </w:rPr>
        <w:t xml:space="preserve"> от 27.12.2004</w:t>
      </w:r>
      <w:r>
        <w:rPr>
          <w:sz w:val="24"/>
        </w:rPr>
        <w:t xml:space="preserve"> </w:t>
        <w:br/>
        <w:t xml:space="preserve">№ 561-01-ЗМО «О мерах социальной поддержки отдельных категорий граждан, работающих в сельских населенных пунктах или поселках городского типа» </w:t>
      </w:r>
      <w:r>
        <w:rPr>
          <w:sz w:val="24"/>
        </w:rPr>
        <w:t xml:space="preserve">- </w:t>
        <w:br/>
        <w:t xml:space="preserve">на </w:t>
      </w:r>
      <w:r>
        <w:rPr>
          <w:sz w:val="24"/>
        </w:rPr>
        <w:t xml:space="preserve">25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rFonts w:eastAsia="Times New Roman"/>
          <w:sz w:val="24"/>
          <w:szCs w:val="24"/>
        </w:rPr>
        <w:t xml:space="preserve">- </w:t>
      </w:r>
      <w:r>
        <w:rPr>
          <w:sz w:val="24"/>
        </w:rPr>
        <w:t xml:space="preserve">с учетом численности </w:t>
      </w:r>
      <w:r>
        <w:rPr>
          <w:sz w:val="24"/>
        </w:rPr>
        <w:t xml:space="preserve">обучающихся</w:t>
      </w:r>
      <w:r>
        <w:rPr>
          <w:sz w:val="24"/>
        </w:rPr>
        <w:t xml:space="preserve">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а) </w:t>
      </w:r>
      <w:r>
        <w:rPr>
          <w:sz w:val="24"/>
        </w:rPr>
        <w:t xml:space="preserve">численность обучающихся в образовательных учреждениях дополнительного образования составляет свыше 1300 - на 50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б) </w:t>
      </w:r>
      <w:r>
        <w:rPr>
          <w:sz w:val="24"/>
        </w:rPr>
        <w:t xml:space="preserve">численность обучающихся в образовательных учреждениях дополнительного образования составляет</w:t>
      </w:r>
      <w:r>
        <w:rPr>
          <w:sz w:val="24"/>
        </w:rPr>
        <w:t xml:space="preserve"> 500 - 1300 - на 45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в) </w:t>
      </w:r>
      <w:r>
        <w:rPr>
          <w:sz w:val="24"/>
        </w:rPr>
        <w:t xml:space="preserve">численность обучающихся в образовательных учреждениях дополнительного образования составляет ниже 500 - на 10 процентов;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shd w:val="clear" w:color="auto" w:fill="ffffff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за особенность организации образовательного процесса: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i/>
          <w:sz w:val="24"/>
          <w:szCs w:val="24"/>
        </w:rPr>
      </w:pPr>
      <w:r>
        <w:rPr>
          <w:bCs/>
          <w:sz w:val="24"/>
          <w:szCs w:val="24"/>
        </w:rPr>
        <w:t xml:space="preserve">а) </w:t>
      </w:r>
      <w:r>
        <w:rPr>
          <w:bCs/>
          <w:sz w:val="24"/>
          <w:szCs w:val="24"/>
        </w:rPr>
        <w:t xml:space="preserve">центр тестирования ГТО </w:t>
      </w: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до 25 %</w:t>
      </w:r>
      <w:r>
        <w:rPr>
          <w:bCs/>
          <w:i/>
          <w:sz w:val="24"/>
          <w:szCs w:val="24"/>
        </w:rPr>
        <w:t xml:space="preserve">.</w:t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Компенсационные и стимулирующие</w:t>
      </w:r>
      <w:r>
        <w:rPr>
          <w:sz w:val="24"/>
          <w:szCs w:val="24"/>
        </w:rPr>
        <w:t xml:space="preserve"> выплаты устанавливаются в процентах к </w:t>
      </w:r>
      <w:r>
        <w:rPr>
          <w:sz w:val="24"/>
          <w:szCs w:val="24"/>
        </w:rPr>
        <w:t xml:space="preserve">новому </w:t>
      </w:r>
      <w:r>
        <w:rPr>
          <w:sz w:val="24"/>
          <w:szCs w:val="24"/>
        </w:rPr>
        <w:t xml:space="preserve">должностному окладу.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b/>
          <w:sz w:val="24"/>
          <w:szCs w:val="24"/>
        </w:rPr>
      </w:pPr>
      <w:r>
        <w:rPr>
          <w:sz w:val="24"/>
          <w:szCs w:val="24"/>
        </w:rPr>
        <w:t xml:space="preserve">2.5. Предельный уровень соотношения среднемесячной заработной платы руководителя учреждения и его заместителей и среднемесячной заработной платы работников учреждения (без учета руководителя и его заместителей) определяется в </w:t>
      </w:r>
      <w:r>
        <w:rPr>
          <w:sz w:val="24"/>
          <w:szCs w:val="24"/>
        </w:rPr>
        <w:t xml:space="preserve">максимальной кратности 8. Соотношение среднемесячной заработной платы руководителя и его заместителей и среднемесячной заработной платы работников </w:t>
      </w:r>
      <w:r>
        <w:rPr>
          <w:sz w:val="24"/>
          <w:szCs w:val="24"/>
        </w:rPr>
        <w:t xml:space="preserve">учреждения, формируемой за счет всех источников финансового обеспечения, рассчитывается за календарный год. Определение среднемесячной заработной платы в указанных целях осуществляется в соответствии с Положением об особенностях порядка исчисления средней </w:t>
      </w:r>
      <w:r>
        <w:rPr>
          <w:sz w:val="24"/>
          <w:szCs w:val="24"/>
        </w:rPr>
        <w:t xml:space="preserve">заработной платы, утвержденным П</w:t>
      </w:r>
      <w:r>
        <w:rPr>
          <w:sz w:val="24"/>
          <w:szCs w:val="24"/>
        </w:rPr>
        <w:t xml:space="preserve">остановлением Правительства Российской Федерации от 24.12.2007 № 922 «Об особенностях порядка исчисления средней заработной платы».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ПОРЯДОК И УСЛОВИЯ ПРИМЕНЕНИЯ ВЫПЛАТ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КОМПЕНСАЦИОННОГО ХАРАКТЕРА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3.1. В соответствии с трудовым законодательством в учреждении устанавливаются следующие выплаты компенсационного характера: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за совмещение профессий (должностей);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за увеличение объема работы или исполнение обязанностей временно отсутствующего работника без освобождения от работы, определенной трудовым договором;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за работу в выходные и нерабочие праздничные дни;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районный коэффициент и процентная надбавка за стаж работы в районах Крайнего Севера.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Доплата за совмещение профессий (дол</w:t>
      </w:r>
      <w:r>
        <w:rPr>
          <w:sz w:val="24"/>
          <w:szCs w:val="24"/>
        </w:rPr>
        <w:t xml:space="preserve">жностей) устанавливается руководителю учреждения при совмещении им профессий (должностей).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Доплата за увеличение объема работы </w:t>
      </w:r>
      <w:r>
        <w:rPr>
          <w:sz w:val="24"/>
          <w:szCs w:val="24"/>
        </w:rPr>
        <w:t xml:space="preserve">или исполнение обязанностей временно отсутствующего работника без освобождения от работы, определенной трудовым договором, устанавливается руководителю учреждения в случае увеличения установленного ему объема работы или возложения на него обязанностей врем</w:t>
      </w:r>
      <w:r>
        <w:rPr>
          <w:sz w:val="24"/>
          <w:szCs w:val="24"/>
        </w:rPr>
        <w:t xml:space="preserve">енно отсутствующего работника без освобождения от работы, определенной трудовым договором.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Повышенная оплата за работу в выходные и нерабочие праздничные дни производится руководителям учреждений, </w:t>
      </w:r>
      <w:r>
        <w:rPr>
          <w:sz w:val="24"/>
          <w:szCs w:val="24"/>
        </w:rPr>
        <w:t xml:space="preserve">привлекавшимся</w:t>
      </w:r>
      <w:r>
        <w:rPr>
          <w:sz w:val="24"/>
          <w:szCs w:val="24"/>
        </w:rPr>
        <w:t xml:space="preserve"> к работе в выходные и нерабочие праздничные дни в соответствии со статьей 153 Трудового кодекса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Размер районного коэффициента и полярных надбавок за стаж работы в районах Крайнего Севера устанавливается в соответствии </w:t>
      </w:r>
      <w:r>
        <w:rPr>
          <w:sz w:val="24"/>
          <w:szCs w:val="24"/>
        </w:rPr>
        <w:t xml:space="preserve">с решением Совета депутатов Печенгского муниципального округа от 28.10.2022 № 344 «О гарантиях и компенсациях для лиц, работающих и проживающих в районах Крайнего Севера, финансируемых за счет средств бюджета Печенгского муниципального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ПОРЯДОК И УСЛОВИЯ ПРИМЕНЕНИЯ ВЫПЛАТ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СТИМУЛИРУЮЩЕГО ХАРАКТЕРА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В целях поощрения руководителям учреждений в соответствии с Перечнем видов выплат стимулирующего характера, утвержденным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25.11.2021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1288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оплате труда работников муниципальных казенных, бюджетных и автономных учреждений Печенгского муниципального округа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могут устанавливаться следующие выплаты стимулирующего характера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основные результаты работы (месяц, квартал, год);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выполнение особо важных или срочных работ;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единовременные премии.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 </w:t>
      </w:r>
      <w:r>
        <w:rPr>
          <w:sz w:val="24"/>
          <w:szCs w:val="24"/>
        </w:rPr>
        <w:t xml:space="preserve">Премирование осуществляетс</w:t>
      </w:r>
      <w:r>
        <w:rPr>
          <w:sz w:val="24"/>
          <w:szCs w:val="24"/>
        </w:rPr>
        <w:t xml:space="preserve">я по решению </w:t>
      </w:r>
      <w:r>
        <w:rPr>
          <w:sz w:val="24"/>
          <w:szCs w:val="24"/>
        </w:rPr>
        <w:t xml:space="preserve">Главы Печенгского муниципального округа</w:t>
      </w:r>
      <w:r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 xml:space="preserve">ходатайства начальника отдела образования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с приложением анализа за выполнение показателей эффективности деятельности руководителей</w:t>
      </w:r>
      <w:r>
        <w:rPr>
          <w:sz w:val="24"/>
          <w:szCs w:val="24"/>
        </w:rPr>
        <w:t xml:space="preserve"> учреждений</w:t>
      </w:r>
      <w:r>
        <w:rPr>
          <w:bCs/>
          <w:sz w:val="24"/>
          <w:szCs w:val="24"/>
        </w:rPr>
        <w:t xml:space="preserve">. Премирование</w:t>
      </w:r>
      <w:r>
        <w:rPr>
          <w:bCs/>
          <w:sz w:val="24"/>
          <w:szCs w:val="24"/>
        </w:rPr>
        <w:t xml:space="preserve"> осуществляется</w:t>
      </w:r>
      <w:r>
        <w:rPr>
          <w:sz w:val="24"/>
          <w:szCs w:val="24"/>
        </w:rPr>
        <w:t xml:space="preserve"> в пределах бюджетных ассигнований на оплату труда учреждения, а также средств от приносящей доход деятельности, направленных учреждением на оплату труда.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итогам работы за период (месяц, квартал, год) выплачивается с целью поощрения руководителей</w:t>
      </w:r>
      <w:r>
        <w:rPr>
          <w:sz w:val="24"/>
          <w:szCs w:val="24"/>
        </w:rPr>
        <w:t xml:space="preserve"> учреждений</w:t>
      </w:r>
      <w:r>
        <w:rPr>
          <w:sz w:val="24"/>
          <w:szCs w:val="24"/>
        </w:rPr>
        <w:t xml:space="preserve"> за выполнение показателей эффективности деятельности учреждения, повышения материальной заинтересованности в улучшен</w:t>
      </w:r>
      <w:r>
        <w:rPr>
          <w:sz w:val="24"/>
          <w:szCs w:val="24"/>
        </w:rPr>
        <w:t xml:space="preserve">ии качества и результативности управленческой деятельности, развития творческой активности и инициативы, повышения качества предоставления услуг учреждения, стимулирования деятельности квалифицированных кадров. Показатели эффективности деятельности руковод</w:t>
      </w:r>
      <w:r>
        <w:rPr>
          <w:sz w:val="24"/>
          <w:szCs w:val="24"/>
        </w:rPr>
        <w:t xml:space="preserve">ителей учреждений определены в Приложениях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 № 2, № 3</w:t>
      </w:r>
      <w:r>
        <w:rPr>
          <w:sz w:val="24"/>
          <w:szCs w:val="24"/>
        </w:rPr>
        <w:t xml:space="preserve"> к настоящему Положению.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итогам работы за период (месяц, квартал, год) выплачивается в пределах бюджетных средств на оплату труда </w:t>
      </w:r>
      <w:r>
        <w:rPr>
          <w:sz w:val="24"/>
          <w:szCs w:val="24"/>
        </w:rPr>
        <w:t xml:space="preserve">руководителей учреждений.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результатам работы за период (месяц, квартал, год) </w:t>
      </w:r>
      <w:r>
        <w:rPr>
          <w:sz w:val="24"/>
          <w:szCs w:val="24"/>
        </w:rPr>
        <w:t xml:space="preserve">может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</w:t>
      </w:r>
      <w:r>
        <w:rPr>
          <w:sz w:val="24"/>
          <w:szCs w:val="24"/>
        </w:rPr>
        <w:t xml:space="preserve">выплачивается</w:t>
      </w:r>
      <w:r>
        <w:rPr>
          <w:sz w:val="24"/>
          <w:szCs w:val="24"/>
        </w:rPr>
        <w:t xml:space="preserve"> в случае применения к </w:t>
      </w:r>
      <w:r>
        <w:rPr>
          <w:sz w:val="24"/>
          <w:szCs w:val="24"/>
        </w:rPr>
        <w:t xml:space="preserve">руководителю </w:t>
      </w:r>
      <w:r>
        <w:rPr>
          <w:sz w:val="24"/>
          <w:szCs w:val="24"/>
        </w:rPr>
        <w:t xml:space="preserve">учреждения </w:t>
      </w:r>
      <w:r>
        <w:rPr>
          <w:sz w:val="24"/>
          <w:szCs w:val="24"/>
        </w:rPr>
        <w:t xml:space="preserve">дисциплинарного взыскания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>
        <w:rPr>
          <w:sz w:val="24"/>
          <w:szCs w:val="24"/>
        </w:rPr>
        <w:t xml:space="preserve">Премирование за выполнение особо важных и срочных работ – выплачивается руководителям учреждений единовременно по итогам выполнения особо важных и срочных работ с целью поощрения за оперативность и качественный результат труда.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за выполнение особо важных и срочных работ устанавливается и выплачивается по распоряжению администрации Печенгского муниципального округа, в котором указывается конкретное задание, выполненное руководителем учреждения, и размер премии.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 премии устанавливается в процентном отношении к месячному фонду оплаты труда руководител</w:t>
      </w:r>
      <w:r>
        <w:rPr>
          <w:sz w:val="24"/>
          <w:szCs w:val="24"/>
        </w:rPr>
        <w:t xml:space="preserve">я учреждения либо в абсолютной сумме в рублях. Максимальным размером премия за выполнение особо важных и срочных работ не ограничена. Выплата премии производится с начислением районного коэффициента и полярных надбавок за работу в условиях Крайнего Севера.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Руководителям учреждений может выплачиваться единовременная премия и материальная помощь.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 Единовременная премия выплачивается в размере полутора должностных окладов: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связи с 50, 55-летием со дня рождения и далее каждые 5 лет;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связи с юбилейными датами учреждения;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связи с государственными и профессиональными праздниками;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увольнением в связи с уходом на заслуженный отдых.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При наличии экономии по фонду оплаты труда материальная помощь руководителю учреждения может выплачиваться в связи: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 свадьбой, рождением ребенка – в размере 5000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 смертью руководителя или членов его семьи (супруг, дети и родители обоих супру</w:t>
      </w:r>
      <w:r>
        <w:rPr>
          <w:sz w:val="24"/>
          <w:szCs w:val="24"/>
        </w:rPr>
        <w:t xml:space="preserve">гов) -  в размере 10000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 тяжелым материальным положением, вызванным иными вескими причинами – в размере до полутора должностных окладов (в зависимости от конкретной ситуации).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На указанные премии и материальную помощь, предусмотренные пунктом 4.3 Положения, начисление районного коэффициента и полярных надбавок за работу в условиях Крайнего Севера не производится.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Решение о выплате единовременной премии и материальной помощи принимает Глава Печенгского муниципального округа на основании письменного за</w:t>
      </w:r>
      <w:r>
        <w:rPr>
          <w:sz w:val="24"/>
          <w:szCs w:val="24"/>
        </w:rPr>
        <w:t xml:space="preserve">явления руководителя учреждения и оформляется распоряжением администрации Печенгского муниципального округа.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Положению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9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дошкольных образовательных учреждений, подведомственных отделу образования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pPr w:horzAnchor="text" w:tblpXSpec="left" w:vertAnchor="text" w:tblpY="1" w:leftFromText="180" w:topFromText="0" w:rightFromText="180" w:bottomFromText="0"/>
        <w:tblW w:w="100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122"/>
        <w:gridCol w:w="4394"/>
        <w:gridCol w:w="1276"/>
        <w:gridCol w:w="1678"/>
      </w:tblGrid>
      <w:tr>
        <w:tblPrEx/>
        <w:trPr>
          <w:trHeight w:val="561"/>
        </w:trPr>
        <w:tc>
          <w:tcPr>
            <w:shd w:val="clear" w:color="auto" w:fill="auto"/>
            <w:tcW w:w="538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целевого показателя</w:t>
            </w:r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критерия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Количество баллов</w:t>
            </w:r>
            <w:r/>
          </w:p>
        </w:tc>
        <w:tc>
          <w:tcPr>
            <w:shd w:val="clear" w:color="auto" w:fill="auto"/>
            <w:tcW w:w="1678" w:type="dxa"/>
            <w:textDirection w:val="lrTb"/>
            <w:noWrap w:val="false"/>
          </w:tcPr>
          <w:p>
            <w:pPr>
              <w:jc w:val="center"/>
            </w:pPr>
            <w:r>
              <w:t xml:space="preserve">Примечание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1.</w:t>
            </w:r>
            <w:r/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r>
              <w:t xml:space="preserve">Соответствие деятельности  общеобразовательных учреждений (далее-ОУ) требованиям законодательства в сфере образования</w:t>
            </w:r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Итоговые документы проверок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2.</w:t>
            </w:r>
            <w:r/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Информационная открытость</w:t>
            </w:r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Результаты мониторинга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и обновление информации об ОУ на сайте bus.gov.ru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Результаты мониторинга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своевременное заполнение, внесение изменений и дополнений в АИС «Электронный детский сад»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Результаты мониторинга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textDirection w:val="lrTb"/>
            <w:noWrap w:val="false"/>
          </w:tcPr>
          <w:p>
            <w:pPr>
              <w:jc w:val="both"/>
            </w:pPr>
            <w:r>
              <w:t xml:space="preserve">3.</w:t>
            </w:r>
            <w:r/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both"/>
            </w:pPr>
            <w:r>
              <w:t xml:space="preserve">Функционирование системы государственно-общественного управления </w:t>
            </w:r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Наличие протоколов заседаний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4.</w:t>
            </w:r>
            <w:r/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</w:t>
            </w:r>
            <w:r>
              <w:rPr>
                <w:rFonts w:ascii="Times New Roman" w:hAnsi="Times New Roman" w:cs="Times New Roman"/>
              </w:rPr>
              <w:t xml:space="preserve">мероприятий по профилактике правонарушений у несовершеннолетних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реализация комплексов мер (программа, разделы в плане воспитательной работы и т.п.) по профилактике правонарушений и размещение на сайте результатов реализации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Отчётные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доля обучающихся общеобразоват</w:t>
            </w:r>
            <w:r>
              <w:t xml:space="preserve">ельных организаций, принявших участие в социально-психологическом тестировании, направленном на выявление рисков употребления наркотических средств и психотропных веществ, в общей численности обучающихся указанных организаций, подлежащих тестированию – 95%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Отчетные данные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доля общеобразовательных орга</w:t>
            </w:r>
            <w:r>
              <w:t xml:space="preserve">низаций, обучающиеся которых приняли участие в социально-психологическом тестировании, направленном на выявление рисков употребления наркотических средств и психотропных веществ, в общем числе общеобразовательных организаций, подлежащих тестированию – 100%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Отчетные данные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5.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Кадровое обеспечение образовательного процесса и реализация мероприятий </w:t>
            </w:r>
            <w:r>
              <w:t xml:space="preserve">по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повышению профессионального </w:t>
            </w:r>
            <w:r>
              <w:t xml:space="preserve">мастерства педагогических работников ОУ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укомплектованность ОУ кадрами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100 %</w:t>
            </w:r>
            <w:r/>
          </w:p>
          <w:p>
            <w:pPr>
              <w:jc w:val="center"/>
            </w:pPr>
            <w:r>
              <w:t xml:space="preserve">Штатное расписание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</w:pPr>
            <w:r>
              <w:t xml:space="preserve">Штатное расписание, приказы по ОУ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педагогических работников ОУ, </w:t>
            </w:r>
            <w:r>
              <w:t xml:space="preserve">принимающих участие в конкурсах, проектах различных уровней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</w:pPr>
            <w:r>
              <w:t xml:space="preserve">Приказы, сертификаты и т.д.</w:t>
            </w:r>
            <w:r/>
          </w:p>
        </w:tc>
      </w:tr>
      <w:tr>
        <w:tblPrEx/>
        <w:trPr>
          <w:trHeight w:val="440"/>
        </w:trPr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педагогов, имеющих первую и высшую категорию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50 %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 в ОУ наставничества для молодых и малоопытных специалистов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 по ОУ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highlight w:val="yellow"/>
              </w:rPr>
            </w:pPr>
            <w:r>
              <w:t xml:space="preserve">участие ОУ в инновационной, экспериментальной деятельности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Приказы, сертификаты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53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6.</w:t>
            </w:r>
            <w:r/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/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</w:pPr>
            <w:r>
              <w:t xml:space="preserve">исполнение  муниципального задания на оказание (выполнение) муниципальных услуг (работ)   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своевременность заключения договоров, контрактов, соблюдение финансовой дисциплины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8" w:type="dxa"/>
            <w:textDirection w:val="lrTb"/>
            <w:noWrap w:val="false"/>
          </w:tcPr>
          <w:p>
            <w:pPr>
              <w:jc w:val="both"/>
            </w:pPr>
            <w:r>
              <w:t xml:space="preserve">7.</w:t>
            </w:r>
            <w:r/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воспитанников, принявших участие в  конкурсах, фестивалях, концертах и т.д. различных уровней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30 %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93"/>
        </w:trPr>
        <w:tc>
          <w:tcPr>
            <w:shd w:val="clear" w:color="auto" w:fill="auto"/>
            <w:tcW w:w="538" w:type="dxa"/>
            <w:textDirection w:val="lrTb"/>
            <w:noWrap w:val="false"/>
          </w:tcPr>
          <w:p>
            <w:pPr>
              <w:jc w:val="both"/>
            </w:pPr>
            <w:r>
              <w:t xml:space="preserve">8.</w:t>
            </w:r>
            <w:r/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охват воспитанников дополнительными образовательными услугами в ОУ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78" w:type="dxa"/>
            <w:vAlign w:val="center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 по ОУ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929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28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167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92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 w:clear="all"/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9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общеобразовательных учреждений, подведомственных отделу образования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98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4536"/>
        <w:gridCol w:w="1134"/>
        <w:gridCol w:w="1498"/>
      </w:tblGrid>
      <w:tr>
        <w:tblPrEx/>
        <w:trPr>
          <w:trHeight w:val="561"/>
        </w:trPr>
        <w:tc>
          <w:tcPr>
            <w:shd w:val="clear" w:color="auto" w:fill="auto"/>
            <w:tcW w:w="5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целевого показателя</w:t>
            </w:r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критерия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Количество баллов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center"/>
            </w:pPr>
            <w:r>
              <w:t xml:space="preserve">Примечание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1.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r>
              <w:t xml:space="preserve">Соответствие деятельности ОУ требованиям законодательства в сфере образования</w:t>
            </w:r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Итоговые документы проверок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2.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Информационная открытость</w:t>
            </w:r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мониторинга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и обновление информации об ОУ на сайте bus.gov.ru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мониторинга 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textDirection w:val="lrTb"/>
            <w:noWrap w:val="false"/>
          </w:tcPr>
          <w:p>
            <w:pPr>
              <w:jc w:val="both"/>
            </w:pPr>
            <w:r>
              <w:t xml:space="preserve">3.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Функционирование системы государственно-общественного управления </w:t>
            </w:r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Наличие протоколов заседаний   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textDirection w:val="lrTb"/>
            <w:noWrap w:val="false"/>
          </w:tcPr>
          <w:p>
            <w:pPr>
              <w:jc w:val="both"/>
            </w:pPr>
            <w:r>
              <w:t xml:space="preserve">4.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Реализация мероприятий по профилактике правонарушений </w:t>
            </w:r>
            <w:r>
              <w:t xml:space="preserve">у</w:t>
            </w:r>
            <w:r>
              <w:t xml:space="preserve"> несовершенно летних</w:t>
            </w:r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реализация комплексов мер (программа, разделы в плане воспитательной работы и т.п.) по профилактике правонарушений и размещение на сайте результатов </w:t>
            </w:r>
            <w:r/>
          </w:p>
          <w:p>
            <w:pPr>
              <w:jc w:val="both"/>
            </w:pPr>
            <w:r>
              <w:t xml:space="preserve">реализации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5.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 по сохранению и укреплению здоровья детей, организация физкультурно-оздоровительной и спортивной работы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безопа</w:t>
            </w:r>
            <w:r>
              <w:t xml:space="preserve">сности жизнедеятельности участников образовательного процесса (отсутствие травматизма, иных  несчастных случаев в учреждении, происшедших по причине нарушений  требований СанПиН, охраны труда, халатного отношения работников учреждения к своим обязанностям)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создание условий  в ОУ для организации  питания и охват горячим  питанием обучающихся 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95% и более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>
              <w:t xml:space="preserve">Мониторинг, отчётные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доля обучающихся,  принявших участие в спортивных мероприятиях различных уровней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30% и более</w:t>
            </w:r>
            <w:r/>
          </w:p>
          <w:p>
            <w:pPr>
              <w:jc w:val="both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6.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Кадровое обеспечение образовательного процесса и реализация мероприятий </w:t>
            </w:r>
            <w:r>
              <w:t xml:space="preserve">по</w:t>
            </w:r>
            <w:r>
              <w:t xml:space="preserve"> </w:t>
            </w:r>
            <w:r/>
          </w:p>
          <w:p>
            <w:pPr>
              <w:jc w:val="both"/>
              <w:rPr>
                <w:color w:val="ff0000"/>
              </w:rPr>
            </w:pPr>
            <w:r>
              <w:t xml:space="preserve">повышению профессионального мастерства педагогических работников ОУ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укомплектованность ОУ кадрами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100 %</w:t>
            </w:r>
            <w:r/>
          </w:p>
          <w:p>
            <w:pPr>
              <w:jc w:val="both"/>
            </w:pPr>
            <w:r>
              <w:t xml:space="preserve">Штатное расписание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>
              <w:t xml:space="preserve">Штатное расписание, приказы по ОУ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педагогов, имеющих первую и высшую категорию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50 %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highlight w:val="yellow"/>
              </w:rPr>
            </w:pPr>
            <w:r>
              <w:t xml:space="preserve">участие ОУ в инновационной, экспериментальной деятельности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Приказы, сертификаты 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textDirection w:val="lrTb"/>
            <w:noWrap w:val="false"/>
          </w:tcPr>
          <w:p>
            <w:pPr>
              <w:jc w:val="both"/>
            </w:pPr>
            <w:r>
              <w:t xml:space="preserve">7.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Результативность финансово-экономической </w:t>
            </w:r>
            <w:r>
              <w:t xml:space="preserve">деятельности и ресурсного обеспечения образовательного  учреждения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</w:pPr>
            <w:r>
              <w:t xml:space="preserve">исполнение  муниципального задания на оказание (выполнение) муниципальных услуг (работ)   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jc w:val="both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534" w:type="dxa"/>
            <w:textDirection w:val="lrTb"/>
            <w:noWrap w:val="false"/>
          </w:tcPr>
          <w:p>
            <w:pPr>
              <w:jc w:val="both"/>
            </w:pPr>
            <w:r>
              <w:t xml:space="preserve">8.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наличие достижений в конкурсах, олимпиадах, соревнованиях, общественно значимых мероприятиях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1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Приказы, сертификаты и т.п.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9.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охват </w:t>
            </w:r>
            <w:r>
              <w:rPr>
                <w:rFonts w:ascii="Times New Roman" w:hAnsi="Times New Roman" w:cs="Times New Roman"/>
              </w:rPr>
              <w:t xml:space="preserve">обучающихся</w:t>
            </w:r>
            <w:r>
              <w:rPr>
                <w:rFonts w:ascii="Times New Roman" w:hAnsi="Times New Roman" w:cs="Times New Roman"/>
              </w:rPr>
              <w:t xml:space="preserve"> дополнительными образовательными услугами в ОУ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Приказы по ОУ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социокультурных проектов (школьный театр, музей, научное общество обучающихся и др.)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и более проектов Отчётные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10.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качества общего образования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результативность освоения </w:t>
            </w:r>
            <w:r>
              <w:rPr>
                <w:rFonts w:ascii="Times New Roman" w:hAnsi="Times New Roman" w:cs="Times New Roman"/>
              </w:rPr>
              <w:t xml:space="preserve">обучающимися</w:t>
            </w:r>
            <w:r>
              <w:rPr>
                <w:rFonts w:ascii="Times New Roman" w:hAnsi="Times New Roman" w:cs="Times New Roman"/>
              </w:rPr>
              <w:t xml:space="preserve"> государственных образовательных стандартов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Показатель качества знаний выше среднего по району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положительная динамика результатов государственной итоговой аттестации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53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условий для  реализации </w:t>
            </w:r>
            <w:r>
              <w:rPr>
                <w:rFonts w:ascii="Times New Roman" w:hAnsi="Times New Roman" w:cs="Times New Roman"/>
              </w:rPr>
              <w:t xml:space="preserve">обучающимися</w:t>
            </w:r>
            <w:r>
              <w:rPr>
                <w:rFonts w:ascii="Times New Roman" w:hAnsi="Times New Roman" w:cs="Times New Roman"/>
              </w:rPr>
              <w:t xml:space="preserve"> индивидуальных учебных планов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Отчётные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93"/>
        </w:trPr>
        <w:tc>
          <w:tcPr>
            <w:shd w:val="clear" w:color="auto" w:fill="auto"/>
            <w:tcW w:w="534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929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1498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 w:clear="all"/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9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3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учреждений дополнительного образования детей, подведомственных отделу образования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96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54"/>
        <w:gridCol w:w="4110"/>
        <w:gridCol w:w="1134"/>
        <w:gridCol w:w="1592"/>
      </w:tblGrid>
      <w:tr>
        <w:tblPrEx/>
        <w:trPr>
          <w:trHeight w:val="561"/>
        </w:trPr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целевого показателя</w:t>
            </w:r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критерия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Количество баллов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center"/>
            </w:pPr>
            <w:r>
              <w:t xml:space="preserve">Примечание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1.</w:t>
            </w:r>
            <w:r/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Соответствие деятельности ОУ требованиям законодательства в сфере образования</w:t>
            </w:r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Итоговые документы проверок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  <w:p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</w:r>
            <w:r>
              <w:rPr>
                <w:highlight w:val="green"/>
              </w:rPr>
            </w:r>
            <w:r>
              <w:rPr>
                <w:highlight w:val="green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2.</w:t>
            </w:r>
            <w:r/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Информационная открытость</w:t>
            </w:r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мониторинга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размещение и обновление информации об ОУ на сайте bus.gov.ru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мониторинга 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регулярное освещение в СМИ успешных проектов, реализуемых в ОУ, популяризация достижений ОУ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</w:pPr>
            <w:r>
              <w:t xml:space="preserve">3.</w:t>
            </w:r>
            <w:r/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jc w:val="both"/>
            </w:pPr>
            <w:r>
              <w:t xml:space="preserve">Функционирование системы государственно-общественного управления </w:t>
            </w:r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наличие протоколов заседаний   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4.</w:t>
            </w:r>
            <w:r/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 по сохранению и укреплению здоровья детей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осуществление мероприятий, направленных на формирование здорового образа жизни </w:t>
            </w:r>
            <w:r>
              <w:t xml:space="preserve">у</w:t>
            </w:r>
            <w:r>
              <w:t xml:space="preserve"> обучающихся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 Отчётные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безопа</w:t>
            </w:r>
            <w:r>
              <w:t xml:space="preserve">сности жизнедеятельности участников образовательного процесса (отсутствие травматизма, иных  несчастных случаев в учреждении, происшедших по причине нарушений  требований СанПиН, охраны труда, халатного отношения работников учреждения к своим обязанностям)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5.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Кадровое обеспечение образовательного процесса и реализация мероприятий </w:t>
            </w:r>
            <w:r>
              <w:t xml:space="preserve">по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повышению профессионального мастерства педагогических работников ОУ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 </w:t>
            </w:r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укомплектованность ОУ кадрами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100 %</w:t>
            </w:r>
            <w:r/>
          </w:p>
          <w:p>
            <w:pPr>
              <w:jc w:val="both"/>
            </w:pPr>
            <w:r>
              <w:t xml:space="preserve">Штатное расписание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>
              <w:t xml:space="preserve">Штатное расписание, приказы по ОУ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педагогов, имеющих первую и высшую категорию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50 %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доля педагогических работников ОУ, принимающих участие в деятельности инновационных, </w:t>
            </w:r>
            <w:r>
              <w:t xml:space="preserve">стажировочных</w:t>
            </w:r>
            <w:r>
              <w:t xml:space="preserve"> площадок, конкурсах, проектах различных уровней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30% и более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>
              <w:t xml:space="preserve">Приказы, сертификаты и т.д.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r>
              <w:t xml:space="preserve">организация  в ОУ наставничества для молодых и малоопытных специалистов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r>
              <w:t xml:space="preserve">Приказы по ОУ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6.</w:t>
            </w:r>
            <w:r/>
          </w:p>
          <w:p>
            <w:pPr>
              <w:pStyle w:val="929"/>
              <w:jc w:val="both"/>
            </w:pPr>
            <w:r>
              <w:rPr>
                <w:rFonts w:ascii="Times New Roman" w:hAnsi="Times New Roman" w:cs="Times New Roman"/>
              </w:rPr>
              <w:t xml:space="preserve"> </w:t>
            </w:r>
            <w:r/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исполнение  муниципального задания на оказание (выполнение) муниципальных услуг (работ)   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Отчетные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своевременность заключения договоров, контрактов, соблюдение финансовой дисциплины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074"/>
        </w:trPr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</w:pPr>
            <w:r>
              <w:t xml:space="preserve">7.</w:t>
            </w:r>
            <w:r/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программ, направленных на работу с одаренными детьми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наличие достижений воспитанников в конкурсах, фестивалях, концертах, соревнованиях и т.д. различных уровней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1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Приказы, сертификаты и т.п.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</w:pPr>
            <w:r>
              <w:t xml:space="preserve">8.</w:t>
            </w:r>
            <w:r/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93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программ дополнительного образования</w:t>
            </w:r>
            <w:r>
              <w:rPr>
                <w:sz w:val="20"/>
                <w:szCs w:val="20"/>
              </w:rPr>
              <w:br/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сохранение контингента детей, охваченных дополнительными образовательными услугами 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jc w:val="both"/>
            </w:pPr>
            <w:r>
              <w:t xml:space="preserve">95% и более </w:t>
            </w:r>
            <w:r/>
          </w:p>
          <w:p>
            <w:pPr>
              <w:jc w:val="both"/>
            </w:pPr>
            <w:r>
              <w:t xml:space="preserve">Отчет исполнения муниципального задания, статистические данные</w:t>
            </w:r>
            <w:r/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</w:pPr>
            <w:r>
              <w:t xml:space="preserve">9.</w:t>
            </w:r>
            <w:r/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Реализация социокультурных проектов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и проведение учреждением проектов, районных мероприятий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и более проектов Отчётные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</w:pPr>
            <w:r>
              <w:t xml:space="preserve">10.</w:t>
            </w:r>
            <w:r/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Реализация мероприятий по профилактике правонарушений у несовершеннолетних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</w:pPr>
            <w:r>
              <w:t xml:space="preserve">реализация комплексов мер по профилактике правонарушений и размещение на сайте результатов реализации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Отчетные данные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929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1592" w:type="dxa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  <w:bCs/>
        </w:rPr>
      </w:r>
    </w:p>
    <w:sectPr>
      <w:footnotePr/>
      <w:endnotePr/>
      <w:type w:val="nextPage"/>
      <w:pgSz w:w="11909" w:h="16834" w:orient="portrait"/>
      <w:pgMar w:top="1134" w:right="850" w:bottom="1134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2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num w:numId="1">
    <w:abstractNumId w:val="21"/>
  </w:num>
  <w:num w:numId="2">
    <w:abstractNumId w:val="30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9"/>
  </w:num>
  <w:num w:numId="4">
    <w:abstractNumId w:val="14"/>
  </w:num>
  <w:num w:numId="5">
    <w:abstractNumId w:val="17"/>
  </w:num>
  <w:num w:numId="6">
    <w:abstractNumId w:val="12"/>
  </w:num>
  <w:num w:numId="7">
    <w:abstractNumId w:val="20"/>
  </w:num>
  <w:num w:numId="8">
    <w:abstractNumId w:val="16"/>
  </w:num>
  <w:num w:numId="9">
    <w:abstractNumId w:val="22"/>
  </w:num>
  <w:num w:numId="10">
    <w:abstractNumId w:val="27"/>
  </w:num>
  <w:num w:numId="11">
    <w:abstractNumId w:val="8"/>
  </w:num>
  <w:num w:numId="12">
    <w:abstractNumId w:val="18"/>
  </w:num>
  <w:num w:numId="13">
    <w:abstractNumId w:val="23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13"/>
  </w:num>
  <w:num w:numId="19">
    <w:abstractNumId w:val="15"/>
  </w:num>
  <w:num w:numId="20">
    <w:abstractNumId w:val="25"/>
  </w:num>
  <w:num w:numId="21">
    <w:abstractNumId w:val="7"/>
  </w:num>
  <w:num w:numId="22">
    <w:abstractNumId w:val="28"/>
  </w:num>
  <w:num w:numId="23">
    <w:abstractNumId w:val="4"/>
  </w:num>
  <w:num w:numId="24">
    <w:abstractNumId w:val="32"/>
  </w:num>
  <w:num w:numId="25">
    <w:abstractNumId w:val="33"/>
  </w:num>
  <w:num w:numId="26">
    <w:abstractNumId w:val="24"/>
  </w:num>
  <w:num w:numId="27">
    <w:abstractNumId w:val="26"/>
  </w:num>
  <w:num w:numId="28">
    <w:abstractNumId w:val="29"/>
  </w:num>
  <w:num w:numId="29">
    <w:abstractNumId w:val="31"/>
  </w:num>
  <w:num w:numId="30">
    <w:abstractNumId w:val="1"/>
  </w:num>
  <w:num w:numId="31">
    <w:abstractNumId w:val="5"/>
  </w:num>
  <w:num w:numId="32">
    <w:abstractNumId w:val="9"/>
  </w:num>
  <w:num w:numId="33">
    <w:abstractNumId w:val="6"/>
  </w:num>
  <w:num w:numId="34">
    <w:abstractNumId w:val="3"/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3">
    <w:name w:val="Heading 1 Char"/>
    <w:basedOn w:val="748"/>
    <w:link w:val="739"/>
    <w:uiPriority w:val="9"/>
    <w:rPr>
      <w:rFonts w:ascii="Arial" w:hAnsi="Arial" w:eastAsia="Arial" w:cs="Arial"/>
      <w:sz w:val="40"/>
      <w:szCs w:val="40"/>
    </w:rPr>
  </w:style>
  <w:style w:type="character" w:styleId="724">
    <w:name w:val="Heading 2 Char"/>
    <w:basedOn w:val="748"/>
    <w:link w:val="740"/>
    <w:uiPriority w:val="9"/>
    <w:rPr>
      <w:rFonts w:ascii="Arial" w:hAnsi="Arial" w:eastAsia="Arial" w:cs="Arial"/>
      <w:sz w:val="34"/>
    </w:rPr>
  </w:style>
  <w:style w:type="character" w:styleId="725">
    <w:name w:val="Heading 3 Char"/>
    <w:basedOn w:val="748"/>
    <w:link w:val="741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5 Char"/>
    <w:basedOn w:val="748"/>
    <w:link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27">
    <w:name w:val="Heading 6 Char"/>
    <w:basedOn w:val="748"/>
    <w:link w:val="744"/>
    <w:uiPriority w:val="9"/>
    <w:rPr>
      <w:rFonts w:ascii="Arial" w:hAnsi="Arial" w:eastAsia="Arial" w:cs="Arial"/>
      <w:b/>
      <w:bCs/>
      <w:sz w:val="22"/>
      <w:szCs w:val="22"/>
    </w:rPr>
  </w:style>
  <w:style w:type="character" w:styleId="728">
    <w:name w:val="Heading 7 Char"/>
    <w:basedOn w:val="748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>
    <w:name w:val="Heading 8 Char"/>
    <w:basedOn w:val="748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30">
    <w:name w:val="Heading 9 Char"/>
    <w:basedOn w:val="748"/>
    <w:link w:val="747"/>
    <w:uiPriority w:val="9"/>
    <w:rPr>
      <w:rFonts w:ascii="Arial" w:hAnsi="Arial" w:eastAsia="Arial" w:cs="Arial"/>
      <w:i/>
      <w:iCs/>
      <w:sz w:val="21"/>
      <w:szCs w:val="21"/>
    </w:rPr>
  </w:style>
  <w:style w:type="character" w:styleId="731">
    <w:name w:val="Title Char"/>
    <w:basedOn w:val="748"/>
    <w:link w:val="761"/>
    <w:uiPriority w:val="10"/>
    <w:rPr>
      <w:sz w:val="48"/>
      <w:szCs w:val="48"/>
    </w:rPr>
  </w:style>
  <w:style w:type="character" w:styleId="732">
    <w:name w:val="Subtitle Char"/>
    <w:basedOn w:val="748"/>
    <w:link w:val="763"/>
    <w:uiPriority w:val="11"/>
    <w:rPr>
      <w:sz w:val="24"/>
      <w:szCs w:val="24"/>
    </w:rPr>
  </w:style>
  <w:style w:type="character" w:styleId="733">
    <w:name w:val="Quote Char"/>
    <w:link w:val="765"/>
    <w:uiPriority w:val="29"/>
    <w:rPr>
      <w:i/>
    </w:rPr>
  </w:style>
  <w:style w:type="character" w:styleId="734">
    <w:name w:val="Intense Quote Char"/>
    <w:link w:val="767"/>
    <w:uiPriority w:val="30"/>
    <w:rPr>
      <w:i/>
    </w:rPr>
  </w:style>
  <w:style w:type="character" w:styleId="735">
    <w:name w:val="Caption Char"/>
    <w:basedOn w:val="771"/>
    <w:link w:val="769"/>
    <w:uiPriority w:val="99"/>
  </w:style>
  <w:style w:type="character" w:styleId="736">
    <w:name w:val="Footnote Text Char"/>
    <w:link w:val="900"/>
    <w:uiPriority w:val="99"/>
    <w:rPr>
      <w:sz w:val="18"/>
    </w:rPr>
  </w:style>
  <w:style w:type="character" w:styleId="737">
    <w:name w:val="Endnote Text Char"/>
    <w:link w:val="903"/>
    <w:uiPriority w:val="99"/>
    <w:rPr>
      <w:sz w:val="20"/>
    </w:rPr>
  </w:style>
  <w:style w:type="paragraph" w:styleId="738" w:default="1">
    <w:name w:val="Normal"/>
    <w:qFormat/>
    <w:rPr>
      <w:rFonts w:eastAsia="Calibri"/>
    </w:rPr>
  </w:style>
  <w:style w:type="paragraph" w:styleId="739">
    <w:name w:val="Heading 1"/>
    <w:basedOn w:val="738"/>
    <w:next w:val="738"/>
    <w:link w:val="7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0">
    <w:name w:val="Heading 2"/>
    <w:basedOn w:val="738"/>
    <w:next w:val="738"/>
    <w:link w:val="75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1">
    <w:name w:val="Heading 3"/>
    <w:basedOn w:val="738"/>
    <w:next w:val="738"/>
    <w:link w:val="7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2">
    <w:name w:val="Heading 4"/>
    <w:basedOn w:val="738"/>
    <w:next w:val="738"/>
    <w:link w:val="917"/>
    <w:qFormat/>
    <w:pPr>
      <w:ind w:firstLine="709"/>
      <w:keepNext/>
      <w:outlineLvl w:val="3"/>
    </w:pPr>
    <w:rPr>
      <w:sz w:val="28"/>
    </w:rPr>
  </w:style>
  <w:style w:type="paragraph" w:styleId="743">
    <w:name w:val="Heading 5"/>
    <w:basedOn w:val="738"/>
    <w:next w:val="738"/>
    <w:link w:val="7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738"/>
    <w:next w:val="738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738"/>
    <w:next w:val="738"/>
    <w:link w:val="7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738"/>
    <w:next w:val="738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738"/>
    <w:next w:val="738"/>
    <w:link w:val="7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character" w:styleId="751" w:customStyle="1">
    <w:name w:val="Заголовок 1 Знак"/>
    <w:basedOn w:val="748"/>
    <w:link w:val="739"/>
    <w:uiPriority w:val="9"/>
    <w:rPr>
      <w:rFonts w:ascii="Arial" w:hAnsi="Arial" w:eastAsia="Arial" w:cs="Arial"/>
      <w:sz w:val="40"/>
      <w:szCs w:val="40"/>
    </w:rPr>
  </w:style>
  <w:style w:type="character" w:styleId="752" w:customStyle="1">
    <w:name w:val="Заголовок 2 Знак"/>
    <w:basedOn w:val="748"/>
    <w:link w:val="740"/>
    <w:uiPriority w:val="9"/>
    <w:rPr>
      <w:rFonts w:ascii="Arial" w:hAnsi="Arial" w:eastAsia="Arial" w:cs="Arial"/>
      <w:sz w:val="34"/>
    </w:rPr>
  </w:style>
  <w:style w:type="character" w:styleId="753" w:customStyle="1">
    <w:name w:val="Заголовок 3 Знак"/>
    <w:basedOn w:val="748"/>
    <w:link w:val="741"/>
    <w:uiPriority w:val="9"/>
    <w:rPr>
      <w:rFonts w:ascii="Arial" w:hAnsi="Arial" w:eastAsia="Arial" w:cs="Arial"/>
      <w:sz w:val="30"/>
      <w:szCs w:val="30"/>
    </w:rPr>
  </w:style>
  <w:style w:type="character" w:styleId="754" w:customStyle="1">
    <w:name w:val="Heading 4 Char"/>
    <w:basedOn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55" w:customStyle="1">
    <w:name w:val="Заголовок 5 Знак"/>
    <w:basedOn w:val="748"/>
    <w:link w:val="743"/>
    <w:uiPriority w:val="9"/>
    <w:rPr>
      <w:rFonts w:ascii="Arial" w:hAnsi="Arial" w:eastAsia="Arial" w:cs="Arial"/>
      <w:b/>
      <w:bCs/>
      <w:sz w:val="24"/>
      <w:szCs w:val="24"/>
    </w:rPr>
  </w:style>
  <w:style w:type="character" w:styleId="756" w:customStyle="1">
    <w:name w:val="Заголовок 6 Знак"/>
    <w:basedOn w:val="748"/>
    <w:link w:val="744"/>
    <w:uiPriority w:val="9"/>
    <w:rPr>
      <w:rFonts w:ascii="Arial" w:hAnsi="Arial" w:eastAsia="Arial" w:cs="Arial"/>
      <w:b/>
      <w:bCs/>
      <w:sz w:val="22"/>
      <w:szCs w:val="22"/>
    </w:rPr>
  </w:style>
  <w:style w:type="character" w:styleId="757" w:customStyle="1">
    <w:name w:val="Заголовок 7 Знак"/>
    <w:basedOn w:val="748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Заголовок 8 Знак"/>
    <w:basedOn w:val="748"/>
    <w:link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9" w:customStyle="1">
    <w:name w:val="Заголовок 9 Знак"/>
    <w:basedOn w:val="748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60">
    <w:name w:val="No Spacing"/>
    <w:uiPriority w:val="1"/>
    <w:qFormat/>
  </w:style>
  <w:style w:type="paragraph" w:styleId="761">
    <w:name w:val="Title"/>
    <w:basedOn w:val="738"/>
    <w:next w:val="738"/>
    <w:link w:val="7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2" w:customStyle="1">
    <w:name w:val="Название Знак"/>
    <w:basedOn w:val="748"/>
    <w:link w:val="761"/>
    <w:uiPriority w:val="10"/>
    <w:rPr>
      <w:sz w:val="48"/>
      <w:szCs w:val="48"/>
    </w:rPr>
  </w:style>
  <w:style w:type="paragraph" w:styleId="763">
    <w:name w:val="Subtitle"/>
    <w:basedOn w:val="738"/>
    <w:next w:val="738"/>
    <w:link w:val="764"/>
    <w:uiPriority w:val="11"/>
    <w:qFormat/>
    <w:pPr>
      <w:spacing w:before="200" w:after="200"/>
    </w:pPr>
    <w:rPr>
      <w:sz w:val="24"/>
      <w:szCs w:val="24"/>
    </w:rPr>
  </w:style>
  <w:style w:type="character" w:styleId="764" w:customStyle="1">
    <w:name w:val="Подзаголовок Знак"/>
    <w:basedOn w:val="748"/>
    <w:link w:val="763"/>
    <w:uiPriority w:val="11"/>
    <w:rPr>
      <w:sz w:val="24"/>
      <w:szCs w:val="24"/>
    </w:rPr>
  </w:style>
  <w:style w:type="paragraph" w:styleId="765">
    <w:name w:val="Quote"/>
    <w:basedOn w:val="738"/>
    <w:next w:val="738"/>
    <w:link w:val="766"/>
    <w:uiPriority w:val="29"/>
    <w:qFormat/>
    <w:pPr>
      <w:ind w:left="720" w:right="720"/>
    </w:pPr>
    <w:rPr>
      <w:i/>
    </w:rPr>
  </w:style>
  <w:style w:type="character" w:styleId="766" w:customStyle="1">
    <w:name w:val="Цитата 2 Знак"/>
    <w:link w:val="765"/>
    <w:uiPriority w:val="29"/>
    <w:rPr>
      <w:i/>
    </w:rPr>
  </w:style>
  <w:style w:type="paragraph" w:styleId="767">
    <w:name w:val="Intense Quote"/>
    <w:basedOn w:val="738"/>
    <w:next w:val="738"/>
    <w:link w:val="76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8" w:customStyle="1">
    <w:name w:val="Выделенная цитата Знак"/>
    <w:link w:val="767"/>
    <w:uiPriority w:val="30"/>
    <w:rPr>
      <w:i/>
    </w:rPr>
  </w:style>
  <w:style w:type="paragraph" w:styleId="769">
    <w:name w:val="Footer"/>
    <w:basedOn w:val="738"/>
    <w:link w:val="77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0" w:customStyle="1">
    <w:name w:val="Footer Char"/>
    <w:basedOn w:val="748"/>
    <w:uiPriority w:val="99"/>
  </w:style>
  <w:style w:type="paragraph" w:styleId="771">
    <w:name w:val="Caption"/>
    <w:basedOn w:val="738"/>
    <w:next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2" w:customStyle="1">
    <w:name w:val="Нижний колонтитул Знак"/>
    <w:link w:val="769"/>
    <w:uiPriority w:val="99"/>
  </w:style>
  <w:style w:type="table" w:styleId="773">
    <w:name w:val="Table Grid"/>
    <w:basedOn w:val="74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4" w:customStyle="1">
    <w:name w:val="Table Grid Light"/>
    <w:basedOn w:val="74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Plain Table 1"/>
    <w:basedOn w:val="74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Plain Table 2"/>
    <w:basedOn w:val="74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Plain Table 3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Plain Table 4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Plain Table 5"/>
    <w:basedOn w:val="74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1 Light"/>
    <w:basedOn w:val="74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4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4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4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4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4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4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2"/>
    <w:basedOn w:val="74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4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4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4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4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4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4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"/>
    <w:basedOn w:val="74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4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4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4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4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4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4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4"/>
    <w:basedOn w:val="74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4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4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4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4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4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4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Grid Table 5 Dark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4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6 Colorful"/>
    <w:basedOn w:val="74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4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4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4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4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Grid Table 7 Colorful"/>
    <w:basedOn w:val="74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4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4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4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4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4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4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1 Light"/>
    <w:basedOn w:val="74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4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4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4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4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4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4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2"/>
    <w:basedOn w:val="74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4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4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4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4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4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4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List Table 3"/>
    <w:basedOn w:val="74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4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4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4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4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"/>
    <w:basedOn w:val="74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4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4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4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4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4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4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5 Dark"/>
    <w:basedOn w:val="74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4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4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4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4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6 Colorful"/>
    <w:basedOn w:val="74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4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4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4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4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4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4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List Table 7 Colorful"/>
    <w:basedOn w:val="74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4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4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4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4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4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4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4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4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4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4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4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4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4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4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4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4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4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4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4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4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4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000ff" w:themeColor="hyperlink"/>
      <w:u w:val="single"/>
    </w:rPr>
  </w:style>
  <w:style w:type="paragraph" w:styleId="900">
    <w:name w:val="footnote text"/>
    <w:basedOn w:val="738"/>
    <w:link w:val="901"/>
    <w:uiPriority w:val="99"/>
    <w:semiHidden/>
    <w:unhideWhenUsed/>
    <w:pPr>
      <w:spacing w:after="40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basedOn w:val="748"/>
    <w:uiPriority w:val="99"/>
    <w:unhideWhenUsed/>
    <w:rPr>
      <w:vertAlign w:val="superscript"/>
    </w:rPr>
  </w:style>
  <w:style w:type="paragraph" w:styleId="903">
    <w:name w:val="endnote text"/>
    <w:basedOn w:val="738"/>
    <w:link w:val="904"/>
    <w:uiPriority w:val="99"/>
    <w:semiHidden/>
    <w:unhideWhenUsed/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basedOn w:val="748"/>
    <w:uiPriority w:val="99"/>
    <w:semiHidden/>
    <w:unhideWhenUsed/>
    <w:rPr>
      <w:vertAlign w:val="superscript"/>
    </w:rPr>
  </w:style>
  <w:style w:type="paragraph" w:styleId="906">
    <w:name w:val="toc 1"/>
    <w:basedOn w:val="738"/>
    <w:next w:val="738"/>
    <w:uiPriority w:val="39"/>
    <w:unhideWhenUsed/>
    <w:pPr>
      <w:spacing w:after="57"/>
    </w:pPr>
  </w:style>
  <w:style w:type="paragraph" w:styleId="907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08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09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10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11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12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13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14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38"/>
    <w:next w:val="738"/>
    <w:uiPriority w:val="99"/>
    <w:unhideWhenUsed/>
  </w:style>
  <w:style w:type="character" w:styleId="917" w:customStyle="1">
    <w:name w:val="Заголовок 4 Знак"/>
    <w:link w:val="742"/>
    <w:rPr>
      <w:rFonts w:eastAsia="Calibri"/>
      <w:sz w:val="28"/>
      <w:lang w:val="ru-RU" w:eastAsia="ru-RU" w:bidi="ar-SA"/>
    </w:rPr>
  </w:style>
  <w:style w:type="paragraph" w:styleId="918" w:customStyle="1">
    <w:name w:val="Абзац списка1"/>
    <w:basedOn w:val="738"/>
    <w:pPr>
      <w:contextualSpacing/>
      <w:ind w:left="720"/>
    </w:pPr>
  </w:style>
  <w:style w:type="paragraph" w:styleId="919">
    <w:name w:val="Body Text"/>
    <w:basedOn w:val="738"/>
    <w:link w:val="920"/>
    <w:pPr>
      <w:jc w:val="both"/>
    </w:pPr>
    <w:rPr>
      <w:sz w:val="24"/>
    </w:rPr>
  </w:style>
  <w:style w:type="character" w:styleId="920" w:customStyle="1">
    <w:name w:val="Основной текст Знак"/>
    <w:link w:val="919"/>
    <w:rPr>
      <w:rFonts w:eastAsia="Calibri"/>
      <w:sz w:val="24"/>
      <w:lang w:val="ru-RU" w:eastAsia="ru-RU" w:bidi="ar-SA"/>
    </w:rPr>
  </w:style>
  <w:style w:type="paragraph" w:styleId="921">
    <w:name w:val="Body Text Indent"/>
    <w:basedOn w:val="738"/>
    <w:link w:val="922"/>
    <w:semiHidden/>
    <w:pPr>
      <w:ind w:right="76" w:firstLine="900"/>
      <w:jc w:val="both"/>
    </w:pPr>
    <w:rPr>
      <w:sz w:val="24"/>
    </w:rPr>
  </w:style>
  <w:style w:type="character" w:styleId="922" w:customStyle="1">
    <w:name w:val="Основной текст с отступом Знак"/>
    <w:link w:val="921"/>
    <w:semiHidden/>
    <w:rPr>
      <w:rFonts w:eastAsia="Calibri"/>
      <w:sz w:val="24"/>
      <w:lang w:val="ru-RU" w:eastAsia="ru-RU" w:bidi="ar-SA"/>
    </w:rPr>
  </w:style>
  <w:style w:type="paragraph" w:styleId="923">
    <w:name w:val="Body Text Indent 2"/>
    <w:basedOn w:val="738"/>
    <w:link w:val="924"/>
    <w:pPr>
      <w:ind w:left="283"/>
      <w:spacing w:after="120" w:line="480" w:lineRule="auto"/>
    </w:pPr>
  </w:style>
  <w:style w:type="character" w:styleId="924" w:customStyle="1">
    <w:name w:val="Основной текст с отступом 2 Знак"/>
    <w:link w:val="923"/>
    <w:rPr>
      <w:rFonts w:eastAsia="Calibri"/>
      <w:lang w:val="ru-RU" w:eastAsia="ru-RU" w:bidi="ar-SA"/>
    </w:rPr>
  </w:style>
  <w:style w:type="paragraph" w:styleId="92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26" w:customStyle="1">
    <w:name w:val="Default"/>
    <w:rPr>
      <w:color w:val="000000"/>
      <w:sz w:val="24"/>
      <w:szCs w:val="24"/>
    </w:rPr>
  </w:style>
  <w:style w:type="paragraph" w:styleId="927">
    <w:name w:val="Balloon Text"/>
    <w:basedOn w:val="738"/>
    <w:link w:val="928"/>
    <w:rPr>
      <w:rFonts w:ascii="Tahoma" w:hAnsi="Tahoma" w:cs="Tahoma"/>
      <w:sz w:val="16"/>
      <w:szCs w:val="16"/>
    </w:rPr>
  </w:style>
  <w:style w:type="character" w:styleId="928" w:customStyle="1">
    <w:name w:val="Текст выноски Знак"/>
    <w:link w:val="927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929">
    <w:name w:val="Plain Text"/>
    <w:basedOn w:val="738"/>
    <w:link w:val="930"/>
    <w:rPr>
      <w:rFonts w:ascii="Courier New" w:hAnsi="Courier New" w:eastAsia="Times New Roman" w:cs="Courier New"/>
    </w:rPr>
  </w:style>
  <w:style w:type="character" w:styleId="930" w:customStyle="1">
    <w:name w:val="Текст Знак"/>
    <w:link w:val="929"/>
    <w:rPr>
      <w:rFonts w:ascii="Courier New" w:hAnsi="Courier New" w:cs="Courier New"/>
      <w:lang w:val="ru-RU" w:eastAsia="ru-RU" w:bidi="ar-SA"/>
    </w:rPr>
  </w:style>
  <w:style w:type="paragraph" w:styleId="931">
    <w:name w:val="Header"/>
    <w:basedOn w:val="738"/>
    <w:link w:val="932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932" w:customStyle="1">
    <w:name w:val="Верхний колонтитул Знак"/>
    <w:link w:val="931"/>
    <w:rPr>
      <w:sz w:val="24"/>
      <w:szCs w:val="24"/>
      <w:lang w:val="ru-RU" w:eastAsia="ru-RU" w:bidi="ar-SA"/>
    </w:rPr>
  </w:style>
  <w:style w:type="paragraph" w:styleId="933">
    <w:name w:val="List Paragraph"/>
    <w:basedOn w:val="738"/>
    <w:qFormat/>
    <w:pPr>
      <w:ind w:left="720"/>
    </w:pPr>
    <w:rPr>
      <w:rFonts w:eastAsia="Times New Roman"/>
      <w:sz w:val="24"/>
      <w:szCs w:val="24"/>
    </w:rPr>
  </w:style>
  <w:style w:type="character" w:styleId="934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935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936" w:customStyle="1">
    <w:name w:val="ConsPlusNormal"/>
    <w:rPr>
      <w:b/>
      <w:bCs/>
      <w:sz w:val="24"/>
      <w:szCs w:val="24"/>
    </w:rPr>
  </w:style>
  <w:style w:type="paragraph" w:styleId="937">
    <w:name w:val="Normal (Web)"/>
    <w:basedOn w:val="738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38" w:customStyle="1">
    <w:name w:val="WW8Num2z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E88993A0FC8BDC5ADF3F8BAC2FD495AD5A3BB3F059F3BDCC337E9750431B8654EF34C6DC591464C18ECBD2FR8Q" TargetMode="External"/><Relationship Id="rId12" Type="http://schemas.openxmlformats.org/officeDocument/2006/relationships/hyperlink" Target="consultantplus://offline/ref=8E88993A0FC8BDC5ADF3F8BAC2FD495AD5A3BB3F059F3BDCC337E9750431B8654EF34C6DC591464C18ECBD2FR8Q" TargetMode="External"/><Relationship Id="rId13" Type="http://schemas.openxmlformats.org/officeDocument/2006/relationships/hyperlink" Target="consultantplus://offline/ref=8E88993A0FC8BDC5ADF3F8BAC2FD495AD5A3BB3F059F3BDCC337E9750431B8654EF34C6DC591464C18ECBD2FR8Q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AB2F0-523B-4BA5-8800-5FE1F548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13</cp:revision>
  <dcterms:created xsi:type="dcterms:W3CDTF">2024-05-02T09:25:00Z</dcterms:created>
  <dcterms:modified xsi:type="dcterms:W3CDTF">2024-07-24T11:51:24Z</dcterms:modified>
</cp:coreProperties>
</file>