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szCs w:val="16"/>
        </w:rPr>
      </w:pPr>
      <w:r>
        <w:rPr>
          <w:szCs w:val="16"/>
        </w:rPr>
      </w:r>
      <w:r>
        <w:rPr>
          <w:szCs w:val="16"/>
        </w:rPr>
      </w:r>
      <w:r>
        <w:rPr>
          <w:szCs w:val="16"/>
        </w:rPr>
      </w:r>
    </w:p>
    <w:p>
      <w:pPr>
        <w:jc w:val="center"/>
        <w:rPr>
          <w:szCs w:val="16"/>
        </w:rPr>
      </w:pPr>
      <w:r>
        <w:rPr>
          <w:b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0075" cy="739140"/>
                <wp:effectExtent l="0" t="0" r="9525" b="381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007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25pt;height:58.20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szCs w:val="16"/>
        </w:rPr>
      </w:r>
      <w:r>
        <w:rPr>
          <w:szCs w:val="16"/>
        </w:rPr>
      </w:r>
    </w:p>
    <w:p>
      <w:pPr>
        <w:jc w:val="center"/>
        <w:widowControl w:val="off"/>
        <w:rPr>
          <w:b/>
          <w:color w:val="000000"/>
          <w:sz w:val="28"/>
          <w:szCs w:val="44"/>
        </w:rPr>
      </w:pP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</w:rPr>
        <w:t xml:space="preserve"> 06.08.2024 </w:t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№ 1239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</w:t>
      </w:r>
      <w:r>
        <w:rPr>
          <w:b/>
        </w:rPr>
        <w:t xml:space="preserve">муниципальн</w:t>
      </w:r>
      <w:r>
        <w:rPr>
          <w:b/>
        </w:rPr>
        <w:t xml:space="preserve">ую</w:t>
      </w:r>
      <w:r>
        <w:rPr>
          <w:b/>
        </w:rPr>
        <w:t xml:space="preserve"> программ</w:t>
      </w:r>
      <w:r>
        <w:rPr>
          <w:b/>
        </w:rPr>
        <w:t xml:space="preserve">у</w:t>
      </w:r>
      <w:r>
        <w:rPr>
          <w:b/>
        </w:rPr>
        <w:t xml:space="preserve"> Печенгского муниципального округа</w:t>
      </w:r>
      <w:r>
        <w:rPr>
          <w:b/>
        </w:rPr>
        <w:t xml:space="preserve"> 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 </w:t>
      </w:r>
      <w:r>
        <w:rPr>
          <w:b/>
        </w:rPr>
        <w:t xml:space="preserve">«</w:t>
      </w:r>
      <w:r>
        <w:rPr>
          <w:b/>
        </w:rPr>
        <w:t xml:space="preserve">Комфортная среда проживания</w:t>
      </w:r>
      <w:r>
        <w:rPr>
          <w:b/>
        </w:rPr>
        <w:t xml:space="preserve">» на 2024-2026</w:t>
      </w:r>
      <w:r>
        <w:rPr>
          <w:b/>
        </w:rPr>
        <w:t xml:space="preserve"> годы</w:t>
      </w:r>
      <w:r>
        <w:rPr>
          <w:b/>
        </w:rPr>
        <w:t xml:space="preserve">, </w:t>
      </w:r>
      <w:r>
        <w:rPr>
          <w:b/>
        </w:rPr>
        <w:t xml:space="preserve">утвержденную</w:t>
      </w:r>
      <w:r>
        <w:rPr>
          <w:b/>
        </w:rPr>
        <w:t xml:space="preserve"> постановлением администрации </w:t>
      </w:r>
      <w:r>
        <w:rPr>
          <w:b/>
        </w:rPr>
        <w:t xml:space="preserve"> </w:t>
      </w:r>
      <w:r>
        <w:rPr>
          <w:b/>
        </w:rPr>
        <w:t xml:space="preserve">                             </w:t>
      </w:r>
      <w:r>
        <w:rPr>
          <w:b/>
        </w:rPr>
        <w:t xml:space="preserve">Печенгского муниципального округа от </w:t>
      </w:r>
      <w:r>
        <w:rPr>
          <w:b/>
        </w:rPr>
        <w:t xml:space="preserve">03.11.202</w:t>
      </w:r>
      <w:r>
        <w:rPr>
          <w:b/>
        </w:rPr>
        <w:t xml:space="preserve">3</w:t>
      </w:r>
      <w:r>
        <w:rPr>
          <w:b/>
        </w:rPr>
        <w:t xml:space="preserve"> № </w:t>
      </w:r>
      <w:r>
        <w:rPr>
          <w:b/>
        </w:rPr>
        <w:t xml:space="preserve">1</w:t>
      </w:r>
      <w:r>
        <w:rPr>
          <w:b/>
        </w:rPr>
        <w:t xml:space="preserve">633</w:t>
      </w:r>
      <w:r>
        <w:rPr>
          <w:b/>
        </w:rPr>
      </w:r>
      <w:r>
        <w:rPr>
          <w:b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статьей 179 Бюдж</w:t>
      </w:r>
      <w:r>
        <w:rPr>
          <w:sz w:val="24"/>
          <w:szCs w:val="24"/>
        </w:rPr>
        <w:t xml:space="preserve">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</w:t>
      </w:r>
      <w:r>
        <w:rPr>
          <w:color w:val="000000"/>
          <w:sz w:val="24"/>
          <w:szCs w:val="24"/>
        </w:rPr>
        <w:t xml:space="preserve">овышения эффективности использования бюджетных средств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widowControl w:val="off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ind w:right="-5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Внести в муниципальную программу</w:t>
      </w:r>
      <w: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t xml:space="preserve">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Комфортная среда проживания</w:t>
      </w:r>
      <w:r>
        <w:rPr>
          <w:sz w:val="24"/>
          <w:szCs w:val="24"/>
        </w:rPr>
        <w:t xml:space="preserve">» на </w:t>
      </w:r>
      <w:r>
        <w:rPr>
          <w:sz w:val="24"/>
          <w:szCs w:val="24"/>
        </w:rPr>
        <w:t xml:space="preserve">2024-2026</w:t>
      </w:r>
      <w:r>
        <w:rPr>
          <w:sz w:val="24"/>
          <w:szCs w:val="24"/>
        </w:rPr>
        <w:t xml:space="preserve"> годы</w:t>
      </w:r>
      <w:r>
        <w:rPr>
          <w:sz w:val="24"/>
          <w:szCs w:val="24"/>
        </w:rPr>
        <w:t xml:space="preserve">, утвержденну</w:t>
      </w:r>
      <w:r>
        <w:rPr>
          <w:sz w:val="24"/>
          <w:szCs w:val="24"/>
        </w:rPr>
        <w:t xml:space="preserve">ю постановлением администрации </w:t>
      </w:r>
      <w:r>
        <w:rPr>
          <w:sz w:val="24"/>
          <w:szCs w:val="24"/>
        </w:rPr>
        <w:t xml:space="preserve">Печенгского муниципального округа от </w:t>
      </w:r>
      <w:r>
        <w:rPr>
          <w:sz w:val="24"/>
          <w:szCs w:val="24"/>
        </w:rPr>
        <w:t xml:space="preserve">03.11.2023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1633</w:t>
      </w:r>
      <w:r>
        <w:rPr>
          <w:sz w:val="24"/>
          <w:szCs w:val="24"/>
        </w:rPr>
        <w:t xml:space="preserve"> (в редакции постановления администрации Печенгского муниципального округа 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31.05.2024 № 930</w:t>
      </w:r>
      <w:r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(далее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рограмма)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пункт 26 </w:t>
      </w:r>
      <w:r>
        <w:rPr>
          <w:sz w:val="24"/>
          <w:szCs w:val="24"/>
        </w:rPr>
        <w:t xml:space="preserve">строк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«Показатели программы» в паспорте Программы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442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844"/>
        <w:gridCol w:w="7598"/>
      </w:tblGrid>
      <w:tr>
        <w:tblPrEx/>
        <w:trPr>
          <w:jc w:val="center"/>
          <w:trHeight w:val="24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4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98" w:type="dxa"/>
            <w:textDirection w:val="lrTb"/>
            <w:noWrap w:val="false"/>
          </w:tcPr>
          <w:p>
            <w:pPr>
              <w:jc w:val="both"/>
              <w:tabs>
                <w:tab w:val="left" w:pos="326" w:leader="none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ar-SA"/>
              </w:rPr>
              <w:t xml:space="preserve">«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26. Количество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замененных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опор наружного освещения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.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»;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</w:tbl>
    <w:p>
      <w:pPr>
        <w:ind w:right="-5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 «Показатели программы» в паспорте Программы </w:t>
      </w:r>
      <w:r>
        <w:rPr>
          <w:sz w:val="24"/>
          <w:szCs w:val="24"/>
        </w:rPr>
        <w:t xml:space="preserve">дополнить пунктом 49 </w:t>
      </w:r>
      <w:r>
        <w:rPr>
          <w:sz w:val="24"/>
          <w:szCs w:val="24"/>
        </w:rPr>
        <w:t xml:space="preserve">следующего содержания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442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844"/>
        <w:gridCol w:w="7598"/>
      </w:tblGrid>
      <w:tr>
        <w:tblPrEx/>
        <w:trPr>
          <w:jc w:val="center"/>
          <w:trHeight w:val="75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4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98" w:type="dxa"/>
            <w:textDirection w:val="lrTb"/>
            <w:noWrap w:val="false"/>
          </w:tcPr>
          <w:p>
            <w:pPr>
              <w:jc w:val="both"/>
              <w:tabs>
                <w:tab w:val="left" w:pos="326" w:leader="none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ar-SA"/>
              </w:rPr>
              <w:t xml:space="preserve">«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49. Количество установленных опор наружного освещения в рамках благоустройства автомобильных дорог общего пользования местного значения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.»;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</w:tbl>
    <w:p>
      <w:pPr>
        <w:ind w:right="-5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</w:t>
      </w:r>
      <w:r>
        <w:rPr>
          <w:sz w:val="24"/>
          <w:szCs w:val="24"/>
        </w:rPr>
        <w:t xml:space="preserve">троку «Финансовое обеспечение программы» в паспорте Программы изложить в 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82" w:type="dxa"/>
        <w:jc w:val="center"/>
        <w:tblInd w:w="-306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82"/>
        <w:gridCol w:w="7200"/>
      </w:tblGrid>
      <w:tr>
        <w:tblPrEx/>
        <w:trPr>
          <w:jc w:val="center"/>
          <w:trHeight w:val="27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2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00" w:type="dxa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Всего по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муниципальной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программе:  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1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 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192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901,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1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тыс. рублей,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   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 том числе: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ФБ: 9436,9 тыс. 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2024 год: 9436,9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2025 год: 0,0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0,0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ОБ: 494852,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6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тыс. 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  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2024 год: 301865,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4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      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2025 год: 183857,8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9129,3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МБ: 686815,6 тыс. 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2024 год: 301391,5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2025 год: 242016,1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143408,0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ВБС: 1796,0 тыс. 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2024 год: 1796,0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2025 год: 0,0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widowControl w:val="off"/>
              <w:rPr>
                <w:i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0,0 тыс. рублей.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»;</w:t>
            </w:r>
            <w:r>
              <w:rPr>
                <w:i/>
                <w:sz w:val="24"/>
                <w:szCs w:val="24"/>
              </w:rPr>
            </w:r>
            <w:r>
              <w:rPr>
                <w:i/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trike/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строки 2.2.1, 2.2.3, 2.2.12, и 2.4.9 </w:t>
      </w:r>
      <w:r>
        <w:rPr>
          <w:sz w:val="24"/>
          <w:szCs w:val="24"/>
        </w:rPr>
        <w:t xml:space="preserve">т</w:t>
      </w:r>
      <w:r>
        <w:rPr>
          <w:sz w:val="24"/>
          <w:szCs w:val="24"/>
        </w:rPr>
        <w:t xml:space="preserve">аблиц</w:t>
      </w:r>
      <w:r>
        <w:rPr>
          <w:sz w:val="24"/>
          <w:szCs w:val="24"/>
        </w:rPr>
        <w:t xml:space="preserve">ы</w:t>
      </w:r>
      <w:r>
        <w:rPr>
          <w:sz w:val="24"/>
          <w:szCs w:val="24"/>
        </w:rPr>
        <w:t xml:space="preserve"> «Осн</w:t>
      </w:r>
      <w:r>
        <w:rPr>
          <w:sz w:val="24"/>
          <w:szCs w:val="24"/>
        </w:rPr>
        <w:t xml:space="preserve">овные показатели эффективности реализации программы» раздела 2 «Основные цели и задачи программы с указанием сроков ее реализации, а также перечень основных мероприятий и показателей» </w:t>
      </w:r>
      <w:r>
        <w:rPr>
          <w:sz w:val="24"/>
          <w:szCs w:val="24"/>
        </w:rPr>
        <w:t xml:space="preserve">изложить в следующей редакции</w:t>
      </w:r>
      <w:r>
        <w:rPr>
          <w:sz w:val="24"/>
          <w:szCs w:val="24"/>
        </w:rPr>
        <w:t xml:space="preserve">:       </w:t>
      </w:r>
      <w:r>
        <w:rPr>
          <w:sz w:val="24"/>
          <w:szCs w:val="24"/>
        </w:rPr>
        <w:t xml:space="preserve"> </w:t>
      </w:r>
      <w:r>
        <w:rPr>
          <w:strike/>
          <w:sz w:val="24"/>
          <w:szCs w:val="24"/>
        </w:rPr>
      </w:r>
      <w:r>
        <w:rPr>
          <w:strike/>
          <w:sz w:val="24"/>
          <w:szCs w:val="24"/>
        </w:rPr>
      </w:r>
    </w:p>
    <w:tbl>
      <w:tblPr>
        <w:tblpPr w:horzAnchor="margin" w:tblpX="153" w:vertAnchor="text" w:tblpY="1" w:leftFromText="181" w:topFromText="0" w:rightFromText="181" w:bottomFromText="0"/>
        <w:tblW w:w="4874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21"/>
        <w:gridCol w:w="2433"/>
        <w:gridCol w:w="694"/>
        <w:gridCol w:w="820"/>
        <w:gridCol w:w="822"/>
        <w:gridCol w:w="822"/>
        <w:gridCol w:w="822"/>
        <w:gridCol w:w="822"/>
        <w:gridCol w:w="1551"/>
      </w:tblGrid>
      <w:tr>
        <w:tblPrEx/>
        <w:trPr>
          <w:trHeight w:val="42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7" w:type="pct"/>
            <w:vAlign w:val="center"/>
            <w:textDirection w:val="lrTb"/>
            <w:noWrap w:val="false"/>
          </w:tcPr>
          <w:p>
            <w:pPr>
              <w:jc w:val="center"/>
              <w:rPr>
                <w:i/>
                <w:iCs/>
              </w:rPr>
            </w:pPr>
            <w:r>
              <w:t xml:space="preserve">«</w:t>
            </w:r>
            <w:r>
              <w:t xml:space="preserve">2.2.1.</w:t>
            </w:r>
            <w:r>
              <w:rPr>
                <w:i/>
                <w:iCs/>
              </w:rPr>
            </w:r>
            <w:r>
              <w:rPr>
                <w:i/>
                <w:i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6" w:type="pct"/>
            <w:vAlign w:val="center"/>
            <w:textDirection w:val="lrTb"/>
            <w:noWrap w:val="false"/>
          </w:tcPr>
          <w:p>
            <w:pPr>
              <w:jc w:val="both"/>
            </w:pPr>
            <w:r>
              <w:t xml:space="preserve">Доля отремонтированных магистральных сетей тепло- и водоснабжения от общей протяженности системы тепло- и водоснабжения</w:t>
            </w:r>
            <w:r/>
          </w:p>
          <w:p>
            <w:pPr>
              <w:jc w:val="both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%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1,7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 менее </w:t>
            </w: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 менее 0,5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 менее 0,5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0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Отчет</w:t>
            </w:r>
            <w:r/>
          </w:p>
          <w:p>
            <w:pPr>
              <w:jc w:val="center"/>
            </w:pPr>
            <w:r>
              <w:t xml:space="preserve">ОС и ЖКХ</w:t>
            </w:r>
            <w:r/>
          </w:p>
        </w:tc>
      </w:tr>
      <w:tr>
        <w:tblPrEx/>
        <w:trPr>
          <w:trHeight w:val="13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7" w:type="pct"/>
            <w:vAlign w:val="center"/>
            <w:textDirection w:val="lrTb"/>
            <w:noWrap w:val="false"/>
          </w:tcPr>
          <w:p>
            <w:pPr>
              <w:jc w:val="center"/>
              <w:rPr>
                <w:i/>
                <w:iCs/>
              </w:rPr>
            </w:pPr>
            <w:r>
              <w:t xml:space="preserve">2.2.3.</w:t>
            </w:r>
            <w:r>
              <w:rPr>
                <w:i/>
                <w:iCs/>
              </w:rPr>
            </w:r>
            <w:r>
              <w:rPr>
                <w:i/>
                <w:i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6" w:type="pct"/>
            <w:vAlign w:val="center"/>
            <w:textDirection w:val="lrTb"/>
            <w:noWrap w:val="false"/>
          </w:tcPr>
          <w:p>
            <w:pPr>
              <w:jc w:val="both"/>
            </w:pPr>
            <w:r>
              <w:t xml:space="preserve">Наличие положительного заключения негосударственной экспертизы сметной документации на ремонт инженерных сетей тепло- и водоснабжения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да/ нет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7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 xml:space="preserve">да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tabs>
                <w:tab w:val="left" w:pos="3420" w:leader="none"/>
                <w:tab w:val="left" w:pos="8518" w:leader="none"/>
              </w:tabs>
            </w:pPr>
            <w:r>
              <w:t xml:space="preserve">нет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tabs>
                <w:tab w:val="left" w:pos="3420" w:leader="none"/>
                <w:tab w:val="left" w:pos="8518" w:leader="none"/>
              </w:tabs>
            </w:pPr>
            <w:r>
              <w:t xml:space="preserve">нет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tabs>
                <w:tab w:val="left" w:pos="3420" w:leader="none"/>
                <w:tab w:val="left" w:pos="8518" w:leader="none"/>
              </w:tabs>
            </w:pPr>
            <w: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tabs>
                <w:tab w:val="left" w:pos="3420" w:leader="none"/>
                <w:tab w:val="left" w:pos="8518" w:leader="none"/>
              </w:tabs>
            </w:pPr>
            <w: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0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Отчет</w:t>
            </w:r>
            <w:r/>
          </w:p>
          <w:p>
            <w:pPr>
              <w:jc w:val="center"/>
            </w:pPr>
            <w:r>
              <w:t xml:space="preserve">ОС и ЖКХ</w:t>
            </w:r>
            <w:r/>
          </w:p>
        </w:tc>
      </w:tr>
      <w:tr>
        <w:tblPrEx/>
        <w:trPr>
          <w:trHeight w:val="76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2.2.12.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6" w:type="pct"/>
            <w:vAlign w:val="center"/>
            <w:textDirection w:val="lrTb"/>
            <w:noWrap w:val="false"/>
          </w:tcPr>
          <w:p>
            <w:pPr>
              <w:jc w:val="both"/>
            </w:pPr>
            <w:r>
              <w:t xml:space="preserve">Количество разработанных проектов по строительству очистных сооружений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7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tabs>
                <w:tab w:val="left" w:pos="3420" w:leader="none"/>
                <w:tab w:val="left" w:pos="8518" w:leader="none"/>
              </w:tabs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tabs>
                <w:tab w:val="left" w:pos="3420" w:leader="none"/>
                <w:tab w:val="left" w:pos="8518" w:leader="none"/>
              </w:tabs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tabs>
                <w:tab w:val="left" w:pos="3420" w:leader="none"/>
                <w:tab w:val="left" w:pos="8518" w:leader="none"/>
              </w:tabs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vAlign w:val="center"/>
            <w:textDirection w:val="lrTb"/>
            <w:noWrap w:val="false"/>
          </w:tcPr>
          <w:p>
            <w:pPr>
              <w:ind w:right="-57"/>
              <w:jc w:val="center"/>
              <w:tabs>
                <w:tab w:val="left" w:pos="3420" w:leader="none"/>
                <w:tab w:val="left" w:pos="8518" w:leader="none"/>
              </w:tabs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0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Отчет                   ОС и ЖКХ</w:t>
            </w:r>
            <w:r/>
          </w:p>
        </w:tc>
      </w:tr>
      <w:tr>
        <w:tblPrEx/>
        <w:trPr>
          <w:trHeight w:val="76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2.4.9.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6" w:type="pct"/>
            <w:textDirection w:val="lrTb"/>
            <w:noWrap w:val="false"/>
          </w:tcPr>
          <w:p>
            <w:pPr>
              <w:jc w:val="both"/>
            </w:pPr>
            <w:r>
              <w:t xml:space="preserve">Ко</w:t>
            </w:r>
            <w:r>
              <w:t xml:space="preserve">личество замененных</w:t>
            </w:r>
            <w:r>
              <w:t xml:space="preserve"> опор наружного освещения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 менее 60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 менее </w:t>
            </w:r>
            <w:r>
              <w:t xml:space="preserve">20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 менее 20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0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Отчеты  исполнителей программы</w:t>
            </w:r>
            <w:r>
              <w:t xml:space="preserve">»;</w:t>
            </w:r>
            <w:r/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таблиц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 «Осн</w:t>
      </w:r>
      <w:r>
        <w:rPr>
          <w:sz w:val="24"/>
          <w:szCs w:val="24"/>
        </w:rPr>
        <w:t xml:space="preserve">овные показатели эффективности реализации программы» раздела 2 «Основные цели и задачи программы с указанием сроков ее реализации, а также перечень основных мероприятий и показателей» дополнить строкой 2.4.20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pPr w:horzAnchor="margin" w:tblpX="153" w:vertAnchor="text" w:tblpY="1" w:leftFromText="181" w:topFromText="0" w:rightFromText="181" w:bottomFromText="0"/>
        <w:tblW w:w="4874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21"/>
        <w:gridCol w:w="2433"/>
        <w:gridCol w:w="694"/>
        <w:gridCol w:w="820"/>
        <w:gridCol w:w="822"/>
        <w:gridCol w:w="822"/>
        <w:gridCol w:w="822"/>
        <w:gridCol w:w="822"/>
        <w:gridCol w:w="1551"/>
      </w:tblGrid>
      <w:tr>
        <w:tblPrEx/>
        <w:trPr>
          <w:trHeight w:val="76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«</w:t>
            </w:r>
            <w:r>
              <w:t xml:space="preserve">2.4.</w:t>
            </w:r>
            <w:r>
              <w:t xml:space="preserve">20</w:t>
            </w:r>
            <w:r>
              <w:t xml:space="preserve">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6" w:type="pct"/>
            <w:textDirection w:val="lrTb"/>
            <w:noWrap w:val="false"/>
          </w:tcPr>
          <w:p>
            <w:pPr>
              <w:jc w:val="both"/>
            </w:pPr>
            <w:r>
              <w:t xml:space="preserve">Ко</w:t>
            </w:r>
            <w:r>
              <w:t xml:space="preserve">личество установленных </w:t>
            </w:r>
            <w:r>
              <w:t xml:space="preserve">опор наружного освещения</w:t>
            </w:r>
            <w:r>
              <w:t xml:space="preserve"> в рамках благоустройства автомобильных дорог общего пользования местного значения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Не менее </w:t>
            </w:r>
            <w:r>
              <w:t xml:space="preserve">38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0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Отчет МКУ «</w:t>
            </w:r>
            <w:r>
              <w:t xml:space="preserve">УБиР</w:t>
            </w:r>
            <w:r>
              <w:t xml:space="preserve">»»;</w:t>
            </w:r>
            <w:r/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троку «Финансовое обеспечение </w:t>
      </w:r>
      <w:r>
        <w:rPr>
          <w:sz w:val="24"/>
          <w:szCs w:val="24"/>
        </w:rPr>
        <w:t xml:space="preserve">под</w:t>
      </w:r>
      <w:r>
        <w:rPr>
          <w:sz w:val="24"/>
          <w:szCs w:val="24"/>
        </w:rPr>
        <w:t xml:space="preserve">программы» в паспорте П</w:t>
      </w:r>
      <w:r>
        <w:rPr>
          <w:sz w:val="24"/>
          <w:szCs w:val="24"/>
        </w:rPr>
        <w:t xml:space="preserve">одп</w:t>
      </w:r>
      <w:r>
        <w:rPr>
          <w:sz w:val="24"/>
          <w:szCs w:val="24"/>
        </w:rPr>
        <w:t xml:space="preserve">рограммы</w:t>
      </w:r>
      <w:r>
        <w:rPr>
          <w:sz w:val="24"/>
          <w:szCs w:val="24"/>
        </w:rPr>
        <w:t xml:space="preserve"> 2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«Жилищно-коммунальное хозяйство»</w:t>
      </w:r>
      <w:r>
        <w:rPr>
          <w:sz w:val="24"/>
          <w:szCs w:val="24"/>
        </w:rPr>
        <w:t xml:space="preserve"> (далее – Подпрограмма 2)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972" w:type="pct"/>
        <w:jc w:val="center"/>
        <w:tblInd w:w="186" w:type="dxa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08"/>
        <w:gridCol w:w="7326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7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</w:t>
            </w:r>
            <w:r>
              <w:rPr>
                <w:sz w:val="24"/>
                <w:szCs w:val="24"/>
              </w:rPr>
              <w:t xml:space="preserve">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63" w:type="pct"/>
            <w:textDirection w:val="lrTb"/>
            <w:noWrap w:val="false"/>
          </w:tcPr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466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924,8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тыс.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364977,4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189993,9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174983,5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101421,4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45021,4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38200,0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18200,0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526,0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526,0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- строк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2.1.1</w:t>
      </w:r>
      <w:r>
        <w:rPr>
          <w:sz w:val="24"/>
          <w:szCs w:val="24"/>
        </w:rPr>
        <w:t xml:space="preserve">, 2.1.3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2.1.5, 2.1.6, 2.1.8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«Итого </w:t>
      </w:r>
      <w:r>
        <w:rPr>
          <w:sz w:val="24"/>
          <w:szCs w:val="24"/>
        </w:rPr>
        <w:t xml:space="preserve">по </w:t>
      </w:r>
      <w:r>
        <w:rPr>
          <w:sz w:val="24"/>
          <w:szCs w:val="24"/>
        </w:rPr>
        <w:t xml:space="preserve">основному </w:t>
      </w:r>
      <w:r>
        <w:rPr>
          <w:sz w:val="24"/>
          <w:szCs w:val="24"/>
        </w:rPr>
        <w:t xml:space="preserve">мероприятию 1» и «Всего по подпрограмме 2» в таблице 1 </w:t>
      </w:r>
      <w:r>
        <w:rPr>
          <w:sz w:val="24"/>
          <w:szCs w:val="24"/>
        </w:rPr>
        <w:t xml:space="preserve">«Перечень мероприятий подпрограммы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 объёмом финансирования</w:t>
      </w:r>
      <w:r>
        <w:rPr>
          <w:sz w:val="24"/>
          <w:szCs w:val="24"/>
        </w:rPr>
        <w:t xml:space="preserve">» к Подпрограмме 2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6"/>
        <w:gridCol w:w="2094"/>
        <w:gridCol w:w="746"/>
        <w:gridCol w:w="863"/>
        <w:gridCol w:w="992"/>
        <w:gridCol w:w="992"/>
        <w:gridCol w:w="992"/>
        <w:gridCol w:w="1114"/>
        <w:gridCol w:w="985"/>
      </w:tblGrid>
      <w:tr>
        <w:tblPrEx/>
        <w:trPr>
          <w:trHeight w:val="65"/>
        </w:trPr>
        <w:tc>
          <w:tcPr>
            <w:shd w:val="clear" w:color="auto" w:fill="auto"/>
            <w:tcW w:w="444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</w:t>
            </w:r>
            <w:r>
              <w:t xml:space="preserve">2.1.1.</w:t>
            </w:r>
            <w:r/>
          </w:p>
        </w:tc>
        <w:tc>
          <w:tcPr>
            <w:shd w:val="clear" w:color="auto" w:fill="auto"/>
            <w:tcW w:w="1087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Ремонт магистральных сетей теплоснабжения, водоснабжения и водоотведения</w:t>
            </w:r>
            <w:r/>
          </w:p>
        </w:tc>
        <w:tc>
          <w:tcPr>
            <w:shd w:val="clear" w:color="auto" w:fill="auto"/>
            <w:tcW w:w="387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</w:rPr>
              <w:t xml:space="preserve">2024-2026</w:t>
            </w:r>
            <w:r/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0,0</w:t>
            </w:r>
            <w:r>
              <w:rPr>
                <w:bCs/>
                <w:color w:val="000000"/>
                <w:szCs w:val="22"/>
              </w:rPr>
            </w:r>
            <w:r>
              <w:rPr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1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ОС и ЖКХ</w:t>
            </w:r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0,0</w:t>
            </w:r>
            <w:r>
              <w:rPr>
                <w:bCs/>
                <w:color w:val="000000"/>
                <w:szCs w:val="22"/>
              </w:rPr>
            </w:r>
            <w:r>
              <w:rPr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88846,6</w:t>
            </w:r>
            <w:r>
              <w:rPr>
                <w:bCs/>
                <w:color w:val="000000"/>
                <w:szCs w:val="22"/>
              </w:rPr>
            </w:r>
            <w:r>
              <w:rPr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38</w:t>
            </w:r>
            <w:r>
              <w:t xml:space="preserve">590,6   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32906,0</w:t>
            </w:r>
            <w:r/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17350,0</w:t>
            </w:r>
            <w:r/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0,0</w:t>
            </w:r>
            <w:r>
              <w:rPr>
                <w:bCs/>
                <w:color w:val="000000"/>
                <w:szCs w:val="22"/>
              </w:rPr>
            </w:r>
            <w:r>
              <w:rPr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88846,6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38</w:t>
            </w:r>
            <w:r>
              <w:rPr>
                <w:b/>
              </w:rPr>
              <w:t xml:space="preserve">590,6  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32906,0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17350,0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2.1.3.</w:t>
            </w:r>
            <w:r/>
          </w:p>
        </w:tc>
        <w:tc>
          <w:tcPr>
            <w:shd w:val="clear" w:color="auto" w:fill="auto"/>
            <w:tcW w:w="1087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Проведение экспертизы сметных расчетов стоимости ремонтных работ</w:t>
            </w:r>
            <w:r/>
          </w:p>
        </w:tc>
        <w:tc>
          <w:tcPr>
            <w:shd w:val="clear" w:color="auto" w:fill="auto"/>
            <w:tcW w:w="387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</w:t>
            </w:r>
            <w:r>
              <w:t xml:space="preserve">5</w:t>
            </w:r>
            <w:r>
              <w:t xml:space="preserve">-2026</w:t>
            </w:r>
            <w:r/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1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ОС и ЖКХ</w:t>
            </w:r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300,0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150,0</w:t>
            </w:r>
            <w:r/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150,0</w:t>
            </w:r>
            <w:r/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2.1.5.</w:t>
            </w:r>
            <w:r/>
          </w:p>
        </w:tc>
        <w:tc>
          <w:tcPr>
            <w:shd w:val="clear" w:color="auto" w:fill="auto"/>
            <w:tcW w:w="1087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Разработка программы комплексного развития систем коммунальной инфраструктуры Печенгского муниципального округа</w:t>
            </w:r>
            <w:r/>
          </w:p>
        </w:tc>
        <w:tc>
          <w:tcPr>
            <w:shd w:val="clear" w:color="auto" w:fill="auto"/>
            <w:tcW w:w="387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2024</w:t>
            </w:r>
            <w:r/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0,0</w:t>
            </w:r>
            <w:r>
              <w:rPr>
                <w:bCs/>
                <w:color w:val="000000"/>
                <w:szCs w:val="22"/>
              </w:rPr>
            </w:r>
            <w:r>
              <w:rPr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1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ОС и ЖКХ</w:t>
            </w:r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7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38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0,0</w:t>
            </w:r>
            <w:r>
              <w:rPr>
                <w:bCs/>
                <w:color w:val="000000"/>
                <w:szCs w:val="22"/>
              </w:rPr>
            </w:r>
            <w:r>
              <w:rPr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ind w:left="-109" w:right="-108"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0,0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0,0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7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38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57,9</w:t>
            </w:r>
            <w:r>
              <w:rPr>
                <w:bCs/>
                <w:color w:val="000000"/>
                <w:szCs w:val="22"/>
              </w:rPr>
            </w:r>
            <w:r>
              <w:rPr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ind w:left="-109" w:right="-108"/>
              <w:jc w:val="center"/>
            </w:pPr>
            <w:r>
              <w:t xml:space="preserve">57,9   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0,0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0,0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7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38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0,0</w:t>
            </w:r>
            <w:r>
              <w:rPr>
                <w:bCs/>
                <w:color w:val="000000"/>
                <w:szCs w:val="22"/>
              </w:rPr>
            </w:r>
            <w:r>
              <w:rPr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ind w:left="-109" w:right="-108"/>
              <w:jc w:val="center"/>
              <w:rPr>
                <w:color w:val="00000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0,0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0,0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0,0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7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38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57,9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57,9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7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2.1.6.</w:t>
            </w:r>
            <w:r/>
          </w:p>
        </w:tc>
        <w:tc>
          <w:tcPr>
            <w:shd w:val="clear" w:color="auto" w:fill="auto"/>
            <w:tcW w:w="1087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Разработка (актуализация) схемы теплоснабжения Печенгского муниципального округа</w:t>
            </w:r>
            <w:r/>
          </w:p>
        </w:tc>
        <w:tc>
          <w:tcPr>
            <w:shd w:val="clear" w:color="auto" w:fill="auto"/>
            <w:tcW w:w="387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2024</w:t>
            </w:r>
            <w:r/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0,0</w:t>
            </w:r>
            <w:r>
              <w:rPr>
                <w:bCs/>
                <w:color w:val="000000"/>
                <w:szCs w:val="22"/>
              </w:rPr>
            </w:r>
            <w:r>
              <w:rPr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1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ОС и ЖКХ</w:t>
            </w:r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8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0,0</w:t>
            </w:r>
            <w:r>
              <w:rPr>
                <w:bCs/>
                <w:color w:val="000000"/>
                <w:szCs w:val="22"/>
              </w:rPr>
            </w:r>
            <w:r>
              <w:rPr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8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335,6</w:t>
            </w:r>
            <w:r>
              <w:rPr>
                <w:bCs/>
                <w:color w:val="000000"/>
                <w:szCs w:val="22"/>
              </w:rPr>
            </w:r>
            <w:r>
              <w:rPr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335,6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8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0,0</w:t>
            </w:r>
            <w:r>
              <w:rPr>
                <w:bCs/>
                <w:color w:val="000000"/>
                <w:szCs w:val="22"/>
              </w:rPr>
            </w:r>
            <w:r>
              <w:rPr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8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335,6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335,6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7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2.1.8.</w:t>
            </w:r>
            <w:r/>
          </w:p>
        </w:tc>
        <w:tc>
          <w:tcPr>
            <w:shd w:val="clear" w:color="auto" w:fill="auto"/>
            <w:tcW w:w="1087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Разработка проектной документации по строительству очистных сооружений</w:t>
            </w:r>
            <w:r/>
          </w:p>
        </w:tc>
        <w:tc>
          <w:tcPr>
            <w:shd w:val="clear" w:color="auto" w:fill="auto"/>
            <w:tcW w:w="387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2025</w:t>
            </w:r>
            <w:r/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</w:t>
            </w:r>
            <w:r>
              <w:rPr>
                <w:color w:val="000000"/>
                <w:szCs w:val="22"/>
              </w:rPr>
              <w:t xml:space="preserve">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</w:t>
            </w:r>
            <w:r>
              <w:rPr>
                <w:color w:val="000000"/>
                <w:szCs w:val="22"/>
              </w:rPr>
              <w:t xml:space="preserve">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</w:t>
            </w:r>
            <w:r>
              <w:rPr>
                <w:color w:val="000000"/>
                <w:szCs w:val="22"/>
              </w:rPr>
              <w:t xml:space="preserve">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</w:t>
            </w:r>
            <w:r>
              <w:rPr>
                <w:color w:val="000000"/>
                <w:szCs w:val="22"/>
              </w:rPr>
              <w:t xml:space="preserve">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1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ОС и ЖКХ</w:t>
            </w:r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39418,2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</w:t>
            </w:r>
            <w:r>
              <w:rPr>
                <w:color w:val="000000"/>
                <w:szCs w:val="22"/>
              </w:rPr>
              <w:t xml:space="preserve">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39418,2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strike/>
                <w:color w:val="000000"/>
                <w:szCs w:val="22"/>
                <w:highlight w:val="yellow"/>
                <w:lang w:val="en-US"/>
              </w:rPr>
            </w:pPr>
            <w:r>
              <w:rPr>
                <w:color w:val="000000"/>
                <w:szCs w:val="22"/>
              </w:rPr>
              <w:t xml:space="preserve">0,</w:t>
            </w:r>
            <w:r>
              <w:rPr>
                <w:color w:val="000000"/>
                <w:szCs w:val="22"/>
              </w:rPr>
              <w:t xml:space="preserve">0</w:t>
            </w:r>
            <w:r>
              <w:rPr>
                <w:strike/>
                <w:color w:val="000000"/>
                <w:szCs w:val="22"/>
                <w:highlight w:val="yellow"/>
                <w:lang w:val="en-US"/>
              </w:rPr>
            </w:r>
            <w:r>
              <w:rPr>
                <w:strike/>
                <w:color w:val="000000"/>
                <w:szCs w:val="22"/>
                <w:highlight w:val="yellow"/>
                <w:lang w:val="en-US"/>
              </w:rPr>
            </w:r>
          </w:p>
        </w:tc>
        <w:tc>
          <w:tcPr>
            <w:shd w:val="clear" w:color="auto" w:fill="auto"/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2074,6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</w:t>
            </w:r>
            <w:r>
              <w:rPr>
                <w:color w:val="000000"/>
                <w:szCs w:val="22"/>
              </w:rPr>
              <w:t xml:space="preserve">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2074,6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strike/>
                <w:color w:val="000000"/>
                <w:szCs w:val="22"/>
                <w:highlight w:val="yellow"/>
                <w:lang w:val="en-US"/>
              </w:rPr>
            </w:pPr>
            <w:r>
              <w:rPr>
                <w:color w:val="000000"/>
                <w:szCs w:val="22"/>
              </w:rPr>
              <w:t xml:space="preserve">0,</w:t>
            </w:r>
            <w:r>
              <w:rPr>
                <w:color w:val="000000"/>
                <w:szCs w:val="22"/>
              </w:rPr>
              <w:t xml:space="preserve">0</w:t>
            </w:r>
            <w:r>
              <w:rPr>
                <w:strike/>
                <w:color w:val="000000"/>
                <w:szCs w:val="22"/>
                <w:highlight w:val="yellow"/>
                <w:lang w:val="en-US"/>
              </w:rPr>
            </w:r>
            <w:r>
              <w:rPr>
                <w:strike/>
                <w:color w:val="000000"/>
                <w:szCs w:val="22"/>
                <w:highlight w:val="yellow"/>
                <w:lang w:val="en-US"/>
              </w:rPr>
            </w:r>
          </w:p>
        </w:tc>
        <w:tc>
          <w:tcPr>
            <w:shd w:val="clear" w:color="auto" w:fill="auto"/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</w:t>
            </w:r>
            <w:r>
              <w:rPr>
                <w:color w:val="000000"/>
                <w:szCs w:val="22"/>
              </w:rPr>
              <w:t xml:space="preserve">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</w:t>
            </w:r>
            <w:r>
              <w:rPr>
                <w:color w:val="000000"/>
                <w:szCs w:val="22"/>
              </w:rPr>
              <w:t xml:space="preserve">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</w:t>
            </w:r>
            <w:r>
              <w:rPr>
                <w:color w:val="000000"/>
                <w:szCs w:val="22"/>
              </w:rPr>
              <w:t xml:space="preserve">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</w:t>
            </w:r>
            <w:r>
              <w:rPr>
                <w:color w:val="000000"/>
                <w:szCs w:val="22"/>
              </w:rPr>
              <w:t xml:space="preserve">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41492,8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41492,8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57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91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Итого по </w:t>
            </w:r>
            <w:r>
              <w:rPr>
                <w:b/>
                <w:bCs/>
                <w:color w:val="000000"/>
                <w:szCs w:val="22"/>
              </w:rPr>
              <w:t xml:space="preserve">основному</w:t>
            </w:r>
            <w:r>
              <w:rPr>
                <w:b/>
                <w:bCs/>
                <w:color w:val="000000"/>
                <w:szCs w:val="22"/>
              </w:rPr>
              <w:t xml:space="preserve"> </w:t>
            </w:r>
            <w:r>
              <w:rPr>
                <w:b/>
                <w:bCs/>
                <w:color w:val="000000"/>
                <w:szCs w:val="22"/>
              </w:rPr>
              <w:t xml:space="preserve">мероприятию 1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ФБ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91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r>
              <w:rPr>
                <w:b/>
                <w:bCs/>
                <w:color w:val="000000"/>
                <w:szCs w:val="22"/>
              </w:rPr>
              <w:t xml:space="preserve">ОБ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362386,6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187403,1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174983,5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91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r>
              <w:rPr>
                <w:b/>
                <w:bCs/>
                <w:color w:val="000000"/>
                <w:szCs w:val="22"/>
              </w:rPr>
              <w:t xml:space="preserve">МБ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98635,4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43635,4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37500,0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17500,0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91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r>
              <w:rPr>
                <w:b/>
                <w:bCs/>
                <w:color w:val="000000"/>
                <w:szCs w:val="22"/>
              </w:rPr>
              <w:t xml:space="preserve">ВБС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gridSpan w:val="3"/>
            <w:shd w:val="clear" w:color="auto" w:fill="auto"/>
            <w:tcW w:w="191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  <w:bCs/>
                <w:color w:val="000000"/>
                <w:szCs w:val="22"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461022,0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231038,5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212483,5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17500,0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18" w:type="pct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</w:rPr>
            </w:pPr>
            <w:r>
              <w:rPr>
                <w:sz w:val="24"/>
                <w:szCs w:val="24"/>
              </w:rPr>
              <w:tab/>
            </w:r>
            <w:r>
              <w:rPr>
                <w:b/>
                <w:bCs/>
                <w:color w:val="000000"/>
                <w:spacing w:val="1"/>
              </w:rPr>
              <w:t xml:space="preserve">Всего по подпрограмме </w:t>
            </w:r>
            <w:r>
              <w:rPr>
                <w:b/>
                <w:bCs/>
                <w:color w:val="000000"/>
                <w:spacing w:val="1"/>
              </w:rPr>
              <w:t xml:space="preserve">2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ФБ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1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1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ОБ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364977,4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189993,9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174983,5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191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МБ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101421,4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45021,4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38200,0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18200,0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1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ВБС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526,0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526,0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1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Итого: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466924,8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235541,3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213183,5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18200,0</w:t>
            </w:r>
            <w:r>
              <w:rPr>
                <w:b/>
                <w:bCs/>
                <w:color w:val="000000"/>
                <w:szCs w:val="22"/>
              </w:rPr>
              <w:t xml:space="preserve">»;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строки 2.1.1, </w:t>
      </w:r>
      <w:r>
        <w:rPr>
          <w:sz w:val="24"/>
          <w:szCs w:val="24"/>
        </w:rPr>
        <w:t xml:space="preserve">2.1.3</w:t>
      </w:r>
      <w:r>
        <w:rPr>
          <w:sz w:val="24"/>
          <w:szCs w:val="24"/>
        </w:rPr>
        <w:t xml:space="preserve"> 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2.1.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таблице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 «Перечень мероприятий подпрограммы с показателями результативности выполнения мероприятий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к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одпрограмме </w:t>
      </w:r>
      <w:r>
        <w:rPr>
          <w:sz w:val="24"/>
          <w:szCs w:val="24"/>
        </w:rPr>
        <w:t xml:space="preserve">2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63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843"/>
        <w:gridCol w:w="708"/>
        <w:gridCol w:w="2127"/>
        <w:gridCol w:w="567"/>
        <w:gridCol w:w="850"/>
        <w:gridCol w:w="850"/>
        <w:gridCol w:w="851"/>
        <w:gridCol w:w="992"/>
      </w:tblGrid>
      <w:tr>
        <w:tblPrEx/>
        <w:trPr>
          <w:trHeight w:val="222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«</w:t>
            </w:r>
            <w:r>
              <w:t xml:space="preserve">2.1.1.</w:t>
            </w:r>
            <w:r/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both"/>
            </w:pPr>
            <w:r>
              <w:t xml:space="preserve">Ремонт магистральных сетей теплоснабжения, водоснабжения и водоотведения</w:t>
            </w:r>
            <w:r/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</w:pPr>
            <w:r>
              <w:t xml:space="preserve">2024-2026</w:t>
            </w:r>
            <w:r/>
          </w:p>
        </w:tc>
        <w:tc>
          <w:tcPr>
            <w:shd w:val="clear" w:color="auto" w:fill="auto"/>
            <w:tcW w:w="2127" w:type="dxa"/>
            <w:textDirection w:val="lrTb"/>
            <w:noWrap w:val="false"/>
          </w:tcPr>
          <w:p>
            <w:pPr>
              <w:jc w:val="both"/>
            </w:pPr>
            <w:r>
              <w:t xml:space="preserve">Доля отремонтированных магистральных сетей тепло - и водоснабжения от общей протяженности системы тепло- и водоснабжения</w:t>
            </w:r>
            <w:r/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ind w:right="-108"/>
              <w:jc w:val="center"/>
            </w:pPr>
            <w:r>
              <w:t xml:space="preserve">%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</w:t>
            </w:r>
            <w:r>
              <w:t xml:space="preserve">1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0,5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0,5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ОС и ЖКХ</w:t>
            </w:r>
            <w:r/>
          </w:p>
        </w:tc>
      </w:tr>
      <w:tr>
        <w:tblPrEx/>
        <w:trPr>
          <w:trHeight w:val="222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2.1.3.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both"/>
            </w:pPr>
            <w:r>
              <w:t xml:space="preserve">Проведение экспертизы сметных расчетов стоимости ремонтных работ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</w:pPr>
            <w:r>
              <w:t xml:space="preserve">2025</w:t>
            </w:r>
            <w:r>
              <w:t xml:space="preserve">-2026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jc w:val="both"/>
            </w:pPr>
            <w:r>
              <w:t xml:space="preserve">Наличие положительного заключения негосударственной экспертизы сметной документации на ремонт инженерных сетей тепло- и водоснабжения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</w:pPr>
            <w:r>
              <w:t xml:space="preserve">да/нет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нет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ОС и ЖКХ</w:t>
            </w:r>
            <w:r/>
          </w:p>
        </w:tc>
      </w:tr>
      <w:tr>
        <w:tblPrEx/>
        <w:trPr>
          <w:trHeight w:val="222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2.1.8.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both"/>
            </w:pPr>
            <w:r>
              <w:t xml:space="preserve">Разработка проектной документации по строительству очистных сооружений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</w:pPr>
            <w:r>
              <w:t xml:space="preserve">2025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jc w:val="both"/>
            </w:pPr>
            <w:r>
              <w:t xml:space="preserve">Количество разработанных проектов по строительству очистных сооружений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ОС и ЖКХ</w:t>
            </w:r>
            <w:r>
              <w:t xml:space="preserve">»;</w:t>
            </w:r>
            <w:r/>
          </w:p>
        </w:tc>
      </w:tr>
    </w:tbl>
    <w:p>
      <w:pPr>
        <w:ind w:right="-5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</w:t>
      </w:r>
      <w:r>
        <w:rPr>
          <w:sz w:val="24"/>
          <w:szCs w:val="24"/>
        </w:rPr>
        <w:t xml:space="preserve">троку «Финансовое обеспечение </w:t>
      </w:r>
      <w:r>
        <w:rPr>
          <w:sz w:val="24"/>
          <w:szCs w:val="24"/>
        </w:rPr>
        <w:t xml:space="preserve">под</w:t>
      </w:r>
      <w:r>
        <w:rPr>
          <w:sz w:val="24"/>
          <w:szCs w:val="24"/>
        </w:rPr>
        <w:t xml:space="preserve">программы» в паспорте П</w:t>
      </w:r>
      <w:r>
        <w:rPr>
          <w:sz w:val="24"/>
          <w:szCs w:val="24"/>
        </w:rPr>
        <w:t xml:space="preserve">одп</w:t>
      </w:r>
      <w:r>
        <w:rPr>
          <w:sz w:val="24"/>
          <w:szCs w:val="24"/>
        </w:rPr>
        <w:t xml:space="preserve">рограммы</w:t>
      </w:r>
      <w:r>
        <w:rPr>
          <w:sz w:val="24"/>
          <w:szCs w:val="24"/>
        </w:rPr>
        <w:t xml:space="preserve"> 3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«Развитие сферы ритуальных услуг и мест захоронения» (далее – Подпрограмма 3) </w:t>
      </w:r>
      <w:r>
        <w:rPr>
          <w:sz w:val="24"/>
          <w:szCs w:val="24"/>
        </w:rPr>
        <w:t xml:space="preserve">изложить в 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948" w:type="pct"/>
        <w:jc w:val="center"/>
        <w:tblInd w:w="186" w:type="dxa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08"/>
        <w:gridCol w:w="7279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3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57" w:type="pct"/>
            <w:textDirection w:val="lrTb"/>
            <w:noWrap w:val="false"/>
          </w:tcPr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63 238,1 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 50976,6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50820,0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78,3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78,3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 12261,5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2024год:  4369,3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3946,1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3946,1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</w:t>
      </w:r>
      <w:r>
        <w:rPr>
          <w:sz w:val="24"/>
          <w:szCs w:val="24"/>
        </w:rPr>
        <w:t xml:space="preserve">и 3.2.1, «Итого </w:t>
      </w:r>
      <w:r>
        <w:rPr>
          <w:sz w:val="24"/>
          <w:szCs w:val="24"/>
        </w:rPr>
        <w:t xml:space="preserve">по </w:t>
      </w:r>
      <w:r>
        <w:rPr>
          <w:sz w:val="24"/>
          <w:szCs w:val="24"/>
        </w:rPr>
        <w:t xml:space="preserve">основному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мероприятию 2» и «Всего по подпрограмме 3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таблице 1 «Перечень</w:t>
      </w:r>
      <w:r>
        <w:rPr>
          <w:sz w:val="24"/>
          <w:szCs w:val="24"/>
        </w:rPr>
        <w:t xml:space="preserve"> мероприятий </w:t>
      </w:r>
      <w:r>
        <w:rPr>
          <w:sz w:val="24"/>
          <w:szCs w:val="24"/>
        </w:rPr>
        <w:t xml:space="preserve">подпрограммы </w:t>
      </w:r>
      <w:r>
        <w:rPr>
          <w:sz w:val="24"/>
          <w:szCs w:val="24"/>
        </w:rPr>
        <w:t xml:space="preserve">с объёмом финансирования</w:t>
      </w:r>
      <w:r>
        <w:rPr>
          <w:sz w:val="24"/>
          <w:szCs w:val="24"/>
        </w:rPr>
        <w:t xml:space="preserve">» к Подпрограмме 3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2"/>
        <w:gridCol w:w="2125"/>
        <w:gridCol w:w="709"/>
        <w:gridCol w:w="852"/>
        <w:gridCol w:w="992"/>
        <w:gridCol w:w="992"/>
        <w:gridCol w:w="992"/>
        <w:gridCol w:w="1135"/>
        <w:gridCol w:w="985"/>
      </w:tblGrid>
      <w:tr>
        <w:tblPrEx/>
        <w:trPr>
          <w:trHeight w:val="65"/>
        </w:trPr>
        <w:tc>
          <w:tcPr>
            <w:shd w:val="clear" w:color="auto" w:fill="auto"/>
            <w:tcW w:w="442" w:type="pct"/>
            <w:vMerge w:val="restart"/>
            <w:textDirection w:val="lrTb"/>
            <w:noWrap w:val="false"/>
          </w:tcPr>
          <w:p>
            <w:r>
              <w:t xml:space="preserve">«</w:t>
            </w:r>
            <w:r>
              <w:t xml:space="preserve">3.2.1.</w:t>
            </w:r>
            <w:r/>
          </w:p>
        </w:tc>
        <w:tc>
          <w:tcPr>
            <w:shd w:val="clear" w:color="auto" w:fill="auto"/>
            <w:tcW w:w="1103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Содержание мест захоронения на территории Печенгского  муниципального округа (текущее содержание, доставка тел в морг и захоронение трупов, не востребованных родственниками)</w:t>
            </w:r>
            <w:r/>
          </w:p>
        </w:tc>
        <w:tc>
          <w:tcPr>
            <w:shd w:val="clear" w:color="auto" w:fill="auto"/>
            <w:tcW w:w="368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2024-2026</w:t>
            </w:r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1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МБУ «НДС»; МБУ «РЭС»</w:t>
            </w:r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03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03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4249,7</w:t>
            </w:r>
            <w:r>
              <w:rPr>
                <w:bCs/>
                <w:color w:val="000000"/>
                <w:szCs w:val="22"/>
              </w:rPr>
            </w:r>
            <w:r>
              <w:rPr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1698,7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1275,5</w:t>
            </w:r>
            <w:r/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1275,5</w:t>
            </w:r>
            <w:r/>
          </w:p>
        </w:tc>
        <w:tc>
          <w:tcPr>
            <w:shd w:val="clear" w:color="auto" w:fill="auto"/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03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0,0</w:t>
            </w:r>
            <w:r>
              <w:rPr>
                <w:bCs/>
                <w:color w:val="000000"/>
                <w:szCs w:val="22"/>
              </w:rPr>
            </w:r>
            <w:r>
              <w:rPr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03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4249,7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1698,7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1275,5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1275,5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1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pacing w:val="1"/>
              </w:rPr>
              <w:t xml:space="preserve">Итого по </w:t>
            </w:r>
            <w:r>
              <w:rPr>
                <w:b/>
                <w:bCs/>
                <w:color w:val="000000"/>
                <w:spacing w:val="1"/>
              </w:rPr>
              <w:t xml:space="preserve">основному </w:t>
            </w:r>
            <w:r>
              <w:rPr>
                <w:b/>
                <w:bCs/>
                <w:color w:val="000000"/>
                <w:spacing w:val="1"/>
              </w:rPr>
              <w:t xml:space="preserve">мероприятию</w:t>
            </w:r>
            <w:r>
              <w:rPr>
                <w:b/>
                <w:bCs/>
                <w:color w:val="000000"/>
                <w:spacing w:val="1"/>
              </w:rPr>
              <w:t xml:space="preserve"> 2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ФБ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1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1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ОБ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234,9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78,3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78,3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78,3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191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МБ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4249,7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1698,7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1275,5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1275,5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1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ВБС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1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Итого: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4484,6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1777,0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1353,8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1353,8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1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pacing w:val="1"/>
              </w:rPr>
              <w:t xml:space="preserve">Всего по подпрограмме 3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ФБ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1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1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ОБ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50976,6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50820,0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78,3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78,3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191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МБ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12261,5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4369,3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3946,1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3946,1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1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ВБС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1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Итого: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63238,1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55189,3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4024,4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4024,4</w:t>
            </w:r>
            <w:r>
              <w:rPr>
                <w:b/>
                <w:bCs/>
                <w:color w:val="000000"/>
                <w:szCs w:val="22"/>
              </w:rPr>
              <w:t xml:space="preserve">»;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пункт 9 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трок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Показатели под</w:t>
      </w:r>
      <w:r>
        <w:rPr>
          <w:sz w:val="24"/>
          <w:szCs w:val="24"/>
        </w:rPr>
        <w:t xml:space="preserve">программы» в паспорте П</w:t>
      </w:r>
      <w:r>
        <w:rPr>
          <w:sz w:val="24"/>
          <w:szCs w:val="24"/>
        </w:rPr>
        <w:t xml:space="preserve">одп</w:t>
      </w:r>
      <w:r>
        <w:rPr>
          <w:sz w:val="24"/>
          <w:szCs w:val="24"/>
        </w:rPr>
        <w:t xml:space="preserve">рограммы</w:t>
      </w:r>
      <w:r>
        <w:rPr>
          <w:sz w:val="24"/>
          <w:szCs w:val="24"/>
        </w:rPr>
        <w:t xml:space="preserve"> 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«Комплексное благоустройство и содержание городской среды» (далее – Подпрограмма 4)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5000" w:type="pct"/>
        <w:jc w:val="center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665"/>
        <w:gridCol w:w="7124"/>
      </w:tblGrid>
      <w:tr>
        <w:tblPrEx/>
        <w:trPr>
          <w:jc w:val="center"/>
          <w:trHeight w:val="36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1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vertAlign w:val="superscript"/>
                <w:lang w:eastAsia="en-US"/>
              </w:rPr>
            </w:pPr>
            <w:r>
              <w:rPr>
                <w:rFonts w:eastAsia="Calibri"/>
                <w:sz w:val="24"/>
                <w:szCs w:val="24"/>
                <w:vertAlign w:val="superscript"/>
                <w:lang w:eastAsia="en-US"/>
              </w:rPr>
            </w:r>
            <w:r>
              <w:rPr>
                <w:rFonts w:eastAsia="Calibri"/>
                <w:sz w:val="24"/>
                <w:szCs w:val="24"/>
                <w:vertAlign w:val="superscript"/>
                <w:lang w:eastAsia="en-US"/>
              </w:rPr>
            </w:r>
            <w:r>
              <w:rPr>
                <w:rFonts w:eastAsia="Calibri"/>
                <w:sz w:val="24"/>
                <w:szCs w:val="24"/>
                <w:vertAlign w:val="superscript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39" w:type="pct"/>
            <w:textDirection w:val="lrTb"/>
            <w:noWrap w:val="false"/>
          </w:tcPr>
          <w:p>
            <w:pPr>
              <w:jc w:val="both"/>
              <w:tabs>
                <w:tab w:val="left" w:pos="326" w:leader="none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«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9. Количество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замененных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опор наружного освещения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.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»;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</w:t>
      </w:r>
      <w:r>
        <w:rPr>
          <w:sz w:val="24"/>
          <w:szCs w:val="24"/>
        </w:rPr>
        <w:t xml:space="preserve">трок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Показатели под</w:t>
      </w:r>
      <w:r>
        <w:rPr>
          <w:sz w:val="24"/>
          <w:szCs w:val="24"/>
        </w:rPr>
        <w:t xml:space="preserve">программы» в паспорте П</w:t>
      </w:r>
      <w:r>
        <w:rPr>
          <w:sz w:val="24"/>
          <w:szCs w:val="24"/>
        </w:rPr>
        <w:t xml:space="preserve">одп</w:t>
      </w:r>
      <w:r>
        <w:rPr>
          <w:sz w:val="24"/>
          <w:szCs w:val="24"/>
        </w:rPr>
        <w:t xml:space="preserve">рограммы</w:t>
      </w:r>
      <w:r>
        <w:rPr>
          <w:sz w:val="24"/>
          <w:szCs w:val="24"/>
        </w:rPr>
        <w:t xml:space="preserve"> 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дополнить пунктом 20 следующего содержания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5000" w:type="pct"/>
        <w:jc w:val="center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665"/>
        <w:gridCol w:w="7124"/>
      </w:tblGrid>
      <w:tr>
        <w:tblPrEx/>
        <w:trPr>
          <w:jc w:val="center"/>
          <w:trHeight w:val="36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1" w:type="pct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vertAlign w:val="superscript"/>
                <w:lang w:eastAsia="en-US"/>
              </w:rPr>
            </w:pPr>
            <w:r>
              <w:rPr>
                <w:rFonts w:eastAsia="Calibri"/>
                <w:sz w:val="24"/>
                <w:szCs w:val="24"/>
                <w:vertAlign w:val="superscript"/>
                <w:lang w:eastAsia="en-US"/>
              </w:rPr>
            </w:r>
            <w:r>
              <w:rPr>
                <w:rFonts w:eastAsia="Calibri"/>
                <w:sz w:val="24"/>
                <w:szCs w:val="24"/>
                <w:vertAlign w:val="superscript"/>
                <w:lang w:eastAsia="en-US"/>
              </w:rPr>
            </w:r>
            <w:r>
              <w:rPr>
                <w:rFonts w:eastAsia="Calibri"/>
                <w:sz w:val="24"/>
                <w:szCs w:val="24"/>
                <w:vertAlign w:val="superscript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39" w:type="pct"/>
            <w:textDirection w:val="lrTb"/>
            <w:noWrap w:val="false"/>
          </w:tcPr>
          <w:p>
            <w:pPr>
              <w:jc w:val="both"/>
              <w:tabs>
                <w:tab w:val="left" w:pos="326" w:leader="none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«20. Количество установленных опор наружного освещения в рамках благоустройства автомобильных дорог общего пользования местного значения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.»;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троку «Финансовое обеспечение </w:t>
      </w:r>
      <w:r>
        <w:rPr>
          <w:sz w:val="24"/>
          <w:szCs w:val="24"/>
        </w:rPr>
        <w:t xml:space="preserve">под</w:t>
      </w:r>
      <w:r>
        <w:rPr>
          <w:sz w:val="24"/>
          <w:szCs w:val="24"/>
        </w:rPr>
        <w:t xml:space="preserve">программы» в паспорте П</w:t>
      </w:r>
      <w:r>
        <w:rPr>
          <w:sz w:val="24"/>
          <w:szCs w:val="24"/>
        </w:rPr>
        <w:t xml:space="preserve">одп</w:t>
      </w:r>
      <w:r>
        <w:rPr>
          <w:sz w:val="24"/>
          <w:szCs w:val="24"/>
        </w:rPr>
        <w:t xml:space="preserve">рограммы</w:t>
      </w:r>
      <w:r>
        <w:rPr>
          <w:sz w:val="24"/>
          <w:szCs w:val="24"/>
        </w:rPr>
        <w:t xml:space="preserve"> 4</w:t>
      </w:r>
      <w:r>
        <w:rPr>
          <w:sz w:val="24"/>
          <w:szCs w:val="24"/>
        </w:rPr>
        <w:t xml:space="preserve"> изложить в </w:t>
      </w:r>
      <w:r>
        <w:rPr>
          <w:sz w:val="24"/>
          <w:szCs w:val="24"/>
        </w:rPr>
        <w:t xml:space="preserve">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972" w:type="pct"/>
        <w:jc w:val="center"/>
        <w:tblInd w:w="186" w:type="dxa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568"/>
        <w:gridCol w:w="7166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9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1" w:type="pct"/>
            <w:textDirection w:val="lrTb"/>
            <w:noWrap w:val="false"/>
          </w:tcPr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410 103,5 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40096,5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28515,5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5663,0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5918,0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 368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37,0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148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52,4 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128866,4 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91418,2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1270,0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1270,0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строки 4.1.5 и 4.1.6 в таблице 1 «Перечень</w:t>
      </w:r>
      <w:r>
        <w:rPr>
          <w:sz w:val="24"/>
          <w:szCs w:val="24"/>
        </w:rPr>
        <w:t xml:space="preserve"> мероприятий </w:t>
      </w:r>
      <w:r>
        <w:rPr>
          <w:sz w:val="24"/>
          <w:szCs w:val="24"/>
        </w:rPr>
        <w:t xml:space="preserve">подпрограммы </w:t>
      </w:r>
      <w:r>
        <w:rPr>
          <w:sz w:val="24"/>
          <w:szCs w:val="24"/>
        </w:rPr>
        <w:t xml:space="preserve">с объёмом финансирования</w:t>
      </w:r>
      <w:r>
        <w:rPr>
          <w:sz w:val="24"/>
          <w:szCs w:val="24"/>
        </w:rPr>
        <w:t xml:space="preserve">» к Подпрограмме 4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49"/>
        <w:gridCol w:w="2093"/>
        <w:gridCol w:w="746"/>
        <w:gridCol w:w="852"/>
        <w:gridCol w:w="992"/>
        <w:gridCol w:w="992"/>
        <w:gridCol w:w="992"/>
        <w:gridCol w:w="1010"/>
        <w:gridCol w:w="1108"/>
      </w:tblGrid>
      <w:tr>
        <w:tblPrEx/>
        <w:trPr>
          <w:trHeight w:val="65"/>
        </w:trPr>
        <w:tc>
          <w:tcPr>
            <w:shd w:val="clear" w:color="auto" w:fill="auto"/>
            <w:tcW w:w="441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</w:t>
            </w:r>
            <w:r>
              <w:t xml:space="preserve">4.1.5.</w:t>
            </w:r>
            <w:r/>
          </w:p>
        </w:tc>
        <w:tc>
          <w:tcPr>
            <w:shd w:val="clear" w:color="auto" w:fill="auto"/>
            <w:tcW w:w="1086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Техническое обслуживание наружного освещения, оплата электроэнергии наружного освещения</w:t>
            </w:r>
            <w:r/>
          </w:p>
        </w:tc>
        <w:tc>
          <w:tcPr>
            <w:shd w:val="clear" w:color="auto" w:fill="auto"/>
            <w:tcW w:w="387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2024-2026</w:t>
            </w:r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МБУ «РЭС»;</w:t>
            </w:r>
            <w:r/>
          </w:p>
          <w:p>
            <w:pPr>
              <w:jc w:val="center"/>
            </w:pPr>
            <w:r>
              <w:t xml:space="preserve">МБУ «НДС»; </w:t>
            </w:r>
            <w:r/>
          </w:p>
          <w:p>
            <w:pPr>
              <w:jc w:val="center"/>
            </w:pPr>
            <w:r>
              <w:t xml:space="preserve">МБУ «ДЭСП»</w:t>
            </w:r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66379,4</w:t>
            </w:r>
            <w:r>
              <w:rPr>
                <w:bCs/>
                <w:color w:val="000000"/>
                <w:szCs w:val="22"/>
              </w:rPr>
            </w:r>
            <w:r>
              <w:rPr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515" w:type="pct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4"/>
              </w:rPr>
            </w:pPr>
            <w:r>
              <w:rPr>
                <w:bCs/>
                <w:color w:val="000000"/>
                <w:szCs w:val="24"/>
              </w:rPr>
              <w:t xml:space="preserve">22059,8</w:t>
            </w:r>
            <w:r>
              <w:rPr>
                <w:bCs/>
                <w:color w:val="000000"/>
                <w:szCs w:val="24"/>
              </w:rPr>
            </w:r>
            <w:r>
              <w:rPr>
                <w:bCs/>
                <w:color w:val="000000"/>
                <w:szCs w:val="24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22159,8</w:t>
            </w:r>
            <w:r/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</w:pPr>
            <w:r>
              <w:t xml:space="preserve">22159,8</w:t>
            </w:r>
            <w:r/>
          </w:p>
        </w:tc>
        <w:tc>
          <w:tcPr>
            <w:shd w:val="clear" w:color="auto" w:fill="auto"/>
            <w:tcW w:w="5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Borders>
              <w:bottom w:val="single" w:color="auto" w:sz="4" w:space="0"/>
              <w:right w:val="single" w:color="auto" w:sz="4" w:space="0"/>
            </w:tcBorders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0,0</w:t>
            </w:r>
            <w:r>
              <w:rPr>
                <w:bCs/>
                <w:color w:val="000000"/>
                <w:szCs w:val="22"/>
              </w:rPr>
            </w:r>
            <w:r>
              <w:rPr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</w:tcBorders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right w:val="single" w:color="auto" w:sz="4" w:space="0"/>
            </w:tcBorders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66379,4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</w:tcBorders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22059,8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22159,8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22159,8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1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4.1.6</w:t>
            </w:r>
            <w:r>
              <w:t xml:space="preserve">.</w:t>
            </w:r>
            <w:r/>
          </w:p>
        </w:tc>
        <w:tc>
          <w:tcPr>
            <w:shd w:val="clear" w:color="auto" w:fill="auto"/>
            <w:tcW w:w="1086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Ремонт наружного освещения</w:t>
            </w:r>
            <w:r/>
          </w:p>
        </w:tc>
        <w:tc>
          <w:tcPr>
            <w:shd w:val="clear" w:color="auto" w:fill="auto"/>
            <w:tcW w:w="387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2024-2025</w:t>
            </w:r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>
              <w:t xml:space="preserve">,</w:t>
            </w:r>
            <w:r/>
          </w:p>
          <w:p>
            <w:pPr>
              <w:jc w:val="center"/>
            </w:pPr>
            <w:r>
              <w:t xml:space="preserve">МБУ «РЭС</w:t>
            </w:r>
            <w:r>
              <w:t xml:space="preserve">»</w:t>
            </w:r>
            <w:r>
              <w:t xml:space="preserve">»</w:t>
            </w:r>
            <w:r>
              <w:t xml:space="preserve">;</w:t>
            </w:r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1" w:type="pct"/>
            <w:vMerge w:val="continue"/>
            <w:textDirection w:val="lrTb"/>
            <w:noWrap w:val="false"/>
          </w:tcPr>
          <w:p>
            <w:pPr>
              <w:jc w:val="center"/>
              <w:rPr>
                <w:highlight w:val="green"/>
              </w:rPr>
            </w:pPr>
            <w:r>
              <w:rPr>
                <w:highlight w:val="green"/>
              </w:rPr>
            </w:r>
            <w:r>
              <w:rPr>
                <w:highlight w:val="green"/>
              </w:rPr>
            </w:r>
            <w:r>
              <w:rPr>
                <w:highlight w:val="green"/>
              </w:rPr>
            </w:r>
          </w:p>
        </w:tc>
        <w:tc>
          <w:tcPr>
            <w:shd w:val="clear" w:color="auto" w:fill="auto"/>
            <w:tcW w:w="1086" w:type="pct"/>
            <w:vMerge w:val="continue"/>
            <w:textDirection w:val="lrTb"/>
            <w:noWrap w:val="false"/>
          </w:tcPr>
          <w:p>
            <w:pPr>
              <w:jc w:val="both"/>
              <w:rPr>
                <w:highlight w:val="green"/>
              </w:rPr>
            </w:pPr>
            <w:r>
              <w:rPr>
                <w:highlight w:val="green"/>
              </w:rPr>
            </w:r>
            <w:r>
              <w:rPr>
                <w:highlight w:val="green"/>
              </w:rPr>
            </w:r>
            <w:r>
              <w:rPr>
                <w:highlight w:val="green"/>
              </w:rPr>
            </w:r>
          </w:p>
        </w:tc>
        <w:tc>
          <w:tcPr>
            <w:shd w:val="clear" w:color="auto" w:fill="auto"/>
            <w:tcW w:w="387" w:type="pct"/>
            <w:vMerge w:val="continue"/>
            <w:textDirection w:val="lrTb"/>
            <w:noWrap w:val="false"/>
          </w:tcPr>
          <w:p>
            <w:pPr>
              <w:jc w:val="center"/>
              <w:rPr>
                <w:highlight w:val="green"/>
              </w:rPr>
            </w:pPr>
            <w:r>
              <w:rPr>
                <w:highlight w:val="green"/>
              </w:rPr>
            </w:r>
            <w:r>
              <w:rPr>
                <w:highlight w:val="green"/>
              </w:rPr>
            </w:r>
            <w:r>
              <w:rPr>
                <w:highlight w:val="green"/>
              </w:rPr>
            </w:r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highlight w:val="green"/>
              </w:rPr>
            </w:pPr>
            <w:r>
              <w:rPr>
                <w:highlight w:val="green"/>
              </w:rPr>
            </w:r>
            <w:r>
              <w:rPr>
                <w:highlight w:val="green"/>
              </w:rPr>
            </w:r>
            <w:r>
              <w:rPr>
                <w:highlight w:val="green"/>
              </w:rPr>
            </w:r>
          </w:p>
        </w:tc>
      </w:tr>
      <w:tr>
        <w:tblPrEx/>
        <w:trPr>
          <w:trHeight w:val="233"/>
        </w:trPr>
        <w:tc>
          <w:tcPr>
            <w:shd w:val="clear" w:color="auto" w:fill="auto"/>
            <w:tcW w:w="441" w:type="pct"/>
            <w:vMerge w:val="continue"/>
            <w:textDirection w:val="lrTb"/>
            <w:noWrap w:val="false"/>
          </w:tcPr>
          <w:p>
            <w:pPr>
              <w:jc w:val="center"/>
              <w:rPr>
                <w:highlight w:val="green"/>
              </w:rPr>
            </w:pPr>
            <w:r>
              <w:rPr>
                <w:highlight w:val="green"/>
              </w:rPr>
            </w:r>
            <w:r>
              <w:rPr>
                <w:highlight w:val="green"/>
              </w:rPr>
            </w:r>
            <w:r>
              <w:rPr>
                <w:highlight w:val="green"/>
              </w:rPr>
            </w:r>
          </w:p>
        </w:tc>
        <w:tc>
          <w:tcPr>
            <w:shd w:val="clear" w:color="auto" w:fill="auto"/>
            <w:tcW w:w="1086" w:type="pct"/>
            <w:vMerge w:val="continue"/>
            <w:textDirection w:val="lrTb"/>
            <w:noWrap w:val="false"/>
          </w:tcPr>
          <w:p>
            <w:pPr>
              <w:jc w:val="both"/>
              <w:rPr>
                <w:highlight w:val="green"/>
              </w:rPr>
            </w:pPr>
            <w:r>
              <w:rPr>
                <w:highlight w:val="green"/>
              </w:rPr>
            </w:r>
            <w:r>
              <w:rPr>
                <w:highlight w:val="green"/>
              </w:rPr>
            </w:r>
            <w:r>
              <w:rPr>
                <w:highlight w:val="green"/>
              </w:rPr>
            </w:r>
          </w:p>
        </w:tc>
        <w:tc>
          <w:tcPr>
            <w:shd w:val="clear" w:color="auto" w:fill="auto"/>
            <w:tcW w:w="387" w:type="pct"/>
            <w:vMerge w:val="continue"/>
            <w:textDirection w:val="lrTb"/>
            <w:noWrap w:val="false"/>
          </w:tcPr>
          <w:p>
            <w:pPr>
              <w:jc w:val="center"/>
              <w:rPr>
                <w:highlight w:val="green"/>
              </w:rPr>
            </w:pPr>
            <w:r>
              <w:rPr>
                <w:highlight w:val="green"/>
              </w:rPr>
            </w:r>
            <w:r>
              <w:rPr>
                <w:highlight w:val="green"/>
              </w:rPr>
            </w:r>
            <w:r>
              <w:rPr>
                <w:highlight w:val="green"/>
              </w:rPr>
            </w:r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16237,8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6</w:t>
            </w:r>
            <w:r>
              <w:t xml:space="preserve">237,8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10000,0</w:t>
            </w:r>
            <w:r/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highlight w:val="green"/>
              </w:rPr>
            </w:pPr>
            <w:r>
              <w:rPr>
                <w:highlight w:val="green"/>
              </w:rPr>
            </w:r>
            <w:r>
              <w:rPr>
                <w:highlight w:val="green"/>
              </w:rPr>
            </w:r>
            <w:r>
              <w:rPr>
                <w:highlight w:val="green"/>
              </w:rPr>
            </w:r>
          </w:p>
        </w:tc>
      </w:tr>
      <w:tr>
        <w:tblPrEx/>
        <w:trPr>
          <w:trHeight w:val="233"/>
        </w:trPr>
        <w:tc>
          <w:tcPr>
            <w:shd w:val="clear" w:color="auto" w:fill="auto"/>
            <w:tcW w:w="441" w:type="pct"/>
            <w:vMerge w:val="continue"/>
            <w:textDirection w:val="lrTb"/>
            <w:noWrap w:val="false"/>
          </w:tcPr>
          <w:p>
            <w:pPr>
              <w:jc w:val="center"/>
              <w:rPr>
                <w:highlight w:val="green"/>
              </w:rPr>
            </w:pPr>
            <w:r>
              <w:rPr>
                <w:highlight w:val="green"/>
              </w:rPr>
            </w:r>
            <w:r>
              <w:rPr>
                <w:highlight w:val="green"/>
              </w:rPr>
            </w:r>
            <w:r>
              <w:rPr>
                <w:highlight w:val="green"/>
              </w:rPr>
            </w:r>
          </w:p>
        </w:tc>
        <w:tc>
          <w:tcPr>
            <w:shd w:val="clear" w:color="auto" w:fill="auto"/>
            <w:tcW w:w="1086" w:type="pct"/>
            <w:vMerge w:val="continue"/>
            <w:textDirection w:val="lrTb"/>
            <w:noWrap w:val="false"/>
          </w:tcPr>
          <w:p>
            <w:pPr>
              <w:jc w:val="both"/>
              <w:rPr>
                <w:highlight w:val="green"/>
              </w:rPr>
            </w:pPr>
            <w:r>
              <w:rPr>
                <w:highlight w:val="green"/>
              </w:rPr>
            </w:r>
            <w:r>
              <w:rPr>
                <w:highlight w:val="green"/>
              </w:rPr>
            </w:r>
            <w:r>
              <w:rPr>
                <w:highlight w:val="green"/>
              </w:rPr>
            </w:r>
          </w:p>
        </w:tc>
        <w:tc>
          <w:tcPr>
            <w:shd w:val="clear" w:color="auto" w:fill="auto"/>
            <w:tcW w:w="387" w:type="pct"/>
            <w:vMerge w:val="continue"/>
            <w:textDirection w:val="lrTb"/>
            <w:noWrap w:val="false"/>
          </w:tcPr>
          <w:p>
            <w:pPr>
              <w:jc w:val="center"/>
              <w:rPr>
                <w:highlight w:val="green"/>
              </w:rPr>
            </w:pPr>
            <w:r>
              <w:rPr>
                <w:highlight w:val="green"/>
              </w:rPr>
            </w:r>
            <w:r>
              <w:rPr>
                <w:highlight w:val="green"/>
              </w:rPr>
            </w:r>
            <w:r>
              <w:rPr>
                <w:highlight w:val="green"/>
              </w:rPr>
            </w:r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highlight w:val="green"/>
              </w:rPr>
            </w:pPr>
            <w:r>
              <w:rPr>
                <w:highlight w:val="green"/>
              </w:rPr>
            </w:r>
            <w:r>
              <w:rPr>
                <w:highlight w:val="green"/>
              </w:rPr>
            </w:r>
            <w:r>
              <w:rPr>
                <w:highlight w:val="green"/>
              </w:rPr>
            </w:r>
          </w:p>
        </w:tc>
      </w:tr>
      <w:tr>
        <w:tblPrEx/>
        <w:trPr>
          <w:trHeight w:val="233"/>
        </w:trPr>
        <w:tc>
          <w:tcPr>
            <w:shd w:val="clear" w:color="auto" w:fill="auto"/>
            <w:tcW w:w="441" w:type="pct"/>
            <w:vMerge w:val="continue"/>
            <w:textDirection w:val="lrTb"/>
            <w:noWrap w:val="false"/>
          </w:tcPr>
          <w:p>
            <w:pPr>
              <w:jc w:val="center"/>
              <w:rPr>
                <w:highlight w:val="green"/>
              </w:rPr>
            </w:pPr>
            <w:r>
              <w:rPr>
                <w:highlight w:val="green"/>
              </w:rPr>
            </w:r>
            <w:r>
              <w:rPr>
                <w:highlight w:val="green"/>
              </w:rPr>
            </w:r>
            <w:r>
              <w:rPr>
                <w:highlight w:val="green"/>
              </w:rPr>
            </w:r>
          </w:p>
        </w:tc>
        <w:tc>
          <w:tcPr>
            <w:shd w:val="clear" w:color="auto" w:fill="auto"/>
            <w:tcW w:w="1086" w:type="pct"/>
            <w:vMerge w:val="continue"/>
            <w:textDirection w:val="lrTb"/>
            <w:noWrap w:val="false"/>
          </w:tcPr>
          <w:p>
            <w:pPr>
              <w:jc w:val="both"/>
              <w:rPr>
                <w:highlight w:val="green"/>
              </w:rPr>
            </w:pPr>
            <w:r>
              <w:rPr>
                <w:highlight w:val="green"/>
              </w:rPr>
            </w:r>
            <w:r>
              <w:rPr>
                <w:highlight w:val="green"/>
              </w:rPr>
            </w:r>
            <w:r>
              <w:rPr>
                <w:highlight w:val="green"/>
              </w:rPr>
            </w:r>
          </w:p>
        </w:tc>
        <w:tc>
          <w:tcPr>
            <w:shd w:val="clear" w:color="auto" w:fill="auto"/>
            <w:tcW w:w="387" w:type="pct"/>
            <w:vMerge w:val="continue"/>
            <w:textDirection w:val="lrTb"/>
            <w:noWrap w:val="false"/>
          </w:tcPr>
          <w:p>
            <w:pPr>
              <w:jc w:val="center"/>
              <w:rPr>
                <w:highlight w:val="green"/>
              </w:rPr>
            </w:pPr>
            <w:r>
              <w:rPr>
                <w:highlight w:val="green"/>
              </w:rPr>
            </w:r>
            <w:r>
              <w:rPr>
                <w:highlight w:val="green"/>
              </w:rPr>
            </w:r>
            <w:r>
              <w:rPr>
                <w:highlight w:val="green"/>
              </w:rPr>
            </w:r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16237,8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6237,8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таблицу 1 «Перечень</w:t>
      </w:r>
      <w:r>
        <w:rPr>
          <w:sz w:val="24"/>
          <w:szCs w:val="24"/>
        </w:rPr>
        <w:t xml:space="preserve"> мероприятий </w:t>
      </w:r>
      <w:r>
        <w:rPr>
          <w:sz w:val="24"/>
          <w:szCs w:val="24"/>
        </w:rPr>
        <w:t xml:space="preserve">подпрограммы </w:t>
      </w:r>
      <w:r>
        <w:rPr>
          <w:sz w:val="24"/>
          <w:szCs w:val="24"/>
        </w:rPr>
        <w:t xml:space="preserve">с объёмом финансирования</w:t>
      </w:r>
      <w:r>
        <w:rPr>
          <w:sz w:val="24"/>
          <w:szCs w:val="24"/>
        </w:rPr>
        <w:t xml:space="preserve">» к Подпрограмме 4 дополнить строк</w:t>
      </w:r>
      <w:r>
        <w:rPr>
          <w:sz w:val="24"/>
          <w:szCs w:val="24"/>
        </w:rPr>
        <w:t xml:space="preserve">ой</w:t>
      </w:r>
      <w:r>
        <w:rPr>
          <w:sz w:val="24"/>
          <w:szCs w:val="24"/>
        </w:rPr>
        <w:t xml:space="preserve"> 4.1.14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49"/>
        <w:gridCol w:w="2093"/>
        <w:gridCol w:w="746"/>
        <w:gridCol w:w="852"/>
        <w:gridCol w:w="992"/>
        <w:gridCol w:w="992"/>
        <w:gridCol w:w="992"/>
        <w:gridCol w:w="1010"/>
        <w:gridCol w:w="1108"/>
      </w:tblGrid>
      <w:tr>
        <w:tblPrEx/>
        <w:trPr>
          <w:trHeight w:val="65"/>
        </w:trPr>
        <w:tc>
          <w:tcPr>
            <w:shd w:val="clear" w:color="auto" w:fill="auto"/>
            <w:tcW w:w="441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«4.1.14</w:t>
            </w:r>
            <w:r>
              <w:t xml:space="preserve">.</w:t>
            </w:r>
            <w:r/>
          </w:p>
        </w:tc>
        <w:tc>
          <w:tcPr>
            <w:shd w:val="clear" w:color="auto" w:fill="auto"/>
            <w:tcW w:w="1086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Благоустройство</w:t>
            </w:r>
            <w:r>
              <w:t xml:space="preserve"> автомобильных </w:t>
            </w:r>
            <w:r>
              <w:t xml:space="preserve"> дорог</w:t>
            </w:r>
            <w:r>
              <w:t xml:space="preserve"> общего пользования </w:t>
            </w:r>
            <w:r>
              <w:t xml:space="preserve"> местного значения</w:t>
            </w:r>
            <w:r/>
          </w:p>
        </w:tc>
        <w:tc>
          <w:tcPr>
            <w:shd w:val="clear" w:color="auto" w:fill="auto"/>
            <w:tcW w:w="387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2024</w:t>
            </w:r>
            <w:r/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ФБ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0,0</w:t>
            </w:r>
            <w:r>
              <w:rPr>
                <w:bCs/>
                <w:color w:val="000000"/>
                <w:szCs w:val="22"/>
              </w:rPr>
            </w:r>
            <w:r>
              <w:rPr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0,0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0,0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575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»»;</w:t>
            </w:r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8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r>
              <w:rPr>
                <w:color w:val="000000"/>
              </w:rPr>
              <w:t xml:space="preserve">ОБ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0,0</w:t>
            </w:r>
            <w:r>
              <w:rPr>
                <w:bCs/>
                <w:color w:val="000000"/>
                <w:szCs w:val="22"/>
              </w:rPr>
            </w:r>
            <w:r>
              <w:rPr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</w:rPr>
              <w:t xml:space="preserve">0,0</w:t>
            </w:r>
            <w:r/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</w:rPr>
              <w:t xml:space="preserve">0,0</w:t>
            </w:r>
            <w:r/>
          </w:p>
        </w:tc>
        <w:tc>
          <w:tcPr>
            <w:shd w:val="clear" w:color="auto" w:fill="auto"/>
            <w:tcW w:w="5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8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r>
              <w:rPr>
                <w:color w:val="000000"/>
              </w:rPr>
              <w:t xml:space="preserve">МБ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3962,2</w:t>
            </w:r>
            <w:r>
              <w:rPr>
                <w:bCs/>
                <w:color w:val="000000"/>
                <w:szCs w:val="22"/>
              </w:rPr>
            </w:r>
            <w:r>
              <w:rPr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3962,2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</w:rPr>
              <w:t xml:space="preserve">0,0</w:t>
            </w:r>
            <w:r/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</w:rPr>
              <w:t xml:space="preserve">0,0</w:t>
            </w:r>
            <w:r/>
          </w:p>
        </w:tc>
        <w:tc>
          <w:tcPr>
            <w:shd w:val="clear" w:color="auto" w:fill="auto"/>
            <w:tcW w:w="5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8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r>
              <w:rPr>
                <w:color w:val="000000"/>
              </w:rPr>
              <w:t xml:space="preserve">ВБС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0,0</w:t>
            </w:r>
            <w:r>
              <w:rPr>
                <w:bCs/>
                <w:color w:val="000000"/>
                <w:szCs w:val="22"/>
              </w:rPr>
            </w:r>
            <w:r>
              <w:rPr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</w:rPr>
              <w:t xml:space="preserve">0,0</w:t>
            </w:r>
            <w:r/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</w:rPr>
              <w:t xml:space="preserve">0,0</w:t>
            </w:r>
            <w:r/>
          </w:p>
        </w:tc>
        <w:tc>
          <w:tcPr>
            <w:shd w:val="clear" w:color="auto" w:fill="auto"/>
            <w:tcW w:w="5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8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  <w:bCs/>
                <w:color w:val="000000"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3962,2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3962,2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  <w:bCs/>
                <w:color w:val="000000"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  <w:bCs/>
                <w:color w:val="000000"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строки «Итого по основному мероприятию 1» и «Всего по подпрограмме 4» таблицы 1 «Перечень</w:t>
      </w:r>
      <w:r>
        <w:rPr>
          <w:sz w:val="24"/>
          <w:szCs w:val="24"/>
        </w:rPr>
        <w:t xml:space="preserve"> мероприятий </w:t>
      </w:r>
      <w:r>
        <w:rPr>
          <w:sz w:val="24"/>
          <w:szCs w:val="24"/>
        </w:rPr>
        <w:t xml:space="preserve">подпрограммы </w:t>
      </w:r>
      <w:r>
        <w:rPr>
          <w:sz w:val="24"/>
          <w:szCs w:val="24"/>
        </w:rPr>
        <w:t xml:space="preserve">с объёмом финансирования</w:t>
      </w:r>
      <w:r>
        <w:rPr>
          <w:sz w:val="24"/>
          <w:szCs w:val="24"/>
        </w:rPr>
        <w:t xml:space="preserve">» к Подпрограмме 4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3688"/>
        <w:gridCol w:w="852"/>
        <w:gridCol w:w="992"/>
        <w:gridCol w:w="992"/>
        <w:gridCol w:w="992"/>
        <w:gridCol w:w="1131"/>
        <w:gridCol w:w="987"/>
      </w:tblGrid>
      <w:tr>
        <w:tblPrEx/>
        <w:trPr>
          <w:trHeight w:val="65"/>
        </w:trPr>
        <w:tc>
          <w:tcPr>
            <w:shd w:val="clear" w:color="auto" w:fill="auto"/>
            <w:tcW w:w="191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«</w:t>
            </w:r>
            <w:r>
              <w:rPr>
                <w:b/>
                <w:bCs/>
                <w:color w:val="000000"/>
                <w:szCs w:val="22"/>
              </w:rPr>
              <w:t xml:space="preserve">Итого по </w:t>
            </w:r>
            <w:r>
              <w:rPr>
                <w:b/>
                <w:bCs/>
                <w:color w:val="000000"/>
                <w:szCs w:val="22"/>
              </w:rPr>
              <w:t xml:space="preserve">основному </w:t>
            </w:r>
            <w:r>
              <w:rPr>
                <w:b/>
                <w:bCs/>
                <w:color w:val="000000"/>
                <w:szCs w:val="22"/>
              </w:rPr>
              <w:t xml:space="preserve">мероприятию 1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ФБ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191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r>
              <w:rPr>
                <w:b/>
                <w:bCs/>
                <w:color w:val="000000"/>
                <w:szCs w:val="22"/>
              </w:rPr>
              <w:t xml:space="preserve">ОБ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23096,5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23096,5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191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r>
              <w:rPr>
                <w:b/>
                <w:bCs/>
                <w:color w:val="000000"/>
                <w:szCs w:val="22"/>
              </w:rPr>
              <w:t xml:space="preserve">МБ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214747,8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97095,2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78011,3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39641,3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191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r>
              <w:rPr>
                <w:b/>
                <w:bCs/>
                <w:color w:val="000000"/>
                <w:szCs w:val="22"/>
              </w:rPr>
              <w:t xml:space="preserve">ВБС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1270,0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1270,0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191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  <w:bCs/>
                <w:color w:val="000000"/>
                <w:szCs w:val="22"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239114,3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121461,7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78011,3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39641,</w:t>
            </w:r>
            <w:r>
              <w:rPr>
                <w:b/>
                <w:bCs/>
                <w:color w:val="000000"/>
                <w:szCs w:val="22"/>
              </w:rPr>
              <w:t xml:space="preserve">3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191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Всего </w:t>
            </w:r>
            <w:r>
              <w:rPr>
                <w:b/>
              </w:rPr>
              <w:t xml:space="preserve">по </w:t>
            </w:r>
            <w:r>
              <w:rPr>
                <w:b/>
                <w:color w:val="000000"/>
                <w:spacing w:val="1"/>
              </w:rPr>
              <w:t xml:space="preserve">подпрограмме </w:t>
            </w:r>
            <w:r>
              <w:rPr>
                <w:b/>
                <w:color w:val="000000"/>
                <w:spacing w:val="1"/>
              </w:rPr>
              <w:t xml:space="preserve">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2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191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40096,5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28515,5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shd w:val="clear" w:color="auto" w:fill="auto"/>
            <w:tcW w:w="191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368737,0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148452,4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128866,4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91418,2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191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1270,0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1270,0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191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410103,5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178237,9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134529,4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97336,2»;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4.1.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в таблице </w:t>
      </w:r>
      <w:r>
        <w:rPr>
          <w:sz w:val="24"/>
          <w:szCs w:val="24"/>
        </w:rPr>
        <w:t xml:space="preserve">2 «Перечень мероприятий подпрограммы с показателями результативности выполнения мероприятий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к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одпрограмме </w:t>
      </w:r>
      <w:r>
        <w:rPr>
          <w:sz w:val="24"/>
          <w:szCs w:val="24"/>
        </w:rPr>
        <w:t xml:space="preserve">4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63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984"/>
        <w:gridCol w:w="709"/>
        <w:gridCol w:w="1843"/>
        <w:gridCol w:w="567"/>
        <w:gridCol w:w="850"/>
        <w:gridCol w:w="851"/>
        <w:gridCol w:w="708"/>
        <w:gridCol w:w="1134"/>
      </w:tblGrid>
      <w:tr>
        <w:tblPrEx/>
        <w:trPr>
          <w:trHeight w:val="222"/>
        </w:trPr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</w:rPr>
              <w:t xml:space="preserve">«4.1.</w:t>
            </w:r>
            <w:r>
              <w:rPr>
                <w:bCs/>
                <w:color w:val="000000"/>
              </w:rPr>
              <w:t xml:space="preserve">6</w:t>
            </w:r>
            <w:r>
              <w:rPr>
                <w:bCs/>
                <w:color w:val="000000"/>
              </w:rPr>
              <w:t xml:space="preserve">.</w:t>
            </w:r>
            <w:r>
              <w:rPr>
                <w:bCs/>
                <w:color w:val="000000"/>
                <w:sz w:val="24"/>
                <w:szCs w:val="24"/>
              </w:rPr>
            </w:r>
            <w:r>
              <w:rPr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984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Ремонт наружного освещения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2024-2025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843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Количество замененных опор наружного освещения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шт.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Не мене 20</w:t>
            </w:r>
            <w:r>
              <w:rPr>
                <w:bCs/>
                <w:color w:val="000000"/>
              </w:rPr>
            </w:r>
            <w:r>
              <w:rPr>
                <w:bCs/>
                <w:color w:val="000000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Не менее 20</w:t>
            </w:r>
            <w:r>
              <w:rPr>
                <w:bCs/>
                <w:color w:val="000000"/>
              </w:rPr>
            </w:r>
            <w:r>
              <w:rPr>
                <w:bCs/>
                <w:color w:val="000000"/>
              </w:rPr>
            </w:r>
          </w:p>
        </w:tc>
        <w:tc>
          <w:tcPr>
            <w:shd w:val="clear" w:color="auto" w:fill="auto"/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-</w:t>
            </w:r>
            <w:r>
              <w:rPr>
                <w:bCs/>
                <w:color w:val="000000"/>
              </w:rPr>
            </w:r>
            <w:r>
              <w:rPr>
                <w:bCs/>
                <w:color w:val="000000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МКУ «</w:t>
            </w:r>
            <w:r>
              <w:rPr>
                <w:color w:val="000000"/>
              </w:rPr>
              <w:t xml:space="preserve">УБиР</w:t>
            </w:r>
            <w:r>
              <w:rPr>
                <w:color w:val="000000"/>
              </w:rPr>
              <w:t xml:space="preserve">»</w:t>
            </w:r>
            <w:r>
              <w:rPr>
                <w:color w:val="000000"/>
              </w:rPr>
              <w:t xml:space="preserve">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МБУ «РЭС»</w:t>
            </w:r>
            <w:r>
              <w:rPr>
                <w:color w:val="000000"/>
              </w:rPr>
              <w:t xml:space="preserve">»</w:t>
            </w:r>
            <w:r>
              <w:rPr>
                <w:color w:val="000000"/>
              </w:rPr>
              <w:t xml:space="preserve">;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таблицу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 «Перечень мероприятий подпрограммы с показателями результативности выполнения мероприятий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к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одпрограмме </w:t>
      </w:r>
      <w:r>
        <w:rPr>
          <w:sz w:val="24"/>
          <w:szCs w:val="24"/>
        </w:rPr>
        <w:t xml:space="preserve">4 дополнить строк</w:t>
      </w:r>
      <w:r>
        <w:rPr>
          <w:sz w:val="24"/>
          <w:szCs w:val="24"/>
        </w:rPr>
        <w:t xml:space="preserve">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4.</w:t>
      </w: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14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63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984"/>
        <w:gridCol w:w="709"/>
        <w:gridCol w:w="1843"/>
        <w:gridCol w:w="567"/>
        <w:gridCol w:w="850"/>
        <w:gridCol w:w="851"/>
        <w:gridCol w:w="708"/>
        <w:gridCol w:w="1134"/>
      </w:tblGrid>
      <w:tr>
        <w:tblPrEx/>
        <w:trPr>
          <w:trHeight w:val="222"/>
        </w:trPr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</w:rPr>
              <w:t xml:space="preserve">«</w:t>
            </w:r>
            <w:r>
              <w:rPr>
                <w:bCs/>
                <w:color w:val="000000"/>
              </w:rPr>
              <w:t xml:space="preserve">4.1.1</w:t>
            </w:r>
            <w:r>
              <w:rPr>
                <w:bCs/>
                <w:color w:val="000000"/>
              </w:rPr>
              <w:t xml:space="preserve">4</w:t>
            </w:r>
            <w:r>
              <w:rPr>
                <w:bCs/>
                <w:color w:val="000000"/>
              </w:rPr>
              <w:t xml:space="preserve">.</w:t>
            </w:r>
            <w:r>
              <w:rPr>
                <w:bCs/>
                <w:color w:val="000000"/>
                <w:sz w:val="24"/>
                <w:szCs w:val="24"/>
              </w:rPr>
            </w:r>
            <w:r>
              <w:rPr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984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Благоустройство </w:t>
            </w:r>
            <w:r>
              <w:rPr>
                <w:color w:val="000000"/>
              </w:rPr>
              <w:t xml:space="preserve">авто</w:t>
            </w:r>
            <w:r>
              <w:rPr>
                <w:color w:val="000000"/>
              </w:rPr>
              <w:t xml:space="preserve">мобильных </w:t>
            </w:r>
            <w:r>
              <w:rPr>
                <w:color w:val="000000"/>
              </w:rPr>
              <w:t xml:space="preserve"> дорог общего пользования местного значения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2024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843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К</w:t>
            </w:r>
            <w:r>
              <w:rPr>
                <w:color w:val="000000"/>
              </w:rPr>
              <w:t xml:space="preserve">оличество установленных опор наружного освещения </w:t>
            </w:r>
            <w:r>
              <w:rPr>
                <w:color w:val="000000"/>
              </w:rPr>
              <w:t xml:space="preserve">в рамках благоустройства автомобильных </w:t>
            </w:r>
            <w:r>
              <w:rPr>
                <w:color w:val="000000"/>
              </w:rPr>
              <w:t xml:space="preserve">дорог общего пользования местного значения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шт.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Не менее 38</w:t>
            </w:r>
            <w:r>
              <w:rPr>
                <w:bCs/>
                <w:color w:val="000000"/>
              </w:rPr>
            </w:r>
            <w:r>
              <w:rPr>
                <w:bCs/>
                <w:color w:val="000000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-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-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МКУ «</w:t>
            </w:r>
            <w:r>
              <w:rPr>
                <w:color w:val="000000"/>
              </w:rPr>
              <w:t xml:space="preserve">УБиР</w:t>
            </w:r>
            <w:r>
              <w:rPr>
                <w:color w:val="000000"/>
              </w:rPr>
              <w:t xml:space="preserve">»</w:t>
            </w:r>
            <w:r>
              <w:rPr>
                <w:color w:val="000000"/>
              </w:rPr>
              <w:t xml:space="preserve">»</w:t>
            </w:r>
            <w:r>
              <w:rPr>
                <w:color w:val="000000"/>
              </w:rPr>
              <w:t xml:space="preserve">;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троку «Финансовое обеспечение </w:t>
      </w:r>
      <w:r>
        <w:rPr>
          <w:sz w:val="24"/>
          <w:szCs w:val="24"/>
        </w:rPr>
        <w:t xml:space="preserve">под</w:t>
      </w:r>
      <w:r>
        <w:rPr>
          <w:sz w:val="24"/>
          <w:szCs w:val="24"/>
        </w:rPr>
        <w:t xml:space="preserve">программы» в паспорте П</w:t>
      </w:r>
      <w:r>
        <w:rPr>
          <w:sz w:val="24"/>
          <w:szCs w:val="24"/>
        </w:rPr>
        <w:t xml:space="preserve">одп</w:t>
      </w:r>
      <w:r>
        <w:rPr>
          <w:sz w:val="24"/>
          <w:szCs w:val="24"/>
        </w:rPr>
        <w:t xml:space="preserve">рограммы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«Формирование современной городской среды» </w:t>
      </w:r>
      <w:r>
        <w:rPr>
          <w:sz w:val="24"/>
          <w:szCs w:val="24"/>
        </w:rPr>
        <w:t xml:space="preserve">(далее – Подпрограмма 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изложить в 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91" w:type="pct"/>
        <w:jc w:val="center"/>
        <w:tblInd w:w="345" w:type="dxa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48"/>
        <w:gridCol w:w="7328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74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6" w:type="pct"/>
            <w:textDirection w:val="lrTb"/>
            <w:noWrap w:val="false"/>
          </w:tcPr>
          <w:p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Всего по подпрограмме: 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144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859,1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тыс. рублей,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 том числе: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ФБ: 9436,9 тыс. 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2024 год: 9436,9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2025 год: 0,0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0,0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ОБ: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29403,1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тыс. 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2024 год: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29403,1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2025 год: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МБ: 106019,1 тыс. 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2024 год: 51019,1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2025 год: 47000,0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8000,0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ВБС: 0,0 тыс. 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2024 год: 0,0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2025 год: 0,0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строк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.1.1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«Итого по </w:t>
      </w:r>
      <w:r>
        <w:rPr>
          <w:sz w:val="24"/>
          <w:szCs w:val="24"/>
        </w:rPr>
        <w:t xml:space="preserve">основному </w:t>
      </w:r>
      <w:r>
        <w:rPr>
          <w:sz w:val="24"/>
          <w:szCs w:val="24"/>
        </w:rPr>
        <w:t xml:space="preserve">мероприятию 1» и «Всего по подпрограмме 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таблицы</w:t>
      </w:r>
      <w:r>
        <w:rPr>
          <w:sz w:val="24"/>
          <w:szCs w:val="24"/>
        </w:rPr>
        <w:t xml:space="preserve"> 1 «Перечень</w:t>
      </w:r>
      <w:r>
        <w:rPr>
          <w:sz w:val="24"/>
          <w:szCs w:val="24"/>
        </w:rPr>
        <w:t xml:space="preserve"> мероприятий </w:t>
      </w:r>
      <w:r>
        <w:rPr>
          <w:sz w:val="24"/>
          <w:szCs w:val="24"/>
        </w:rPr>
        <w:t xml:space="preserve">подпрограммы </w:t>
      </w:r>
      <w:r>
        <w:rPr>
          <w:sz w:val="24"/>
          <w:szCs w:val="24"/>
        </w:rPr>
        <w:t xml:space="preserve">с объёмом финансирования</w:t>
      </w:r>
      <w:r>
        <w:rPr>
          <w:sz w:val="24"/>
          <w:szCs w:val="24"/>
        </w:rPr>
        <w:t xml:space="preserve">» к Подпрограмме 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90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0"/>
        <w:gridCol w:w="2003"/>
        <w:gridCol w:w="686"/>
        <w:gridCol w:w="844"/>
        <w:gridCol w:w="981"/>
        <w:gridCol w:w="1126"/>
        <w:gridCol w:w="1126"/>
        <w:gridCol w:w="1031"/>
        <w:gridCol w:w="991"/>
      </w:tblGrid>
      <w:tr>
        <w:tblPrEx/>
        <w:trPr>
          <w:trHeight w:val="50"/>
        </w:trPr>
        <w:tc>
          <w:tcPr>
            <w:shd w:val="clear" w:color="auto" w:fill="auto"/>
            <w:tcW w:w="441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</w:t>
            </w:r>
            <w:r>
              <w:t xml:space="preserve">6.1.1.</w:t>
            </w:r>
            <w:r/>
          </w:p>
        </w:tc>
        <w:tc>
          <w:tcPr>
            <w:shd w:val="clear" w:color="auto" w:fill="auto"/>
            <w:tcW w:w="1039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Благоустройство дворовых территорий многоквартирных домов</w:t>
            </w:r>
            <w:r/>
          </w:p>
        </w:tc>
        <w:tc>
          <w:tcPr>
            <w:shd w:val="clear" w:color="auto" w:fill="auto"/>
            <w:tcW w:w="356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2024</w:t>
            </w:r>
            <w:r/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vMerge w:val="restart"/>
            <w:textDirection w:val="lrTb"/>
            <w:noWrap w:val="false"/>
          </w:tcPr>
          <w:p>
            <w:pPr>
              <w:ind w:left="-47" w:right="-107"/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44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3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23327,5</w:t>
            </w:r>
            <w:r/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23327,5</w:t>
            </w:r>
            <w:r/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44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3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8085,8</w:t>
            </w:r>
            <w:r/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8085,8</w:t>
            </w:r>
            <w:r/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44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3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44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3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31413,3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31413,3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3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Итого по </w:t>
            </w:r>
            <w:r>
              <w:rPr>
                <w:b/>
                <w:color w:val="000000"/>
                <w:spacing w:val="1"/>
              </w:rPr>
              <w:t xml:space="preserve">основному</w:t>
            </w:r>
            <w:r>
              <w:rPr>
                <w:b/>
                <w:color w:val="000000"/>
                <w:spacing w:val="1"/>
              </w:rPr>
              <w:t xml:space="preserve"> </w:t>
            </w:r>
            <w:r>
              <w:rPr>
                <w:b/>
                <w:color w:val="000000"/>
                <w:spacing w:val="1"/>
              </w:rPr>
              <w:t xml:space="preserve">мероприятию 1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4" w:type="pct"/>
            <w:vMerge w:val="restart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29403,</w:t>
            </w:r>
            <w:r>
              <w:rPr>
                <w:b/>
                <w:bCs/>
                <w:color w:val="000000"/>
                <w:szCs w:val="22"/>
              </w:rPr>
              <w:t xml:space="preserve">1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29403,</w:t>
            </w:r>
            <w:r>
              <w:rPr>
                <w:b/>
                <w:bCs/>
                <w:color w:val="000000"/>
                <w:szCs w:val="22"/>
              </w:rPr>
              <w:t xml:space="preserve">1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86085,8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43085,8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39000,0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4000,0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186"/>
        </w:trPr>
        <w:tc>
          <w:tcPr>
            <w:gridSpan w:val="3"/>
            <w:shd w:val="clear" w:color="auto" w:fill="auto"/>
            <w:tcW w:w="18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115488,</w:t>
            </w:r>
            <w:r>
              <w:rPr>
                <w:b/>
                <w:bCs/>
                <w:color w:val="000000"/>
                <w:szCs w:val="22"/>
              </w:rPr>
              <w:t xml:space="preserve">9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72488,</w:t>
            </w:r>
            <w:r>
              <w:rPr>
                <w:b/>
                <w:bCs/>
                <w:color w:val="000000"/>
                <w:szCs w:val="22"/>
              </w:rPr>
              <w:t xml:space="preserve">9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39000,0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4000,0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3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Всего по подпрограмме 6</w:t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9436,9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9436,9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4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3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29403,</w:t>
            </w:r>
            <w:r>
              <w:rPr>
                <w:b/>
                <w:bCs/>
                <w:color w:val="000000"/>
                <w:szCs w:val="22"/>
              </w:rPr>
              <w:t xml:space="preserve">1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29403,</w:t>
            </w:r>
            <w:r>
              <w:rPr>
                <w:b/>
                <w:bCs/>
                <w:color w:val="000000"/>
                <w:szCs w:val="22"/>
              </w:rPr>
              <w:t xml:space="preserve">1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3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106019,1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51019,1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47000,0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8000,0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3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3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144859,</w:t>
            </w:r>
            <w:r>
              <w:rPr>
                <w:b/>
                <w:bCs/>
                <w:color w:val="000000"/>
                <w:szCs w:val="22"/>
              </w:rPr>
              <w:t xml:space="preserve">1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89859,</w:t>
            </w:r>
            <w:r>
              <w:rPr>
                <w:b/>
                <w:bCs/>
                <w:color w:val="000000"/>
                <w:szCs w:val="22"/>
              </w:rPr>
              <w:t xml:space="preserve">1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47000,0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8000,0</w:t>
            </w:r>
            <w:r>
              <w:rPr>
                <w:b/>
                <w:bCs/>
                <w:color w:val="000000"/>
                <w:szCs w:val="22"/>
              </w:rPr>
              <w:t xml:space="preserve">».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ind w:right="-5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Настоящее постановление вступает в силу после его подписания.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sz w:val="24"/>
          <w:szCs w:val="24"/>
          <w:lang w:eastAsia="en-US"/>
        </w:rPr>
        <w:t xml:space="preserve"> </w:t>
      </w:r>
      <w:r>
        <w:rPr>
          <w:rFonts w:eastAsia="Lucida Sans Unicode"/>
          <w:sz w:val="24"/>
          <w:szCs w:val="24"/>
          <w:lang w:eastAsia="en-US"/>
        </w:rPr>
      </w:r>
      <w:r>
        <w:rPr>
          <w:rFonts w:eastAsia="Lucida Sans Unicode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Глава Печенгского муниципального округа                    </w:t>
      </w:r>
      <w:r>
        <w:rPr>
          <w:rFonts w:eastAsia="Calibri"/>
          <w:sz w:val="24"/>
          <w:szCs w:val="24"/>
          <w:lang w:eastAsia="en-US"/>
        </w:rPr>
        <w:t xml:space="preserve">      </w:t>
      </w:r>
      <w:r>
        <w:rPr>
          <w:rFonts w:eastAsia="Calibri"/>
          <w:sz w:val="24"/>
          <w:szCs w:val="24"/>
          <w:lang w:eastAsia="en-US"/>
        </w:rPr>
        <w:t xml:space="preserve">                         </w:t>
      </w:r>
      <w:r>
        <w:rPr>
          <w:rFonts w:eastAsia="Calibri"/>
          <w:sz w:val="24"/>
          <w:szCs w:val="24"/>
          <w:lang w:eastAsia="en-US"/>
        </w:rPr>
        <w:t xml:space="preserve">   </w:t>
      </w:r>
      <w:r>
        <w:rPr>
          <w:rFonts w:eastAsia="Calibri"/>
          <w:sz w:val="24"/>
          <w:szCs w:val="24"/>
          <w:lang w:eastAsia="en-US"/>
        </w:rPr>
        <w:t xml:space="preserve">  А.В. Кузнецов 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t xml:space="preserve">Жулидова Н.Ю.,51291</w:t>
      </w:r>
      <w:r>
        <w:rPr>
          <w:highlight w:val="none"/>
        </w:rPr>
      </w: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highlight w:val="none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highlight w:val="none"/>
        </w:rPr>
      </w:r>
    </w:p>
    <w:sectPr>
      <w:headerReference w:type="default" r:id="rId9"/>
      <w:headerReference w:type="even" r:id="rId10"/>
      <w:footnotePr/>
      <w:endnotePr/>
      <w:type w:val="nextPage"/>
      <w:pgSz w:w="11906" w:h="16838" w:orient="portrait"/>
      <w:pgMar w:top="1134" w:right="850" w:bottom="681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Lucida Sans Unicode">
    <w:panose1 w:val="020B0602030504020204"/>
  </w:font>
  <w:font w:name="Verdana">
    <w:panose1 w:val="020B0604030504040204"/>
  </w:font>
  <w:font w:name="Cambria">
    <w:panose1 w:val="0204050305040603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1"/>
      <w:rPr>
        <w:rStyle w:val="930"/>
      </w:rPr>
      <w:framePr w:wrap="around" w:vAnchor="text" w:hAnchor="margin" w:xAlign="center" w:y="1"/>
    </w:pPr>
    <w:r>
      <w:rPr>
        <w:rStyle w:val="930"/>
      </w:rPr>
    </w:r>
    <w:r>
      <w:rPr>
        <w:rStyle w:val="930"/>
      </w:rPr>
    </w:r>
  </w:p>
  <w:p>
    <w:pPr>
      <w:pStyle w:val="931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1"/>
      <w:rPr>
        <w:rStyle w:val="930"/>
      </w:rPr>
      <w:framePr w:wrap="around" w:vAnchor="text" w:hAnchor="margin" w:xAlign="center" w:y="1"/>
    </w:pPr>
    <w:r>
      <w:rPr>
        <w:rStyle w:val="930"/>
      </w:rPr>
      <w:fldChar w:fldCharType="begin"/>
    </w:r>
    <w:r>
      <w:rPr>
        <w:rStyle w:val="930"/>
      </w:rPr>
      <w:instrText xml:space="preserve">PAGE  </w:instrText>
    </w:r>
    <w:r>
      <w:rPr>
        <w:rStyle w:val="930"/>
      </w:rPr>
      <w:fldChar w:fldCharType="end"/>
    </w:r>
    <w:r>
      <w:rPr>
        <w:rStyle w:val="930"/>
      </w:rPr>
    </w:r>
    <w:r>
      <w:rPr>
        <w:rStyle w:val="930"/>
      </w:rPr>
    </w:r>
  </w:p>
  <w:p>
    <w:pPr>
      <w:pStyle w:val="931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7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29"/>
  </w:num>
  <w:num w:numId="4">
    <w:abstractNumId w:val="23"/>
  </w:num>
  <w:num w:numId="5">
    <w:abstractNumId w:val="17"/>
  </w:num>
  <w:num w:numId="6">
    <w:abstractNumId w:val="7"/>
  </w:num>
  <w:num w:numId="7">
    <w:abstractNumId w:val="27"/>
  </w:num>
  <w:num w:numId="8">
    <w:abstractNumId w:val="18"/>
  </w:num>
  <w:num w:numId="9">
    <w:abstractNumId w:val="28"/>
  </w:num>
  <w:num w:numId="10">
    <w:abstractNumId w:val="2"/>
  </w:num>
  <w:num w:numId="11">
    <w:abstractNumId w:val="19"/>
  </w:num>
  <w:num w:numId="12">
    <w:abstractNumId w:val="20"/>
  </w:num>
  <w:num w:numId="13">
    <w:abstractNumId w:val="6"/>
  </w:num>
  <w:num w:numId="14">
    <w:abstractNumId w:val="3"/>
  </w:num>
  <w:num w:numId="15">
    <w:abstractNumId w:val="22"/>
  </w:num>
  <w:num w:numId="16">
    <w:abstractNumId w:val="25"/>
  </w:num>
  <w:num w:numId="17">
    <w:abstractNumId w:val="24"/>
  </w:num>
  <w:num w:numId="18">
    <w:abstractNumId w:val="21"/>
  </w:num>
  <w:num w:numId="19">
    <w:abstractNumId w:val="4"/>
  </w:num>
  <w:num w:numId="20">
    <w:abstractNumId w:val="14"/>
  </w:num>
  <w:num w:numId="21">
    <w:abstractNumId w:val="5"/>
  </w:num>
  <w:num w:numId="22">
    <w:abstractNumId w:val="26"/>
  </w:num>
  <w:num w:numId="23">
    <w:abstractNumId w:val="1"/>
  </w:num>
  <w:num w:numId="24">
    <w:abstractNumId w:val="8"/>
  </w:num>
  <w:num w:numId="25">
    <w:abstractNumId w:val="16"/>
  </w:num>
  <w:num w:numId="26">
    <w:abstractNumId w:val="12"/>
  </w:num>
  <w:num w:numId="27">
    <w:abstractNumId w:val="10"/>
  </w:num>
  <w:num w:numId="28">
    <w:abstractNumId w:val="15"/>
  </w:num>
  <w:num w:numId="29">
    <w:abstractNumId w:val="13"/>
  </w:num>
  <w:num w:numId="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45">
    <w:name w:val="Heading 1 Char"/>
    <w:basedOn w:val="917"/>
    <w:link w:val="915"/>
    <w:uiPriority w:val="9"/>
    <w:rPr>
      <w:rFonts w:ascii="Arial" w:hAnsi="Arial" w:eastAsia="Arial" w:cs="Arial"/>
      <w:sz w:val="40"/>
      <w:szCs w:val="40"/>
    </w:rPr>
  </w:style>
  <w:style w:type="character" w:styleId="746">
    <w:name w:val="Heading 2 Char"/>
    <w:basedOn w:val="917"/>
    <w:link w:val="916"/>
    <w:uiPriority w:val="9"/>
    <w:rPr>
      <w:rFonts w:ascii="Arial" w:hAnsi="Arial" w:eastAsia="Arial" w:cs="Arial"/>
      <w:sz w:val="34"/>
    </w:rPr>
  </w:style>
  <w:style w:type="paragraph" w:styleId="747">
    <w:name w:val="Heading 3"/>
    <w:basedOn w:val="914"/>
    <w:next w:val="914"/>
    <w:link w:val="74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48">
    <w:name w:val="Heading 3 Char"/>
    <w:basedOn w:val="917"/>
    <w:link w:val="747"/>
    <w:uiPriority w:val="9"/>
    <w:rPr>
      <w:rFonts w:ascii="Arial" w:hAnsi="Arial" w:eastAsia="Arial" w:cs="Arial"/>
      <w:sz w:val="30"/>
      <w:szCs w:val="30"/>
    </w:rPr>
  </w:style>
  <w:style w:type="paragraph" w:styleId="749">
    <w:name w:val="Heading 4"/>
    <w:basedOn w:val="914"/>
    <w:next w:val="914"/>
    <w:link w:val="75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50">
    <w:name w:val="Heading 4 Char"/>
    <w:basedOn w:val="917"/>
    <w:link w:val="749"/>
    <w:uiPriority w:val="9"/>
    <w:rPr>
      <w:rFonts w:ascii="Arial" w:hAnsi="Arial" w:eastAsia="Arial" w:cs="Arial"/>
      <w:b/>
      <w:bCs/>
      <w:sz w:val="26"/>
      <w:szCs w:val="26"/>
    </w:rPr>
  </w:style>
  <w:style w:type="paragraph" w:styleId="751">
    <w:name w:val="Heading 5"/>
    <w:basedOn w:val="914"/>
    <w:next w:val="914"/>
    <w:link w:val="75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52">
    <w:name w:val="Heading 5 Char"/>
    <w:basedOn w:val="917"/>
    <w:link w:val="751"/>
    <w:uiPriority w:val="9"/>
    <w:rPr>
      <w:rFonts w:ascii="Arial" w:hAnsi="Arial" w:eastAsia="Arial" w:cs="Arial"/>
      <w:b/>
      <w:bCs/>
      <w:sz w:val="24"/>
      <w:szCs w:val="24"/>
    </w:rPr>
  </w:style>
  <w:style w:type="paragraph" w:styleId="753">
    <w:name w:val="Heading 6"/>
    <w:basedOn w:val="914"/>
    <w:next w:val="914"/>
    <w:link w:val="75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54">
    <w:name w:val="Heading 6 Char"/>
    <w:basedOn w:val="917"/>
    <w:link w:val="753"/>
    <w:uiPriority w:val="9"/>
    <w:rPr>
      <w:rFonts w:ascii="Arial" w:hAnsi="Arial" w:eastAsia="Arial" w:cs="Arial"/>
      <w:b/>
      <w:bCs/>
      <w:sz w:val="22"/>
      <w:szCs w:val="22"/>
    </w:rPr>
  </w:style>
  <w:style w:type="paragraph" w:styleId="755">
    <w:name w:val="Heading 7"/>
    <w:basedOn w:val="914"/>
    <w:next w:val="914"/>
    <w:link w:val="75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56">
    <w:name w:val="Heading 7 Char"/>
    <w:basedOn w:val="917"/>
    <w:link w:val="75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57">
    <w:name w:val="Heading 8"/>
    <w:basedOn w:val="914"/>
    <w:next w:val="914"/>
    <w:link w:val="75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58">
    <w:name w:val="Heading 8 Char"/>
    <w:basedOn w:val="917"/>
    <w:link w:val="757"/>
    <w:uiPriority w:val="9"/>
    <w:rPr>
      <w:rFonts w:ascii="Arial" w:hAnsi="Arial" w:eastAsia="Arial" w:cs="Arial"/>
      <w:i/>
      <w:iCs/>
      <w:sz w:val="22"/>
      <w:szCs w:val="22"/>
    </w:rPr>
  </w:style>
  <w:style w:type="paragraph" w:styleId="759">
    <w:name w:val="Heading 9"/>
    <w:basedOn w:val="914"/>
    <w:next w:val="914"/>
    <w:link w:val="76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0">
    <w:name w:val="Heading 9 Char"/>
    <w:basedOn w:val="917"/>
    <w:link w:val="759"/>
    <w:uiPriority w:val="9"/>
    <w:rPr>
      <w:rFonts w:ascii="Arial" w:hAnsi="Arial" w:eastAsia="Arial" w:cs="Arial"/>
      <w:i/>
      <w:iCs/>
      <w:sz w:val="21"/>
      <w:szCs w:val="21"/>
    </w:rPr>
  </w:style>
  <w:style w:type="character" w:styleId="761">
    <w:name w:val="Title Char"/>
    <w:basedOn w:val="917"/>
    <w:link w:val="946"/>
    <w:uiPriority w:val="10"/>
    <w:rPr>
      <w:sz w:val="48"/>
      <w:szCs w:val="48"/>
    </w:rPr>
  </w:style>
  <w:style w:type="paragraph" w:styleId="762">
    <w:name w:val="Subtitle"/>
    <w:basedOn w:val="914"/>
    <w:next w:val="914"/>
    <w:link w:val="763"/>
    <w:uiPriority w:val="11"/>
    <w:qFormat/>
    <w:pPr>
      <w:spacing w:before="200" w:after="200"/>
    </w:pPr>
    <w:rPr>
      <w:sz w:val="24"/>
      <w:szCs w:val="24"/>
    </w:rPr>
  </w:style>
  <w:style w:type="character" w:styleId="763">
    <w:name w:val="Subtitle Char"/>
    <w:basedOn w:val="917"/>
    <w:link w:val="762"/>
    <w:uiPriority w:val="11"/>
    <w:rPr>
      <w:sz w:val="24"/>
      <w:szCs w:val="24"/>
    </w:rPr>
  </w:style>
  <w:style w:type="paragraph" w:styleId="764">
    <w:name w:val="Quote"/>
    <w:basedOn w:val="914"/>
    <w:next w:val="914"/>
    <w:link w:val="765"/>
    <w:uiPriority w:val="29"/>
    <w:qFormat/>
    <w:pPr>
      <w:ind w:left="720" w:right="720"/>
    </w:pPr>
    <w:rPr>
      <w:i/>
    </w:rPr>
  </w:style>
  <w:style w:type="character" w:styleId="765">
    <w:name w:val="Quote Char"/>
    <w:link w:val="764"/>
    <w:uiPriority w:val="29"/>
    <w:rPr>
      <w:i/>
    </w:rPr>
  </w:style>
  <w:style w:type="paragraph" w:styleId="766">
    <w:name w:val="Intense Quote"/>
    <w:basedOn w:val="914"/>
    <w:next w:val="914"/>
    <w:link w:val="76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7">
    <w:name w:val="Intense Quote Char"/>
    <w:link w:val="766"/>
    <w:uiPriority w:val="30"/>
    <w:rPr>
      <w:i/>
    </w:rPr>
  </w:style>
  <w:style w:type="character" w:styleId="768">
    <w:name w:val="Header Char"/>
    <w:basedOn w:val="917"/>
    <w:link w:val="931"/>
    <w:uiPriority w:val="99"/>
  </w:style>
  <w:style w:type="character" w:styleId="769">
    <w:name w:val="Footer Char"/>
    <w:basedOn w:val="917"/>
    <w:link w:val="928"/>
    <w:uiPriority w:val="99"/>
  </w:style>
  <w:style w:type="paragraph" w:styleId="770">
    <w:name w:val="Caption"/>
    <w:basedOn w:val="914"/>
    <w:next w:val="91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1">
    <w:name w:val="Caption Char"/>
    <w:basedOn w:val="770"/>
    <w:link w:val="928"/>
    <w:uiPriority w:val="99"/>
  </w:style>
  <w:style w:type="table" w:styleId="772">
    <w:name w:val="Table Grid Light"/>
    <w:basedOn w:val="9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3">
    <w:name w:val="Plain Table 1"/>
    <w:basedOn w:val="9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4">
    <w:name w:val="Plain Table 2"/>
    <w:basedOn w:val="91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5">
    <w:name w:val="Plain Table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6">
    <w:name w:val="Plain Table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Plain Table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8">
    <w:name w:val="Grid Table 1 Light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1 Light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Grid Table 1 Light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Grid Table 1 Light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Grid Table 1 Light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Grid Table 1 Light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Grid Table 1 Light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Grid Table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2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2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2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2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2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2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3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3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3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3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3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3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4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0">
    <w:name w:val="Grid Table 4 - Accent 1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01">
    <w:name w:val="Grid Table 4 - Accent 2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2">
    <w:name w:val="Grid Table 4 - Accent 3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3">
    <w:name w:val="Grid Table 4 - Accent 4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4">
    <w:name w:val="Grid Table 4 - Accent 5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5">
    <w:name w:val="Grid Table 4 - Accent 6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6">
    <w:name w:val="Grid Table 5 Dark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7">
    <w:name w:val="Grid Table 5 Dark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8">
    <w:name w:val="Grid Table 5 Dark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9">
    <w:name w:val="Grid Table 5 Dark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10">
    <w:name w:val="Grid Table 5 Dark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11">
    <w:name w:val="Grid Table 5 Dark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12">
    <w:name w:val="Grid Table 5 Dark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13">
    <w:name w:val="Grid Table 6 Colorful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14">
    <w:name w:val="Grid Table 6 Colorful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15">
    <w:name w:val="Grid Table 6 Colorful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16">
    <w:name w:val="Grid Table 6 Colorful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17">
    <w:name w:val="Grid Table 6 Colorful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18">
    <w:name w:val="Grid Table 6 Colorful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9">
    <w:name w:val="Grid Table 6 Colorful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20">
    <w:name w:val="Grid Table 7 Colorful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7 Colorful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7 Colorful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Grid Table 7 Colorful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Grid Table 7 Colorful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Grid Table 7 Colorful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Grid Table 7 Colorful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1 Light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List Table 1 Light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List Table 1 Light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List Table 1 Light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List Table 1 Light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List Table 1 Light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List Table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5">
    <w:name w:val="List Table 2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6">
    <w:name w:val="List Table 2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7">
    <w:name w:val="List Table 2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8">
    <w:name w:val="List Table 2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9">
    <w:name w:val="List Table 2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40">
    <w:name w:val="List Table 2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41">
    <w:name w:val="List Table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3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3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3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3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3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3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4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4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4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List Table 4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List Table 4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List Table 4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List Table 5 Dark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6">
    <w:name w:val="List Table 5 Dark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7">
    <w:name w:val="List Table 5 Dark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8">
    <w:name w:val="List Table 5 Dark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9">
    <w:name w:val="List Table 5 Dark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0">
    <w:name w:val="List Table 5 Dark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1">
    <w:name w:val="List Table 5 Dark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2">
    <w:name w:val="List Table 6 Colorful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63">
    <w:name w:val="List Table 6 Colorful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64">
    <w:name w:val="List Table 6 Colorful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5">
    <w:name w:val="List Table 6 Colorful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6">
    <w:name w:val="List Table 6 Colorful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7">
    <w:name w:val="List Table 6 Colorful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8">
    <w:name w:val="List Table 6 Colorful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9">
    <w:name w:val="List Table 7 Colorful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70">
    <w:name w:val="List Table 7 Colorful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71">
    <w:name w:val="List Table 7 Colorful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72">
    <w:name w:val="List Table 7 Colorful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73">
    <w:name w:val="List Table 7 Colorful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74">
    <w:name w:val="List Table 7 Colorful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75">
    <w:name w:val="List Table 7 Colorful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76">
    <w:name w:val="Lined - Accent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7">
    <w:name w:val="Lined - Accent 1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8">
    <w:name w:val="Lined - Accent 2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9">
    <w:name w:val="Lined - Accent 3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0">
    <w:name w:val="Lined - Accent 4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1">
    <w:name w:val="Lined - Accent 5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2">
    <w:name w:val="Lined - Accent 6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3">
    <w:name w:val="Bordered &amp; Lined - Accent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4">
    <w:name w:val="Bordered &amp; Lined - Accent 1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5">
    <w:name w:val="Bordered &amp; Lined - Accent 2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6">
    <w:name w:val="Bordered &amp; Lined - Accent 3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7">
    <w:name w:val="Bordered &amp; Lined - Accent 4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8">
    <w:name w:val="Bordered &amp; Lined - Accent 5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9">
    <w:name w:val="Bordered &amp; Lined - Accent 6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0">
    <w:name w:val="Bordered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91">
    <w:name w:val="Bordered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92">
    <w:name w:val="Bordered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93">
    <w:name w:val="Bordered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94">
    <w:name w:val="Bordered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5">
    <w:name w:val="Bordered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6">
    <w:name w:val="Bordered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97">
    <w:name w:val="footnote text"/>
    <w:basedOn w:val="914"/>
    <w:link w:val="898"/>
    <w:uiPriority w:val="99"/>
    <w:semiHidden/>
    <w:unhideWhenUsed/>
    <w:pPr>
      <w:spacing w:after="40" w:line="240" w:lineRule="auto"/>
    </w:pPr>
    <w:rPr>
      <w:sz w:val="18"/>
    </w:rPr>
  </w:style>
  <w:style w:type="character" w:styleId="898">
    <w:name w:val="Footnote Text Char"/>
    <w:link w:val="897"/>
    <w:uiPriority w:val="99"/>
    <w:rPr>
      <w:sz w:val="18"/>
    </w:rPr>
  </w:style>
  <w:style w:type="character" w:styleId="899">
    <w:name w:val="footnote reference"/>
    <w:basedOn w:val="917"/>
    <w:uiPriority w:val="99"/>
    <w:unhideWhenUsed/>
    <w:rPr>
      <w:vertAlign w:val="superscript"/>
    </w:rPr>
  </w:style>
  <w:style w:type="paragraph" w:styleId="900">
    <w:name w:val="endnote text"/>
    <w:basedOn w:val="914"/>
    <w:link w:val="901"/>
    <w:uiPriority w:val="99"/>
    <w:semiHidden/>
    <w:unhideWhenUsed/>
    <w:pPr>
      <w:spacing w:after="0" w:line="240" w:lineRule="auto"/>
    </w:pPr>
    <w:rPr>
      <w:sz w:val="20"/>
    </w:rPr>
  </w:style>
  <w:style w:type="character" w:styleId="901">
    <w:name w:val="Endnote Text Char"/>
    <w:link w:val="900"/>
    <w:uiPriority w:val="99"/>
    <w:rPr>
      <w:sz w:val="20"/>
    </w:rPr>
  </w:style>
  <w:style w:type="character" w:styleId="902">
    <w:name w:val="endnote reference"/>
    <w:basedOn w:val="917"/>
    <w:uiPriority w:val="99"/>
    <w:semiHidden/>
    <w:unhideWhenUsed/>
    <w:rPr>
      <w:vertAlign w:val="superscript"/>
    </w:rPr>
  </w:style>
  <w:style w:type="paragraph" w:styleId="903">
    <w:name w:val="toc 1"/>
    <w:basedOn w:val="914"/>
    <w:next w:val="914"/>
    <w:uiPriority w:val="39"/>
    <w:unhideWhenUsed/>
    <w:pPr>
      <w:ind w:left="0" w:right="0" w:firstLine="0"/>
      <w:spacing w:after="57"/>
    </w:pPr>
  </w:style>
  <w:style w:type="paragraph" w:styleId="904">
    <w:name w:val="toc 2"/>
    <w:basedOn w:val="914"/>
    <w:next w:val="914"/>
    <w:uiPriority w:val="39"/>
    <w:unhideWhenUsed/>
    <w:pPr>
      <w:ind w:left="283" w:right="0" w:firstLine="0"/>
      <w:spacing w:after="57"/>
    </w:pPr>
  </w:style>
  <w:style w:type="paragraph" w:styleId="905">
    <w:name w:val="toc 3"/>
    <w:basedOn w:val="914"/>
    <w:next w:val="914"/>
    <w:uiPriority w:val="39"/>
    <w:unhideWhenUsed/>
    <w:pPr>
      <w:ind w:left="567" w:right="0" w:firstLine="0"/>
      <w:spacing w:after="57"/>
    </w:pPr>
  </w:style>
  <w:style w:type="paragraph" w:styleId="906">
    <w:name w:val="toc 4"/>
    <w:basedOn w:val="914"/>
    <w:next w:val="914"/>
    <w:uiPriority w:val="39"/>
    <w:unhideWhenUsed/>
    <w:pPr>
      <w:ind w:left="850" w:right="0" w:firstLine="0"/>
      <w:spacing w:after="57"/>
    </w:pPr>
  </w:style>
  <w:style w:type="paragraph" w:styleId="907">
    <w:name w:val="toc 5"/>
    <w:basedOn w:val="914"/>
    <w:next w:val="914"/>
    <w:uiPriority w:val="39"/>
    <w:unhideWhenUsed/>
    <w:pPr>
      <w:ind w:left="1134" w:right="0" w:firstLine="0"/>
      <w:spacing w:after="57"/>
    </w:pPr>
  </w:style>
  <w:style w:type="paragraph" w:styleId="908">
    <w:name w:val="toc 6"/>
    <w:basedOn w:val="914"/>
    <w:next w:val="914"/>
    <w:uiPriority w:val="39"/>
    <w:unhideWhenUsed/>
    <w:pPr>
      <w:ind w:left="1417" w:right="0" w:firstLine="0"/>
      <w:spacing w:after="57"/>
    </w:pPr>
  </w:style>
  <w:style w:type="paragraph" w:styleId="909">
    <w:name w:val="toc 7"/>
    <w:basedOn w:val="914"/>
    <w:next w:val="914"/>
    <w:uiPriority w:val="39"/>
    <w:unhideWhenUsed/>
    <w:pPr>
      <w:ind w:left="1701" w:right="0" w:firstLine="0"/>
      <w:spacing w:after="57"/>
    </w:pPr>
  </w:style>
  <w:style w:type="paragraph" w:styleId="910">
    <w:name w:val="toc 8"/>
    <w:basedOn w:val="914"/>
    <w:next w:val="914"/>
    <w:uiPriority w:val="39"/>
    <w:unhideWhenUsed/>
    <w:pPr>
      <w:ind w:left="1984" w:right="0" w:firstLine="0"/>
      <w:spacing w:after="57"/>
    </w:pPr>
  </w:style>
  <w:style w:type="paragraph" w:styleId="911">
    <w:name w:val="toc 9"/>
    <w:basedOn w:val="914"/>
    <w:next w:val="914"/>
    <w:uiPriority w:val="39"/>
    <w:unhideWhenUsed/>
    <w:pPr>
      <w:ind w:left="2268" w:right="0" w:firstLine="0"/>
      <w:spacing w:after="57"/>
    </w:pPr>
  </w:style>
  <w:style w:type="paragraph" w:styleId="912">
    <w:name w:val="TOC Heading"/>
    <w:uiPriority w:val="39"/>
    <w:unhideWhenUsed/>
  </w:style>
  <w:style w:type="paragraph" w:styleId="913">
    <w:name w:val="table of figures"/>
    <w:basedOn w:val="914"/>
    <w:next w:val="914"/>
    <w:uiPriority w:val="99"/>
    <w:unhideWhenUsed/>
    <w:pPr>
      <w:spacing w:after="0" w:afterAutospacing="0"/>
    </w:pPr>
  </w:style>
  <w:style w:type="paragraph" w:styleId="914" w:default="1">
    <w:name w:val="Normal"/>
    <w:qFormat/>
  </w:style>
  <w:style w:type="paragraph" w:styleId="915">
    <w:name w:val="Heading 1"/>
    <w:basedOn w:val="914"/>
    <w:next w:val="914"/>
    <w:qFormat/>
    <w:pPr>
      <w:jc w:val="center"/>
      <w:keepNext/>
      <w:outlineLvl w:val="0"/>
    </w:pPr>
    <w:rPr>
      <w:sz w:val="24"/>
    </w:rPr>
  </w:style>
  <w:style w:type="paragraph" w:styleId="916">
    <w:name w:val="Heading 2"/>
    <w:basedOn w:val="914"/>
    <w:next w:val="914"/>
    <w:link w:val="926"/>
    <w:uiPriority w:val="9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917" w:default="1">
    <w:name w:val="Default Paragraph Font"/>
    <w:uiPriority w:val="1"/>
    <w:semiHidden/>
    <w:unhideWhenUsed/>
  </w:style>
  <w:style w:type="table" w:styleId="91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9" w:default="1">
    <w:name w:val="No List"/>
    <w:uiPriority w:val="99"/>
    <w:semiHidden/>
    <w:unhideWhenUsed/>
  </w:style>
  <w:style w:type="paragraph" w:styleId="920">
    <w:name w:val="Body Text"/>
    <w:basedOn w:val="914"/>
    <w:pPr>
      <w:jc w:val="both"/>
    </w:pPr>
    <w:rPr>
      <w:sz w:val="24"/>
      <w:szCs w:val="24"/>
    </w:rPr>
  </w:style>
  <w:style w:type="paragraph" w:styleId="921">
    <w:name w:val="Body Text Indent"/>
    <w:basedOn w:val="914"/>
    <w:link w:val="945"/>
    <w:uiPriority w:val="99"/>
    <w:pPr>
      <w:ind w:left="283"/>
      <w:spacing w:after="120"/>
    </w:pPr>
  </w:style>
  <w:style w:type="paragraph" w:styleId="922">
    <w:name w:val="Body Text 2"/>
    <w:basedOn w:val="914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23">
    <w:name w:val="Body Text Indent 2"/>
    <w:basedOn w:val="914"/>
    <w:pPr>
      <w:ind w:firstLine="709"/>
      <w:jc w:val="both"/>
    </w:pPr>
    <w:rPr>
      <w:bCs/>
      <w:sz w:val="26"/>
      <w:szCs w:val="26"/>
    </w:rPr>
  </w:style>
  <w:style w:type="paragraph" w:styleId="924">
    <w:name w:val="Body Text Indent 3"/>
    <w:basedOn w:val="914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25" w:customStyle="1">
    <w:name w:val="Знак Знак2"/>
    <w:basedOn w:val="914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26" w:customStyle="1">
    <w:name w:val="Заголовок 2 Знак"/>
    <w:link w:val="916"/>
    <w:uiPriority w:val="99"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27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28">
    <w:name w:val="Footer"/>
    <w:basedOn w:val="914"/>
    <w:link w:val="929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29" w:customStyle="1">
    <w:name w:val="Нижний колонтитул Знак"/>
    <w:link w:val="928"/>
    <w:uiPriority w:val="99"/>
    <w:rPr>
      <w:rFonts w:ascii="Arial" w:hAnsi="Arial" w:cs="Arial"/>
    </w:rPr>
  </w:style>
  <w:style w:type="character" w:styleId="930">
    <w:name w:val="page number"/>
    <w:uiPriority w:val="99"/>
  </w:style>
  <w:style w:type="paragraph" w:styleId="931">
    <w:name w:val="Header"/>
    <w:basedOn w:val="914"/>
    <w:link w:val="932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32" w:customStyle="1">
    <w:name w:val="Верхний колонтитул Знак"/>
    <w:link w:val="931"/>
    <w:uiPriority w:val="99"/>
    <w:rPr>
      <w:rFonts w:ascii="Arial" w:hAnsi="Arial" w:cs="Arial"/>
    </w:rPr>
  </w:style>
  <w:style w:type="paragraph" w:styleId="933" w:customStyle="1">
    <w:name w:val="ConsPlusCell"/>
    <w:uiPriority w:val="99"/>
    <w:pPr>
      <w:widowControl w:val="off"/>
    </w:pPr>
    <w:rPr>
      <w:rFonts w:ascii="Arial" w:hAnsi="Arial" w:cs="Arial"/>
    </w:rPr>
  </w:style>
  <w:style w:type="table" w:styleId="934">
    <w:name w:val="Table Grid"/>
    <w:basedOn w:val="918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35">
    <w:name w:val="Balloon Text"/>
    <w:basedOn w:val="914"/>
    <w:link w:val="936"/>
    <w:uiPriority w:val="99"/>
    <w:rPr>
      <w:rFonts w:ascii="Arial" w:hAnsi="Arial" w:cs="Arial"/>
      <w:sz w:val="16"/>
      <w:szCs w:val="16"/>
    </w:rPr>
  </w:style>
  <w:style w:type="character" w:styleId="936" w:customStyle="1">
    <w:name w:val="Текст выноски Знак"/>
    <w:link w:val="935"/>
    <w:uiPriority w:val="99"/>
    <w:rPr>
      <w:rFonts w:ascii="Arial" w:hAnsi="Arial" w:cs="Arial"/>
      <w:sz w:val="16"/>
      <w:szCs w:val="16"/>
    </w:rPr>
  </w:style>
  <w:style w:type="paragraph" w:styleId="937">
    <w:name w:val="List Paragraph"/>
    <w:basedOn w:val="914"/>
    <w:link w:val="938"/>
    <w:qFormat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38" w:customStyle="1">
    <w:name w:val="Абзац списка Знак"/>
    <w:link w:val="937"/>
    <w:uiPriority w:val="99"/>
    <w:rPr>
      <w:rFonts w:ascii="Calibri" w:hAnsi="Calibri" w:eastAsia="Calibri" w:cs="Calibri"/>
      <w:sz w:val="22"/>
      <w:szCs w:val="22"/>
      <w:lang w:eastAsia="en-US"/>
    </w:rPr>
  </w:style>
  <w:style w:type="paragraph" w:styleId="939" w:customStyle="1">
    <w:name w:val="Абзац списка1"/>
    <w:basedOn w:val="914"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40">
    <w:name w:val="Hyperlink"/>
    <w:rPr>
      <w:color w:val="0000ff"/>
      <w:u w:val="single"/>
    </w:rPr>
  </w:style>
  <w:style w:type="paragraph" w:styleId="941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942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43">
    <w:name w:val="Body Text 3"/>
    <w:basedOn w:val="914"/>
    <w:link w:val="944"/>
    <w:uiPriority w:val="99"/>
    <w:pPr>
      <w:spacing w:after="120"/>
    </w:pPr>
    <w:rPr>
      <w:sz w:val="16"/>
      <w:szCs w:val="16"/>
    </w:rPr>
  </w:style>
  <w:style w:type="character" w:styleId="944" w:customStyle="1">
    <w:name w:val="Основной текст 3 Знак"/>
    <w:basedOn w:val="917"/>
    <w:link w:val="943"/>
    <w:uiPriority w:val="99"/>
    <w:rPr>
      <w:sz w:val="16"/>
      <w:szCs w:val="16"/>
    </w:rPr>
  </w:style>
  <w:style w:type="character" w:styleId="945" w:customStyle="1">
    <w:name w:val="Основной текст с отступом Знак"/>
    <w:link w:val="921"/>
    <w:uiPriority w:val="99"/>
  </w:style>
  <w:style w:type="paragraph" w:styleId="946">
    <w:name w:val="Title"/>
    <w:basedOn w:val="914"/>
    <w:link w:val="947"/>
    <w:uiPriority w:val="99"/>
    <w:qFormat/>
    <w:pPr>
      <w:jc w:val="center"/>
    </w:pPr>
    <w:rPr>
      <w:caps/>
      <w:sz w:val="24"/>
      <w:szCs w:val="24"/>
    </w:rPr>
  </w:style>
  <w:style w:type="character" w:styleId="947" w:customStyle="1">
    <w:name w:val="Название Знак"/>
    <w:basedOn w:val="917"/>
    <w:link w:val="946"/>
    <w:uiPriority w:val="99"/>
    <w:rPr>
      <w:caps/>
      <w:sz w:val="24"/>
      <w:szCs w:val="24"/>
    </w:rPr>
  </w:style>
  <w:style w:type="paragraph" w:styleId="948" w:customStyle="1">
    <w:name w:val="Знак1"/>
    <w:basedOn w:val="914"/>
    <w:uiPriority w:val="9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949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50" w:customStyle="1">
    <w:name w:val="Знак Знак Знак Знак Знак Знак Знак Знак Знак Знак"/>
    <w:basedOn w:val="914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51">
    <w:name w:val="Emphasis"/>
    <w:qFormat/>
    <w:rPr>
      <w:i/>
      <w:iCs/>
    </w:rPr>
  </w:style>
  <w:style w:type="table" w:styleId="952" w:customStyle="1">
    <w:name w:val="Сетка таблицы1"/>
    <w:basedOn w:val="918"/>
    <w:next w:val="934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08B288-1D10-45A3-B90C-648BC91EB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20</cp:revision>
  <dcterms:created xsi:type="dcterms:W3CDTF">2024-08-01T07:18:00Z</dcterms:created>
  <dcterms:modified xsi:type="dcterms:W3CDTF">2024-08-07T06:59:05Z</dcterms:modified>
</cp:coreProperties>
</file>