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07.08.2024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1252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</w:t>
      </w:r>
      <w:r>
        <w:rPr>
          <w:b/>
          <w:sz w:val="20"/>
          <w:szCs w:val="20"/>
        </w:rPr>
        <w:t xml:space="preserve">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«Образование» на 2024 - 2026 годы, утвержденную постановлением 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«Образование»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№ 1624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31.05.2024 № 928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843" w:leader="none"/>
          <w:tab w:val="left" w:pos="8280" w:leader="none"/>
          <w:tab w:val="left" w:pos="9355" w:leader="none"/>
        </w:tabs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 w:themeColor="text1"/>
        </w:rPr>
        <w:t xml:space="preserve">- строку «Финансовое обеспечение программы» в паспорте Программы  изложить в следующей редакции: </w:t>
      </w: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программе:  </w:t>
            </w:r>
            <w:r>
              <w:rPr>
                <w:b/>
                <w:color w:val="000000" w:themeColor="text1"/>
              </w:rPr>
              <w:t xml:space="preserve">5</w:t>
            </w:r>
            <w:r>
              <w:rPr>
                <w:b/>
                <w:color w:val="000000" w:themeColor="text1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88</w:t>
            </w:r>
            <w:r>
              <w:rPr>
                <w:b/>
                <w:color w:val="000000" w:themeColor="text1"/>
              </w:rPr>
              <w:t xml:space="preserve">7 224,0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ФБ: 286773,8</w:t>
            </w:r>
            <w:r>
              <w:t xml:space="preserve"> 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</w:t>
            </w:r>
            <w:r>
              <w:t xml:space="preserve">72418,4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144227,2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70128,2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ОБ: 402</w:t>
            </w:r>
            <w:r>
              <w:t xml:space="preserve">5610,1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13</w:t>
            </w:r>
            <w:r>
              <w:t xml:space="preserve">30213,2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1328974,8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1366422,1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МБ: 1374300,1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465510,1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458481,1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450308,9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ВБС: 200540,0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120940,0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39800,0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39800,0 тыс. рублей</w:t>
            </w:r>
            <w:r>
              <w:t xml:space="preserve">.»;</w:t>
            </w:r>
            <w:r/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</w:t>
      </w:r>
      <w:r>
        <w:rPr>
          <w:sz w:val="24"/>
          <w:szCs w:val="24"/>
        </w:rPr>
        <w:t xml:space="preserve">Подпрограммы 1 «Развитие дошкольного образования» (далее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Подпрограмма 1)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088"/>
      </w:tblGrid>
      <w:tr>
        <w:tblPrEx/>
        <w:trPr>
          <w:trHeight w:val="62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</w:t>
            </w:r>
            <w:r>
              <w:rPr>
                <w:lang w:eastAsia="en-US"/>
              </w:rPr>
              <w:t xml:space="preserve">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Всего по </w:t>
            </w:r>
            <w:r>
              <w:rPr>
                <w:lang w:eastAsia="en-US"/>
              </w:rPr>
              <w:t xml:space="preserve">подпрограмме: </w:t>
            </w:r>
            <w:r>
              <w:rPr>
                <w:b/>
                <w:lang w:eastAsia="en-US"/>
              </w:rPr>
              <w:t xml:space="preserve">2</w:t>
            </w:r>
            <w:r>
              <w:rPr>
                <w:b/>
                <w:lang w:eastAsia="en-US"/>
              </w:rPr>
              <w:t xml:space="preserve"> </w:t>
            </w:r>
            <w:r>
              <w:rPr>
                <w:b/>
                <w:lang w:eastAsia="en-US"/>
              </w:rPr>
              <w:t xml:space="preserve">427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866,9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</w:t>
            </w:r>
            <w:r>
              <w:rPr>
                <w:lang w:eastAsia="en-US"/>
              </w:rPr>
              <w:t xml:space="preserve">1687917,7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537545,3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561751,1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588621,3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607703,3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208989,4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198112,6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200601,3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132245,9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52645,</w:t>
            </w:r>
            <w:r>
              <w:rPr>
                <w:lang w:eastAsia="en-US"/>
              </w:rPr>
              <w:t xml:space="preserve">9 тыс.</w:t>
            </w:r>
            <w:r>
              <w:rPr>
                <w:lang w:eastAsia="en-US"/>
              </w:rPr>
              <w:t xml:space="preserve">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39800,0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39800,0 тыс. рублей</w:t>
            </w:r>
            <w:r>
              <w:rPr>
                <w:lang w:eastAsia="en-US"/>
              </w:rPr>
              <w:t xml:space="preserve">.</w:t>
            </w:r>
            <w:r>
              <w:rPr>
                <w:lang w:eastAsia="en-US"/>
              </w:rPr>
              <w:t xml:space="preserve">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</w:tabs>
      </w:pPr>
      <w:r>
        <w:t xml:space="preserve">- строки </w:t>
      </w:r>
      <w:r>
        <w:t xml:space="preserve">1.2.1, </w:t>
      </w:r>
      <w:r>
        <w:t xml:space="preserve">1.2.3</w:t>
      </w:r>
      <w:r>
        <w:t xml:space="preserve">, «</w:t>
      </w:r>
      <w:r>
        <w:t xml:space="preserve">Итого по основному мероприятию 2</w:t>
      </w:r>
      <w:r>
        <w:t xml:space="preserve">» и «Всего по подпрограмме 1» таблицы 1 «Перечень мероприятий подпрограммы с объемом финансирования» к Подпрограмме 1 изложить в следующей редакции:</w:t>
      </w:r>
      <w:r/>
    </w:p>
    <w:tbl>
      <w:tblPr>
        <w:tblW w:w="4883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71"/>
        <w:gridCol w:w="1641"/>
        <w:gridCol w:w="715"/>
        <w:gridCol w:w="850"/>
        <w:gridCol w:w="1135"/>
        <w:gridCol w:w="981"/>
        <w:gridCol w:w="992"/>
        <w:gridCol w:w="1129"/>
        <w:gridCol w:w="1273"/>
      </w:tblGrid>
      <w:tr>
        <w:tblPrEx/>
        <w:trPr>
          <w:trHeight w:val="65"/>
        </w:trPr>
        <w:tc>
          <w:tcPr>
            <w:shd w:val="clear" w:color="auto" w:fill="auto"/>
            <w:tcW w:w="40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273</w:t>
            </w:r>
            <w:r>
              <w:rPr>
                <w:bCs/>
                <w:color w:val="000000"/>
                <w:sz w:val="20"/>
                <w:szCs w:val="20"/>
              </w:rPr>
              <w:t xml:space="preserve">8</w:t>
            </w:r>
            <w:r>
              <w:rPr>
                <w:bCs/>
                <w:color w:val="000000"/>
                <w:sz w:val="20"/>
                <w:szCs w:val="20"/>
              </w:rPr>
              <w:t xml:space="preserve">3,0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17383,0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17383,0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3067,4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3067,4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161,4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161,4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3228,8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3228,8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5767,4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5767,4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46287,7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36287,7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1687917,7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537545,3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607703,3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208989,4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198112,6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2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132245,9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52645,9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2427866,9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799180,6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799663,7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829022,6»;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91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2 «Развитие общего и доп</w:t>
      </w:r>
      <w:r>
        <w:rPr>
          <w:sz w:val="24"/>
          <w:szCs w:val="24"/>
        </w:rPr>
        <w:t xml:space="preserve">олнительного образования детей»</w:t>
      </w:r>
      <w:r>
        <w:rPr>
          <w:sz w:val="24"/>
          <w:szCs w:val="24"/>
        </w:rPr>
        <w:t xml:space="preserve"> (далее</w:t>
      </w:r>
      <w:r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Подпрограмма 2)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088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</w:t>
            </w:r>
            <w:r>
              <w:rPr>
                <w:lang w:eastAsia="en-US"/>
              </w:rPr>
              <w:t xml:space="preserve">Финансовое обеспечение </w:t>
            </w:r>
            <w:r>
              <w:rPr>
                <w:lang w:eastAsia="en-US"/>
              </w:rPr>
              <w:t xml:space="preserve">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3</w:t>
            </w:r>
            <w:r>
              <w:rPr>
                <w:b/>
                <w:lang w:eastAsia="en-US"/>
              </w:rPr>
              <w:t xml:space="preserve"> </w:t>
            </w:r>
            <w:r>
              <w:rPr>
                <w:b/>
                <w:lang w:eastAsia="en-US"/>
              </w:rPr>
              <w:t xml:space="preserve">198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482,1 </w:t>
            </w:r>
            <w:r>
              <w:rPr>
                <w:b/>
                <w:lang w:eastAsia="en-US"/>
              </w:rPr>
              <w:t xml:space="preserve">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</w:t>
            </w:r>
            <w:r>
              <w:rPr>
                <w:lang w:eastAsia="en-US"/>
              </w:rPr>
              <w:t xml:space="preserve">286773,8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72418,4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144227,2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70128,2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</w:t>
            </w:r>
            <w:r>
              <w:rPr>
                <w:lang w:eastAsia="en-US"/>
              </w:rPr>
              <w:t xml:space="preserve">2256525,1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765854,9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740537,7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750132,5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586889,1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2024год: 197428,5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200067,0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189393,</w:t>
            </w:r>
            <w:r>
              <w:rPr>
                <w:lang w:eastAsia="en-US"/>
              </w:rPr>
              <w:t xml:space="preserve">6 тыс.</w:t>
            </w:r>
            <w:r>
              <w:rPr>
                <w:lang w:eastAsia="en-US"/>
              </w:rPr>
              <w:t xml:space="preserve">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</w:t>
            </w:r>
            <w:r>
              <w:rPr>
                <w:lang w:eastAsia="en-US"/>
              </w:rPr>
              <w:t xml:space="preserve">68294,1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68294,1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</w:t>
            </w:r>
            <w:r>
              <w:rPr>
                <w:lang w:eastAsia="en-US"/>
              </w:rPr>
              <w:t xml:space="preserve">.</w:t>
            </w:r>
            <w:r>
              <w:rPr>
                <w:lang w:eastAsia="en-US"/>
              </w:rPr>
              <w:t xml:space="preserve">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</w:t>
      </w:r>
      <w:r>
        <w:t xml:space="preserve">строк</w:t>
      </w:r>
      <w:r>
        <w:t xml:space="preserve">и</w:t>
      </w:r>
      <w:r>
        <w:t xml:space="preserve"> </w:t>
      </w:r>
      <w:r>
        <w:t xml:space="preserve">2.1</w:t>
      </w:r>
      <w:r>
        <w:t xml:space="preserve">.1, </w:t>
      </w:r>
      <w:r>
        <w:t xml:space="preserve">2.1.10</w:t>
      </w:r>
      <w:r>
        <w:t xml:space="preserve">,</w:t>
      </w:r>
      <w:r>
        <w:t xml:space="preserve"> </w:t>
      </w:r>
      <w:r>
        <w:t xml:space="preserve">«Итого по основному мероприятию 1», </w:t>
      </w:r>
      <w:r>
        <w:t xml:space="preserve"> 2.2.1</w:t>
      </w:r>
      <w:r>
        <w:t xml:space="preserve">,</w:t>
      </w:r>
      <w:r>
        <w:t xml:space="preserve"> 2.2.2,</w:t>
      </w:r>
      <w:r>
        <w:t xml:space="preserve"> </w:t>
      </w:r>
      <w:r>
        <w:t xml:space="preserve">«Итого по </w:t>
      </w:r>
      <w:r>
        <w:t xml:space="preserve"> </w:t>
      </w:r>
      <w:r>
        <w:t xml:space="preserve">основному мероприятию</w:t>
      </w:r>
      <w:r>
        <w:t xml:space="preserve"> 2» и </w:t>
      </w:r>
      <w:r>
        <w:t xml:space="preserve">«Всего по подпрограмме 2»</w:t>
      </w:r>
      <w:r>
        <w:t xml:space="preserve"> </w:t>
      </w:r>
      <w:r>
        <w:t xml:space="preserve">таблицы 1 «Перечень мероприятий подпрограммы с объемом финансирования» к Подпрограмме 2 </w:t>
      </w:r>
      <w:r>
        <w:t xml:space="preserve">изложить</w:t>
      </w:r>
      <w:r>
        <w:t xml:space="preserve">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5"/>
        <w:gridCol w:w="1503"/>
        <w:gridCol w:w="710"/>
        <w:gridCol w:w="851"/>
        <w:gridCol w:w="1134"/>
        <w:gridCol w:w="1134"/>
        <w:gridCol w:w="1134"/>
        <w:gridCol w:w="1142"/>
        <w:gridCol w:w="1125"/>
      </w:tblGrid>
      <w:tr>
        <w:tblPrEx/>
        <w:trPr>
          <w:trHeight w:val="65"/>
        </w:trPr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«2.1</w:t>
            </w:r>
            <w:r>
              <w:rPr>
                <w:bCs/>
                <w:color w:val="000000"/>
                <w:sz w:val="20"/>
                <w:szCs w:val="20"/>
              </w:rPr>
              <w:t xml:space="preserve">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</w:t>
            </w:r>
            <w:r>
              <w:rPr>
                <w:color w:val="000000"/>
                <w:sz w:val="20"/>
                <w:szCs w:val="20"/>
              </w:rPr>
              <w:t xml:space="preserve">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МБОУ СОШ №№ 1, 3, 5, 7, 9, 11, 19, 23;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МБОУ ООШ №№ 20, 22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1843023,5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578986,7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617805,2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646231,6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273478,1</w:t>
            </w:r>
            <w:bookmarkStart w:id="0" w:name="_GoBack"/>
            <w:r/>
            <w:bookmarkEnd w:id="0"/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85199,2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93001,2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95277,7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2116501,6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664185,9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710806,4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741509,3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2.1.10.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107214,5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39500,1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33857,2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33857,2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        МБОУ СОШ №№ 1, 3, 5, 7, 9, 11, 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4873,5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1795,5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1539,0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1539,0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112088,0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41295,6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35396,2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35396,2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210429,4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72418,4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67882,8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70128,2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2142679,2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674961,4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717585,3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750132,5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473952,1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151860,5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159698,0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8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162393,6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2827060,7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899240,3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945166,1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982654,3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</w:t>
            </w:r>
            <w:r>
              <w:rPr>
                <w:color w:val="000000"/>
                <w:sz w:val="20"/>
                <w:szCs w:val="20"/>
              </w:rPr>
              <w:t xml:space="preserve">дополнительного образования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МБОУ СОШ №№ 1,3,5,7,9,11,19,23; МБОУ ООШ №№20,22; МБОУ ДО ДДТ №№ 1,2; </w:t>
            </w:r>
            <w:r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МБУ ДО </w:t>
            </w:r>
            <w:r>
              <w:rPr>
                <w:sz w:val="18"/>
                <w:szCs w:val="18"/>
              </w:rPr>
              <w:t xml:space="preserve">ДЮСШ; МБУ «РЭС»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850,0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105232,4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40727,8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37504,6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106082,4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41577,8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37504,6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601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2.2.2.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Выполнение работ по ремонту фасадов в общеобразовательных организациях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2024-202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64025,5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64025,5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Отдел образования, МБОУ ООШ № 22; МБОУ СОШ № 19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65874,0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65874,0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4475,0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3467,0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1008,0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9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134374,5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69341,0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65033,5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113845,9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90893,5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22952,4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112937,0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45568,0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40369,0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371421,4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204755,6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139665,8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286773,8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72418,4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144227,2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70128,2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2256525,1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765854,9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740537,7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750132,5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586889,1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197428,5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200067,0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189393,6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3198482,1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1103995,9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1084831,9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1009654,3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».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12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912"/>
        <w:ind w:firstLine="709"/>
      </w:pPr>
      <w:r>
        <w:t xml:space="preserve">2. Настоящее постановление вступает в силу после его подписания.</w:t>
      </w:r>
      <w:r/>
    </w:p>
    <w:p>
      <w:pPr>
        <w:pStyle w:val="912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rFonts w:eastAsia="Calibri"/>
        </w:rPr>
        <w:t xml:space="preserve"> </w:t>
      </w:r>
      <w:r/>
    </w:p>
    <w:p>
      <w:pPr>
        <w:pStyle w:val="912"/>
      </w:pPr>
      <w:r/>
      <w:r/>
    </w:p>
    <w:p>
      <w:pPr>
        <w:pStyle w:val="912"/>
      </w:pPr>
      <w:r/>
      <w:r/>
    </w:p>
    <w:p>
      <w:pPr>
        <w:pStyle w:val="912"/>
        <w:rPr>
          <w:bCs/>
        </w:rPr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  <w:t xml:space="preserve">Никитина И.В., 50572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</w:rPr>
        <w:pBdr>
          <w:top w:val="none" w:color="000000" w:sz="4" w:space="4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707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4"/>
  </w:num>
  <w:num w:numId="2">
    <w:abstractNumId w:val="11"/>
  </w:num>
  <w:num w:numId="3">
    <w:abstractNumId w:val="32"/>
  </w:num>
  <w:num w:numId="4">
    <w:abstractNumId w:val="8"/>
  </w:num>
  <w:num w:numId="5">
    <w:abstractNumId w:val="18"/>
  </w:num>
  <w:num w:numId="6">
    <w:abstractNumId w:val="29"/>
  </w:num>
  <w:num w:numId="7">
    <w:abstractNumId w:val="28"/>
  </w:num>
  <w:num w:numId="8">
    <w:abstractNumId w:val="23"/>
  </w:num>
  <w:num w:numId="9">
    <w:abstractNumId w:val="5"/>
  </w:num>
  <w:num w:numId="10">
    <w:abstractNumId w:val="1"/>
  </w:num>
  <w:num w:numId="11">
    <w:abstractNumId w:val="14"/>
  </w:num>
  <w:num w:numId="12">
    <w:abstractNumId w:val="24"/>
  </w:num>
  <w:num w:numId="13">
    <w:abstractNumId w:val="6"/>
  </w:num>
  <w:num w:numId="14">
    <w:abstractNumId w:val="16"/>
  </w:num>
  <w:num w:numId="15">
    <w:abstractNumId w:val="35"/>
  </w:num>
  <w:num w:numId="16">
    <w:abstractNumId w:val="31"/>
  </w:num>
  <w:num w:numId="17">
    <w:abstractNumId w:val="20"/>
  </w:num>
  <w:num w:numId="18">
    <w:abstractNumId w:val="15"/>
  </w:num>
  <w:num w:numId="19">
    <w:abstractNumId w:val="2"/>
  </w:num>
  <w:num w:numId="20">
    <w:abstractNumId w:val="0"/>
  </w:num>
  <w:num w:numId="21">
    <w:abstractNumId w:val="4"/>
  </w:num>
  <w:num w:numId="22">
    <w:abstractNumId w:val="22"/>
  </w:num>
  <w:num w:numId="23">
    <w:abstractNumId w:val="13"/>
  </w:num>
  <w:num w:numId="24">
    <w:abstractNumId w:val="26"/>
  </w:num>
  <w:num w:numId="25">
    <w:abstractNumId w:val="12"/>
  </w:num>
  <w:num w:numId="26">
    <w:abstractNumId w:val="9"/>
  </w:num>
  <w:num w:numId="27">
    <w:abstractNumId w:val="27"/>
  </w:num>
  <w:num w:numId="28">
    <w:abstractNumId w:val="17"/>
  </w:num>
  <w:num w:numId="29">
    <w:abstractNumId w:val="33"/>
  </w:num>
  <w:num w:numId="30">
    <w:abstractNumId w:val="10"/>
  </w:num>
  <w:num w:numId="31">
    <w:abstractNumId w:val="19"/>
  </w:num>
  <w:num w:numId="32">
    <w:abstractNumId w:val="30"/>
  </w:num>
  <w:num w:numId="33">
    <w:abstractNumId w:val="21"/>
  </w:num>
  <w:num w:numId="34">
    <w:abstractNumId w:val="25"/>
  </w:num>
  <w:num w:numId="35">
    <w:abstractNumId w:val="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1 Char"/>
    <w:basedOn w:val="771"/>
    <w:link w:val="762"/>
    <w:uiPriority w:val="9"/>
    <w:rPr>
      <w:rFonts w:ascii="Arial" w:hAnsi="Arial" w:eastAsia="Arial" w:cs="Arial"/>
      <w:sz w:val="40"/>
      <w:szCs w:val="40"/>
    </w:rPr>
  </w:style>
  <w:style w:type="character" w:styleId="727">
    <w:name w:val="Heading 2 Char"/>
    <w:basedOn w:val="771"/>
    <w:link w:val="763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771"/>
    <w:link w:val="764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771"/>
    <w:link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30">
    <w:name w:val="Heading 5 Char"/>
    <w:basedOn w:val="771"/>
    <w:link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31">
    <w:name w:val="Heading 6 Char"/>
    <w:basedOn w:val="771"/>
    <w:link w:val="76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>
    <w:name w:val="Heading 7 Char"/>
    <w:basedOn w:val="771"/>
    <w:link w:val="7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771"/>
    <w:link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771"/>
    <w:link w:val="770"/>
    <w:uiPriority w:val="9"/>
    <w:rPr>
      <w:rFonts w:ascii="Arial" w:hAnsi="Arial" w:eastAsia="Arial" w:cs="Arial"/>
      <w:i/>
      <w:iCs/>
      <w:sz w:val="21"/>
      <w:szCs w:val="21"/>
    </w:rPr>
  </w:style>
  <w:style w:type="character" w:styleId="735">
    <w:name w:val="Title Char"/>
    <w:basedOn w:val="771"/>
    <w:link w:val="913"/>
    <w:uiPriority w:val="10"/>
    <w:rPr>
      <w:sz w:val="48"/>
      <w:szCs w:val="48"/>
    </w:rPr>
  </w:style>
  <w:style w:type="character" w:styleId="736">
    <w:name w:val="Subtitle Char"/>
    <w:basedOn w:val="771"/>
    <w:link w:val="914"/>
    <w:uiPriority w:val="11"/>
    <w:rPr>
      <w:sz w:val="24"/>
      <w:szCs w:val="24"/>
    </w:rPr>
  </w:style>
  <w:style w:type="character" w:styleId="737">
    <w:name w:val="Quote Char"/>
    <w:link w:val="915"/>
    <w:uiPriority w:val="29"/>
    <w:rPr>
      <w:i/>
    </w:rPr>
  </w:style>
  <w:style w:type="character" w:styleId="738">
    <w:name w:val="Intense Quote Char"/>
    <w:link w:val="916"/>
    <w:uiPriority w:val="30"/>
    <w:rPr>
      <w:i/>
    </w:rPr>
  </w:style>
  <w:style w:type="character" w:styleId="739">
    <w:name w:val="Header Char"/>
    <w:basedOn w:val="771"/>
    <w:link w:val="917"/>
    <w:uiPriority w:val="99"/>
  </w:style>
  <w:style w:type="character" w:styleId="740">
    <w:name w:val="Caption Char"/>
    <w:basedOn w:val="789"/>
    <w:link w:val="918"/>
    <w:uiPriority w:val="99"/>
  </w:style>
  <w:style w:type="table" w:styleId="741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0">
    <w:name w:val="Endnote Text Char"/>
    <w:link w:val="897"/>
    <w:uiPriority w:val="99"/>
    <w:rPr>
      <w:sz w:val="20"/>
    </w:rPr>
  </w:style>
  <w:style w:type="paragraph" w:styleId="76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62">
    <w:name w:val="Heading 1"/>
    <w:basedOn w:val="761"/>
    <w:next w:val="761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63">
    <w:name w:val="Heading 2"/>
    <w:basedOn w:val="761"/>
    <w:next w:val="761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64">
    <w:name w:val="Heading 3"/>
    <w:basedOn w:val="761"/>
    <w:next w:val="761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65">
    <w:name w:val="Heading 4"/>
    <w:basedOn w:val="761"/>
    <w:next w:val="761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66">
    <w:name w:val="Heading 5"/>
    <w:basedOn w:val="761"/>
    <w:next w:val="761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67">
    <w:name w:val="Heading 6"/>
    <w:basedOn w:val="761"/>
    <w:next w:val="761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68">
    <w:name w:val="Heading 7"/>
    <w:basedOn w:val="761"/>
    <w:next w:val="761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9">
    <w:name w:val="Heading 8"/>
    <w:basedOn w:val="761"/>
    <w:next w:val="761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0">
    <w:name w:val="Heading 9"/>
    <w:basedOn w:val="761"/>
    <w:next w:val="761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character" w:styleId="774" w:customStyle="1">
    <w:name w:val="Заголовок 1 Знак"/>
    <w:basedOn w:val="771"/>
    <w:link w:val="762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71"/>
    <w:link w:val="763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71"/>
    <w:link w:val="764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71"/>
    <w:link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71"/>
    <w:link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71"/>
    <w:link w:val="767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71"/>
    <w:link w:val="7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71"/>
    <w:link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71"/>
    <w:link w:val="770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Название Знак"/>
    <w:basedOn w:val="771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71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71"/>
    <w:link w:val="917"/>
    <w:uiPriority w:val="99"/>
  </w:style>
  <w:style w:type="character" w:styleId="788" w:customStyle="1">
    <w:name w:val="Footer Char"/>
    <w:basedOn w:val="771"/>
    <w:uiPriority w:val="99"/>
  </w:style>
  <w:style w:type="paragraph" w:styleId="789">
    <w:name w:val="Caption"/>
    <w:basedOn w:val="761"/>
    <w:next w:val="7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7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7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7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7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7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7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7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7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7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7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7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7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7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7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7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7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7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7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7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7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7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7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7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7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7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7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7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7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7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7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7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7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7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7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7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7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7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7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7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7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7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7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7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7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7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7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7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7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7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7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7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7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7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7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7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7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7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7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7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7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7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7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7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7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7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7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7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7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7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7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7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7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7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7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7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7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7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7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7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7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7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7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7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7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7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7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72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72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61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71"/>
    <w:uiPriority w:val="99"/>
    <w:semiHidden/>
    <w:unhideWhenUsed/>
    <w:rPr>
      <w:vertAlign w:val="superscript"/>
    </w:rPr>
  </w:style>
  <w:style w:type="paragraph" w:styleId="900">
    <w:name w:val="toc 1"/>
    <w:basedOn w:val="761"/>
    <w:next w:val="761"/>
    <w:uiPriority w:val="39"/>
    <w:unhideWhenUsed/>
    <w:pPr>
      <w:spacing w:after="57"/>
    </w:pPr>
  </w:style>
  <w:style w:type="paragraph" w:styleId="901">
    <w:name w:val="toc 2"/>
    <w:basedOn w:val="761"/>
    <w:next w:val="761"/>
    <w:uiPriority w:val="39"/>
    <w:unhideWhenUsed/>
    <w:pPr>
      <w:ind w:left="283"/>
      <w:spacing w:after="57"/>
    </w:pPr>
  </w:style>
  <w:style w:type="paragraph" w:styleId="902">
    <w:name w:val="toc 3"/>
    <w:basedOn w:val="761"/>
    <w:next w:val="761"/>
    <w:uiPriority w:val="39"/>
    <w:unhideWhenUsed/>
    <w:pPr>
      <w:ind w:left="567"/>
      <w:spacing w:after="57"/>
    </w:pPr>
  </w:style>
  <w:style w:type="paragraph" w:styleId="903">
    <w:name w:val="toc 4"/>
    <w:basedOn w:val="761"/>
    <w:next w:val="761"/>
    <w:uiPriority w:val="39"/>
    <w:unhideWhenUsed/>
    <w:pPr>
      <w:ind w:left="850"/>
      <w:spacing w:after="57"/>
    </w:pPr>
  </w:style>
  <w:style w:type="paragraph" w:styleId="904">
    <w:name w:val="toc 5"/>
    <w:basedOn w:val="761"/>
    <w:next w:val="761"/>
    <w:uiPriority w:val="39"/>
    <w:unhideWhenUsed/>
    <w:pPr>
      <w:ind w:left="1134"/>
      <w:spacing w:after="57"/>
    </w:pPr>
  </w:style>
  <w:style w:type="paragraph" w:styleId="905">
    <w:name w:val="toc 6"/>
    <w:basedOn w:val="761"/>
    <w:next w:val="761"/>
    <w:uiPriority w:val="39"/>
    <w:unhideWhenUsed/>
    <w:pPr>
      <w:ind w:left="1417"/>
      <w:spacing w:after="57"/>
    </w:pPr>
  </w:style>
  <w:style w:type="paragraph" w:styleId="906">
    <w:name w:val="toc 7"/>
    <w:basedOn w:val="761"/>
    <w:next w:val="761"/>
    <w:uiPriority w:val="39"/>
    <w:unhideWhenUsed/>
    <w:pPr>
      <w:ind w:left="1701"/>
      <w:spacing w:after="57"/>
    </w:pPr>
  </w:style>
  <w:style w:type="paragraph" w:styleId="907">
    <w:name w:val="toc 8"/>
    <w:basedOn w:val="761"/>
    <w:next w:val="761"/>
    <w:uiPriority w:val="39"/>
    <w:unhideWhenUsed/>
    <w:pPr>
      <w:ind w:left="1984"/>
      <w:spacing w:after="57"/>
    </w:pPr>
  </w:style>
  <w:style w:type="paragraph" w:styleId="908">
    <w:name w:val="toc 9"/>
    <w:basedOn w:val="761"/>
    <w:next w:val="761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61"/>
    <w:next w:val="761"/>
    <w:uiPriority w:val="99"/>
    <w:unhideWhenUsed/>
  </w:style>
  <w:style w:type="paragraph" w:styleId="911">
    <w:name w:val="List Paragraph"/>
    <w:basedOn w:val="761"/>
    <w:pPr>
      <w:ind w:left="720"/>
    </w:pPr>
  </w:style>
  <w:style w:type="paragraph" w:styleId="912">
    <w:name w:val="No Spacing"/>
    <w:basedOn w:val="761"/>
    <w:uiPriority w:val="1"/>
    <w:qFormat/>
    <w:rPr>
      <w:color w:val="000000"/>
    </w:rPr>
  </w:style>
  <w:style w:type="paragraph" w:styleId="913">
    <w:name w:val="Title"/>
    <w:basedOn w:val="761"/>
    <w:next w:val="761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61"/>
    <w:next w:val="761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61"/>
    <w:next w:val="761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61"/>
    <w:next w:val="761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61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61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72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7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7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7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7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7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7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7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7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7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7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7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7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7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7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61"/>
    <w:uiPriority w:val="99"/>
    <w:semiHidden/>
    <w:unhideWhenUsed/>
    <w:rPr>
      <w:sz w:val="20"/>
    </w:rPr>
  </w:style>
  <w:style w:type="character" w:styleId="943" w:customStyle="1">
    <w:name w:val="Footnote Text Char"/>
    <w:basedOn w:val="771"/>
    <w:uiPriority w:val="99"/>
    <w:semiHidden/>
    <w:rPr>
      <w:sz w:val="20"/>
    </w:rPr>
  </w:style>
  <w:style w:type="character" w:styleId="944">
    <w:name w:val="footnote reference"/>
    <w:basedOn w:val="771"/>
    <w:uiPriority w:val="99"/>
    <w:semiHidden/>
    <w:unhideWhenUsed/>
    <w:rPr>
      <w:vertAlign w:val="superscript"/>
    </w:rPr>
  </w:style>
  <w:style w:type="paragraph" w:styleId="945">
    <w:name w:val="Balloon Text"/>
    <w:basedOn w:val="761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6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6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6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6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6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Прижатый влево"/>
    <w:basedOn w:val="761"/>
    <w:next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ED325-C1DA-49DB-98E7-1A0697873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2024-08-05T07:15:00Z</dcterms:created>
  <dcterms:modified xsi:type="dcterms:W3CDTF">2024-08-08T12:54:48Z</dcterms:modified>
</cp:coreProperties>
</file>