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  <w:sz w:val="24"/>
        </w:rPr>
      </w:pPr>
      <w:r>
        <w:rPr>
          <w:b/>
          <w:color w:val="000000"/>
          <w:sz w:val="24"/>
          <w:szCs w:val="24"/>
        </w:rPr>
        <w:t xml:space="preserve">о</w:t>
      </w:r>
      <w:r>
        <w:rPr>
          <w:b/>
          <w:color w:val="000000"/>
          <w:sz w:val="24"/>
          <w:szCs w:val="24"/>
        </w:rPr>
        <w:t xml:space="preserve">т 26.08.2024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       </w:t>
      </w:r>
      <w:r>
        <w:rPr>
          <w:b/>
          <w:color w:val="000000"/>
          <w:sz w:val="24"/>
        </w:rPr>
        <w:t xml:space="preserve">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1318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О внесении изменений в муниципальную программу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«Молодежная политика»</w:t>
      </w:r>
      <w:r>
        <w:rPr>
          <w:b/>
          <w:szCs w:val="24"/>
        </w:rPr>
        <w:t xml:space="preserve"> на 2024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– 2026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годы</w:t>
      </w:r>
      <w:r>
        <w:rPr>
          <w:b/>
          <w:szCs w:val="24"/>
        </w:rPr>
        <w:t xml:space="preserve">, </w:t>
      </w:r>
      <w:r>
        <w:rPr>
          <w:b/>
          <w:szCs w:val="24"/>
        </w:rPr>
        <w:t xml:space="preserve">утвержденную</w:t>
      </w:r>
      <w:r>
        <w:rPr>
          <w:b/>
          <w:szCs w:val="24"/>
        </w:rPr>
        <w:t xml:space="preserve"> постановлением </w:t>
      </w:r>
      <w:r>
        <w:rPr>
          <w:b/>
          <w:szCs w:val="24"/>
        </w:rPr>
        <w:br/>
      </w:r>
      <w:r>
        <w:rPr>
          <w:b/>
          <w:szCs w:val="24"/>
        </w:rPr>
        <w:t xml:space="preserve">администрации Печенгского мун</w:t>
      </w:r>
      <w:r>
        <w:rPr>
          <w:b/>
          <w:szCs w:val="24"/>
        </w:rPr>
        <w:t xml:space="preserve">иципального округа от 03.11.2023</w:t>
      </w:r>
      <w:r>
        <w:rPr>
          <w:b/>
          <w:szCs w:val="24"/>
        </w:rPr>
        <w:t xml:space="preserve"> №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1</w:t>
      </w:r>
      <w:r>
        <w:rPr>
          <w:b/>
          <w:szCs w:val="24"/>
        </w:rPr>
        <w:t xml:space="preserve">627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ПОСТАНОВЛЯЮ:</w:t>
      </w:r>
      <w:r>
        <w:rPr>
          <w:rFonts w:eastAsia="Calibri"/>
          <w:b/>
          <w:bCs/>
          <w:sz w:val="24"/>
          <w:szCs w:val="24"/>
        </w:rPr>
      </w:r>
      <w:r>
        <w:rPr>
          <w:rFonts w:eastAsia="Calibri"/>
          <w:b/>
          <w:bCs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>
        <w:rPr>
          <w:rFonts w:eastAsia="Calibri"/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</w:t>
      </w:r>
      <w:r>
        <w:rPr>
          <w:sz w:val="24"/>
          <w:szCs w:val="24"/>
        </w:rPr>
        <w:t xml:space="preserve">га «Молодежная политика» на 2024–2026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</w:t>
      </w:r>
      <w:r>
        <w:rPr>
          <w:sz w:val="24"/>
          <w:szCs w:val="24"/>
        </w:rPr>
        <w:t xml:space="preserve">иципального округа от 03.11.2023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627</w:t>
      </w:r>
      <w:r>
        <w:rPr>
          <w:sz w:val="24"/>
          <w:szCs w:val="24"/>
        </w:rPr>
        <w:t xml:space="preserve"> (в редакции постановления администрации Печенгс</w:t>
      </w:r>
      <w:r>
        <w:rPr>
          <w:sz w:val="24"/>
          <w:szCs w:val="24"/>
        </w:rPr>
        <w:t xml:space="preserve">кого муниципального округа от 14.03.2024 № 384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923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>
        <w:tblPrEx/>
        <w:trPr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3 119,4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22370,2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22370,2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9345,2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817,9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15827,7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14699,6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1404,0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год: 1404,0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 xml:space="preserve">-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строки 1.1,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1</w:t>
      </w:r>
      <w:r>
        <w:rPr>
          <w:rFonts w:eastAsia="Calibri"/>
          <w:sz w:val="24"/>
          <w:szCs w:val="24"/>
        </w:rPr>
        <w:t xml:space="preserve">.3</w:t>
      </w:r>
      <w:r>
        <w:rPr>
          <w:rFonts w:eastAsia="Calibri"/>
          <w:sz w:val="24"/>
          <w:szCs w:val="24"/>
        </w:rPr>
        <w:t xml:space="preserve"> и</w:t>
      </w:r>
      <w:r>
        <w:rPr>
          <w:rFonts w:eastAsia="Calibri"/>
          <w:sz w:val="24"/>
          <w:szCs w:val="24"/>
        </w:rPr>
        <w:t xml:space="preserve"> «Итого по  основному мероприятию 1» Приложения 1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«Перечень мероприятий программы с объёмом финансирования» к Программе изложить в </w:t>
      </w:r>
      <w:r>
        <w:rPr>
          <w:rFonts w:eastAsia="Calibri"/>
          <w:sz w:val="24"/>
          <w:szCs w:val="24"/>
        </w:rPr>
        <w:t xml:space="preserve">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1832"/>
        <w:gridCol w:w="709"/>
        <w:gridCol w:w="850"/>
        <w:gridCol w:w="994"/>
        <w:gridCol w:w="994"/>
        <w:gridCol w:w="994"/>
        <w:gridCol w:w="1134"/>
        <w:gridCol w:w="1273"/>
      </w:tblGrid>
      <w:tr>
        <w:tblPrEx/>
        <w:trPr>
          <w:trHeight w:val="185"/>
        </w:trPr>
        <w:tc>
          <w:tcPr>
            <w:shd w:val="clear" w:color="auto" w:fill="auto"/>
            <w:tcW w:w="308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«</w:t>
            </w:r>
            <w:r>
              <w:rPr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2024-2026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680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39026,2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13297,9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12826,7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12901,6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39026,2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13297,9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12826,7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12901,6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8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Cs w:val="22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Cs w:val="22"/>
              </w:rPr>
              <w:t xml:space="preserve">2024-2025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tcW w:w="680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</w:t>
            </w:r>
            <w:r>
              <w:rPr>
                <w:sz w:val="18"/>
                <w:szCs w:val="18"/>
              </w:rPr>
              <w:t xml:space="preserve">КСиМП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2409,5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1</w:t>
            </w:r>
            <w:r>
              <w:rPr>
                <w:bCs/>
                <w:color w:val="000000"/>
              </w:rPr>
              <w:t xml:space="preserve">306,5</w:t>
            </w:r>
            <w:r>
              <w:rPr>
                <w:bCs/>
                <w:color w:val="000000"/>
                <w:sz w:val="24"/>
                <w:szCs w:val="24"/>
              </w:rPr>
            </w:r>
            <w:r>
              <w:rPr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1</w:t>
            </w:r>
            <w:r>
              <w:rPr>
                <w:bCs/>
                <w:szCs w:val="22"/>
              </w:rPr>
              <w:t xml:space="preserve">103,0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  <w:t xml:space="preserve">0,0</w:t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30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9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2409,5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1306,5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1103,0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60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6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szCs w:val="22"/>
              </w:rPr>
              <w:t xml:space="preserve">Итого по основному мероприятию 1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tcW w:w="680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20</w:t>
            </w:r>
            <w:r>
              <w:rPr>
                <w:b/>
                <w:bCs/>
                <w:szCs w:val="22"/>
              </w:rPr>
              <w:t xml:space="preserve">352,5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20</w:t>
            </w:r>
            <w:r>
              <w:rPr>
                <w:b/>
                <w:bCs/>
                <w:szCs w:val="22"/>
              </w:rPr>
              <w:t xml:space="preserve">352,5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44159,5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16628,2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  <w:highlight w:val="yellow"/>
              </w:rPr>
            </w:pPr>
            <w:r>
              <w:rPr>
                <w:b/>
                <w:szCs w:val="22"/>
              </w:rPr>
              <w:t xml:space="preserve">14329,7</w:t>
            </w:r>
            <w:r>
              <w:rPr>
                <w:b/>
                <w:szCs w:val="22"/>
                <w:highlight w:val="yellow"/>
              </w:rPr>
            </w:r>
            <w:r>
              <w:rPr>
                <w:b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  <w:highlight w:val="yellow"/>
              </w:rPr>
            </w:pPr>
            <w:r>
              <w:rPr>
                <w:b/>
                <w:szCs w:val="22"/>
              </w:rPr>
              <w:t xml:space="preserve">13201,6</w:t>
            </w:r>
            <w:r>
              <w:rPr>
                <w:b/>
                <w:szCs w:val="22"/>
                <w:highlight w:val="yellow"/>
              </w:rPr>
            </w:r>
            <w:r>
              <w:rPr>
                <w:b/>
                <w:szCs w:val="22"/>
                <w:highlight w:val="yellow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Cs w:val="22"/>
              </w:rPr>
            </w:pP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  <w:r>
              <w:rPr>
                <w:bCs/>
                <w:szCs w:val="22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16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64512,0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36980,7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</w:t>
            </w:r>
            <w:r>
              <w:rPr>
                <w:b/>
                <w:szCs w:val="22"/>
              </w:rPr>
              <w:t xml:space="preserve">329,7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13201,6</w:t>
            </w:r>
            <w:r>
              <w:rPr>
                <w:b/>
                <w:szCs w:val="22"/>
              </w:rPr>
              <w:t xml:space="preserve">»</w:t>
            </w:r>
            <w:r>
              <w:rPr>
                <w:b/>
                <w:szCs w:val="22"/>
              </w:rPr>
              <w:t xml:space="preserve">;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680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- стро</w:t>
      </w:r>
      <w:r>
        <w:rPr>
          <w:rFonts w:eastAsia="Calibri"/>
          <w:sz w:val="24"/>
          <w:szCs w:val="24"/>
        </w:rPr>
        <w:t xml:space="preserve">к</w:t>
      </w:r>
      <w:r>
        <w:rPr>
          <w:rFonts w:eastAsia="Calibri"/>
          <w:sz w:val="24"/>
          <w:szCs w:val="24"/>
        </w:rPr>
        <w:t xml:space="preserve">и </w:t>
      </w:r>
      <w:r>
        <w:rPr>
          <w:rFonts w:eastAsia="Calibri"/>
          <w:sz w:val="24"/>
          <w:szCs w:val="24"/>
        </w:rPr>
        <w:t xml:space="preserve">2.1, 2.4</w:t>
      </w:r>
      <w:r>
        <w:rPr>
          <w:rFonts w:eastAsia="Calibri"/>
          <w:sz w:val="24"/>
          <w:szCs w:val="24"/>
        </w:rPr>
        <w:t xml:space="preserve">, «Итого по основному мероприятию 2» и «Всего по программе» Приложения 1 «Перечень мероприятий программы с объёмом финансирования» к Программе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Style w:val="917"/>
        <w:tblW w:w="9356" w:type="dxa"/>
        <w:tblInd w:w="108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709"/>
        <w:gridCol w:w="850"/>
        <w:gridCol w:w="993"/>
        <w:gridCol w:w="992"/>
        <w:gridCol w:w="992"/>
        <w:gridCol w:w="1134"/>
        <w:gridCol w:w="1276"/>
      </w:tblGrid>
      <w:tr>
        <w:tblPrEx/>
        <w:trPr>
          <w:trHeight w:val="17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«2.1.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</w:pPr>
            <w:r>
              <w:t xml:space="preserve">Создание условий для гражданского становления молодежи</w:t>
            </w:r>
            <w:r/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2024</w:t>
            </w:r>
            <w:r>
              <w:rPr>
                <w:rFonts w:eastAsia="Calibri"/>
              </w:rPr>
              <w:t xml:space="preserve">-2026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КСиМП;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</w:t>
            </w:r>
            <w:r>
              <w:rPr>
                <w:sz w:val="18"/>
                <w:szCs w:val="18"/>
              </w:rPr>
              <w:t xml:space="preserve">ЦПиРМИ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</w:pPr>
            <w:r/>
            <w:r/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</w:pPr>
            <w:r/>
            <w:r/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1785,7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652,7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566,5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566,5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</w:pPr>
            <w:r/>
            <w:r/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6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</w:pPr>
            <w:r/>
            <w:r/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1785,7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652,7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566,5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566,5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5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2.4</w:t>
            </w:r>
            <w:r>
              <w:rPr>
                <w:rFonts w:eastAsia="Calibri"/>
              </w:rPr>
              <w:t xml:space="preserve">.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t xml:space="preserve">Реализация проекта «Благоустройство памятника истории»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  <w:t xml:space="preserve">2024</w:t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ФБ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КСиМП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25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ОБ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716,6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716,6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22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МБ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537,0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bCs/>
                <w:szCs w:val="22"/>
              </w:rPr>
              <w:t xml:space="preserve">537,0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7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szCs w:val="22"/>
              </w:rPr>
              <w:t xml:space="preserve">ВБС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130,0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130,0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Cs w:val="22"/>
              </w:rPr>
            </w:pPr>
            <w:r>
              <w:rPr>
                <w:szCs w:val="22"/>
              </w:rPr>
              <w:t xml:space="preserve">0,0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  <w:tr>
        <w:tblPrEx/>
        <w:trPr>
          <w:trHeight w:val="13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</w:t>
            </w:r>
            <w:r>
              <w:rPr>
                <w:b/>
                <w:szCs w:val="22"/>
              </w:rPr>
              <w:t xml:space="preserve">383,6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</w:t>
            </w:r>
            <w:r>
              <w:rPr>
                <w:b/>
                <w:szCs w:val="22"/>
              </w:rPr>
              <w:t xml:space="preserve">383,6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tabs>
                <w:tab w:val="left" w:pos="0" w:leader="none"/>
              </w:tabs>
              <w:rPr>
                <w:rFonts w:eastAsia="Calibri"/>
              </w:rPr>
            </w:pPr>
            <w:r>
              <w:rPr>
                <w:rFonts w:eastAsia="Calibri"/>
              </w:rPr>
            </w:r>
            <w:r>
              <w:rPr>
                <w:rFonts w:eastAsia="Calibri"/>
              </w:rPr>
            </w:r>
            <w:r>
              <w:rPr>
                <w:rFonts w:eastAsia="Calibri"/>
              </w:rPr>
            </w:r>
          </w:p>
        </w:tc>
      </w:tr>
    </w:tbl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3119"/>
        <w:gridCol w:w="850"/>
        <w:gridCol w:w="994"/>
        <w:gridCol w:w="994"/>
        <w:gridCol w:w="990"/>
        <w:gridCol w:w="1136"/>
        <w:gridCol w:w="1274"/>
      </w:tblGrid>
      <w:tr>
        <w:tblPrEx/>
        <w:trPr>
          <w:trHeight w:val="65"/>
        </w:trPr>
        <w:tc>
          <w:tcPr>
            <w:shd w:val="clear" w:color="auto" w:fill="auto"/>
            <w:tcW w:w="16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rPr>
                <w:b/>
                <w:color w:val="000000"/>
                <w:spacing w:val="1"/>
              </w:rPr>
              <w:t xml:space="preserve">Итого по </w:t>
            </w:r>
            <w:r>
              <w:rPr>
                <w:b/>
                <w:color w:val="000000"/>
                <w:spacing w:val="1"/>
              </w:rPr>
              <w:t xml:space="preserve">основному </w:t>
            </w:r>
            <w:r>
              <w:rPr>
                <w:b/>
                <w:color w:val="000000"/>
                <w:spacing w:val="1"/>
              </w:rPr>
              <w:t xml:space="preserve">мероприятию 2</w:t>
            </w:r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8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 xml:space="preserve">2</w:t>
            </w:r>
            <w:r>
              <w:rPr>
                <w:b/>
                <w:szCs w:val="22"/>
              </w:rPr>
              <w:t xml:space="preserve">017,7</w:t>
            </w:r>
            <w:r>
              <w:rPr>
                <w:b/>
                <w:szCs w:val="22"/>
                <w:lang w:val="en-US"/>
              </w:rPr>
            </w:r>
            <w:r>
              <w:rPr>
                <w:b/>
                <w:szCs w:val="22"/>
                <w:lang w:val="en-US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2</w:t>
            </w:r>
            <w:r>
              <w:rPr>
                <w:b/>
                <w:szCs w:val="22"/>
              </w:rPr>
              <w:t xml:space="preserve">017,7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</w:t>
            </w:r>
            <w:r>
              <w:rPr>
                <w:b/>
                <w:bCs/>
                <w:szCs w:val="22"/>
              </w:rPr>
              <w:t xml:space="preserve">941,2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</w:t>
            </w:r>
            <w:r>
              <w:rPr>
                <w:b/>
                <w:bCs/>
                <w:szCs w:val="22"/>
              </w:rPr>
              <w:t xml:space="preserve">108,2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88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</w:t>
            </w:r>
            <w:r>
              <w:rPr>
                <w:b/>
                <w:szCs w:val="22"/>
              </w:rPr>
              <w:t xml:space="preserve">404,</w:t>
            </w:r>
            <w:r>
              <w:rPr>
                <w:b/>
                <w:szCs w:val="22"/>
              </w:rPr>
              <w:t xml:space="preserve">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</w:t>
            </w:r>
            <w:r>
              <w:rPr>
                <w:b/>
                <w:szCs w:val="22"/>
              </w:rPr>
              <w:t xml:space="preserve">404,0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80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szCs w:val="22"/>
              </w:rPr>
            </w:pPr>
            <w:r>
              <w:rPr>
                <w:b/>
                <w:szCs w:val="22"/>
              </w:rPr>
              <w:t xml:space="preserve">Итого:</w:t>
            </w:r>
            <w:r>
              <w:rPr>
                <w:szCs w:val="22"/>
              </w:rPr>
            </w:r>
            <w:r>
              <w:rPr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8362,9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5529,9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1416,5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8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6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8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22</w:t>
            </w:r>
            <w:r>
              <w:rPr>
                <w:b/>
                <w:bCs/>
                <w:szCs w:val="22"/>
              </w:rPr>
              <w:t xml:space="preserve">370,2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22</w:t>
            </w:r>
            <w:r>
              <w:rPr>
                <w:b/>
                <w:bCs/>
                <w:szCs w:val="22"/>
              </w:rPr>
              <w:t xml:space="preserve">370,2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0,0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49345,2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18817,9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15827,7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</w:t>
            </w:r>
            <w:r>
              <w:rPr>
                <w:b/>
                <w:szCs w:val="22"/>
              </w:rPr>
              <w:t xml:space="preserve">699,6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</w:t>
            </w:r>
            <w:r>
              <w:rPr>
                <w:b/>
                <w:szCs w:val="22"/>
              </w:rPr>
              <w:t xml:space="preserve">04,0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31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</w:t>
            </w:r>
            <w:r>
              <w:rPr>
                <w:b/>
                <w:szCs w:val="22"/>
              </w:rPr>
              <w:t xml:space="preserve">404,0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9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0,0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widowControl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73119,4</w:t>
            </w:r>
            <w:r>
              <w:rPr>
                <w:b/>
                <w:bCs/>
                <w:szCs w:val="22"/>
              </w:rPr>
            </w:r>
            <w:r>
              <w:rPr>
                <w:b/>
                <w:bCs/>
                <w:szCs w:val="22"/>
              </w:rPr>
            </w:r>
          </w:p>
        </w:tc>
        <w:tc>
          <w:tcPr>
            <w:shd w:val="clear" w:color="auto" w:fill="auto"/>
            <w:tcW w:w="531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42592,1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529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15</w:t>
            </w:r>
            <w:r>
              <w:rPr>
                <w:b/>
                <w:szCs w:val="22"/>
              </w:rPr>
              <w:t xml:space="preserve">827,7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0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14699,6</w:t>
            </w:r>
            <w:r>
              <w:rPr>
                <w:b/>
                <w:szCs w:val="22"/>
              </w:rPr>
              <w:t xml:space="preserve">».</w:t>
            </w:r>
            <w:r>
              <w:rPr>
                <w:b/>
                <w:szCs w:val="22"/>
              </w:rPr>
            </w:r>
            <w:r>
              <w:rPr>
                <w:b/>
                <w:szCs w:val="22"/>
              </w:rPr>
            </w:r>
          </w:p>
        </w:tc>
        <w:tc>
          <w:tcPr>
            <w:shd w:val="clear" w:color="auto" w:fill="auto"/>
            <w:tcW w:w="68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both"/>
        <w:widowControl/>
        <w:tabs>
          <w:tab w:val="left" w:pos="993" w:leader="none"/>
        </w:tabs>
        <w:rPr>
          <w:sz w:val="24"/>
          <w:szCs w:val="22"/>
        </w:rPr>
      </w:pPr>
      <w:r>
        <w:rPr>
          <w:sz w:val="24"/>
          <w:szCs w:val="22"/>
        </w:rPr>
      </w:r>
      <w:r>
        <w:rPr>
          <w:sz w:val="24"/>
          <w:szCs w:val="22"/>
        </w:rPr>
      </w:r>
      <w:r>
        <w:rPr>
          <w:sz w:val="24"/>
          <w:szCs w:val="22"/>
        </w:rPr>
      </w:r>
    </w:p>
    <w:p>
      <w:pPr>
        <w:jc w:val="both"/>
        <w:widowControl/>
        <w:tabs>
          <w:tab w:val="left" w:pos="0" w:leader="none"/>
        </w:tabs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вступает в силу </w:t>
      </w:r>
      <w:r>
        <w:rPr>
          <w:sz w:val="24"/>
          <w:szCs w:val="24"/>
          <w:lang w:eastAsia="en-US"/>
        </w:rPr>
        <w:t xml:space="preserve">после его подписания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опубликова</w:t>
      </w:r>
      <w:r>
        <w:rPr>
          <w:sz w:val="24"/>
          <w:szCs w:val="24"/>
          <w:lang w:eastAsia="en-US"/>
        </w:rPr>
        <w:t xml:space="preserve">ть</w:t>
      </w:r>
      <w:r>
        <w:rPr>
          <w:sz w:val="24"/>
          <w:szCs w:val="24"/>
          <w:lang w:eastAsia="en-US"/>
        </w:rPr>
        <w:t xml:space="preserve"> в </w:t>
      </w:r>
      <w:r>
        <w:rPr>
          <w:sz w:val="24"/>
          <w:szCs w:val="24"/>
          <w:lang w:eastAsia="en-US"/>
        </w:rPr>
        <w:t xml:space="preserve">официальном издании </w:t>
      </w:r>
      <w:r>
        <w:rPr>
          <w:sz w:val="24"/>
          <w:szCs w:val="24"/>
          <w:lang w:eastAsia="en-US"/>
        </w:rPr>
        <w:t xml:space="preserve">газет</w:t>
      </w:r>
      <w:r>
        <w:rPr>
          <w:sz w:val="24"/>
          <w:szCs w:val="24"/>
          <w:lang w:eastAsia="en-US"/>
        </w:rPr>
        <w:t xml:space="preserve">а</w:t>
      </w:r>
      <w:r>
        <w:rPr>
          <w:sz w:val="24"/>
          <w:szCs w:val="24"/>
          <w:lang w:eastAsia="en-US"/>
        </w:rPr>
        <w:t xml:space="preserve"> «Печенга» и разме</w:t>
      </w:r>
      <w:r>
        <w:rPr>
          <w:sz w:val="24"/>
          <w:szCs w:val="24"/>
          <w:lang w:eastAsia="en-US"/>
        </w:rPr>
        <w:t xml:space="preserve">стить на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сайте Печенгского муниципального округа в сети Интернет.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rPr>
          <w:rFonts w:eastAsia="Calibri"/>
          <w:sz w:val="24"/>
          <w:szCs w:val="24"/>
          <w:highlight w:val="yellow"/>
        </w:rPr>
      </w:pP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Большакова О.В.  5-27-25</w:t>
      </w:r>
      <w:bookmarkStart w:id="0" w:name="Par557"/>
      <w:r/>
      <w:bookmarkEnd w:id="0"/>
      <w:r/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992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>
    <w:name w:val="Heading 1"/>
    <w:basedOn w:val="908"/>
    <w:next w:val="908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9">
    <w:name w:val="Heading 1 Char"/>
    <w:basedOn w:val="910"/>
    <w:link w:val="738"/>
    <w:uiPriority w:val="9"/>
    <w:rPr>
      <w:rFonts w:ascii="Arial" w:hAnsi="Arial" w:eastAsia="Arial" w:cs="Arial"/>
      <w:sz w:val="40"/>
      <w:szCs w:val="40"/>
    </w:rPr>
  </w:style>
  <w:style w:type="character" w:styleId="740">
    <w:name w:val="Heading 2 Char"/>
    <w:basedOn w:val="910"/>
    <w:link w:val="909"/>
    <w:uiPriority w:val="9"/>
    <w:rPr>
      <w:rFonts w:ascii="Arial" w:hAnsi="Arial" w:eastAsia="Arial" w:cs="Arial"/>
      <w:sz w:val="34"/>
    </w:rPr>
  </w:style>
  <w:style w:type="paragraph" w:styleId="741">
    <w:name w:val="Heading 3"/>
    <w:basedOn w:val="908"/>
    <w:next w:val="908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2">
    <w:name w:val="Heading 3 Char"/>
    <w:basedOn w:val="910"/>
    <w:link w:val="741"/>
    <w:uiPriority w:val="9"/>
    <w:rPr>
      <w:rFonts w:ascii="Arial" w:hAnsi="Arial" w:eastAsia="Arial" w:cs="Arial"/>
      <w:sz w:val="30"/>
      <w:szCs w:val="30"/>
    </w:rPr>
  </w:style>
  <w:style w:type="paragraph" w:styleId="743">
    <w:name w:val="Heading 4"/>
    <w:basedOn w:val="908"/>
    <w:next w:val="908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4">
    <w:name w:val="Heading 4 Char"/>
    <w:basedOn w:val="910"/>
    <w:link w:val="743"/>
    <w:uiPriority w:val="9"/>
    <w:rPr>
      <w:rFonts w:ascii="Arial" w:hAnsi="Arial" w:eastAsia="Arial" w:cs="Arial"/>
      <w:b/>
      <w:bCs/>
      <w:sz w:val="26"/>
      <w:szCs w:val="26"/>
    </w:rPr>
  </w:style>
  <w:style w:type="paragraph" w:styleId="745">
    <w:name w:val="Heading 5"/>
    <w:basedOn w:val="908"/>
    <w:next w:val="908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6">
    <w:name w:val="Heading 5 Char"/>
    <w:basedOn w:val="910"/>
    <w:link w:val="745"/>
    <w:uiPriority w:val="9"/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908"/>
    <w:next w:val="908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8">
    <w:name w:val="Heading 6 Char"/>
    <w:basedOn w:val="910"/>
    <w:link w:val="747"/>
    <w:uiPriority w:val="9"/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908"/>
    <w:next w:val="908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0">
    <w:name w:val="Heading 7 Char"/>
    <w:basedOn w:val="910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908"/>
    <w:next w:val="908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2">
    <w:name w:val="Heading 8 Char"/>
    <w:basedOn w:val="910"/>
    <w:link w:val="751"/>
    <w:uiPriority w:val="9"/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908"/>
    <w:next w:val="908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>
    <w:name w:val="Heading 9 Char"/>
    <w:basedOn w:val="910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908"/>
    <w:next w:val="908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0"/>
    <w:link w:val="755"/>
    <w:uiPriority w:val="10"/>
    <w:rPr>
      <w:sz w:val="48"/>
      <w:szCs w:val="48"/>
    </w:rPr>
  </w:style>
  <w:style w:type="paragraph" w:styleId="757">
    <w:name w:val="Subtitle"/>
    <w:basedOn w:val="908"/>
    <w:next w:val="908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0"/>
    <w:link w:val="757"/>
    <w:uiPriority w:val="11"/>
    <w:rPr>
      <w:sz w:val="24"/>
      <w:szCs w:val="24"/>
    </w:rPr>
  </w:style>
  <w:style w:type="paragraph" w:styleId="759">
    <w:name w:val="Quote"/>
    <w:basedOn w:val="908"/>
    <w:next w:val="908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8"/>
    <w:next w:val="908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0"/>
    <w:link w:val="918"/>
    <w:uiPriority w:val="99"/>
  </w:style>
  <w:style w:type="character" w:styleId="764">
    <w:name w:val="Footer Char"/>
    <w:basedOn w:val="910"/>
    <w:link w:val="932"/>
    <w:uiPriority w:val="99"/>
  </w:style>
  <w:style w:type="character" w:styleId="765">
    <w:name w:val="Caption Char"/>
    <w:basedOn w:val="925"/>
    <w:link w:val="932"/>
    <w:uiPriority w:val="99"/>
  </w:style>
  <w:style w:type="table" w:styleId="766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1">
    <w:name w:val="footnote text"/>
    <w:basedOn w:val="908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>
    <w:name w:val="Footnote Text Char"/>
    <w:link w:val="891"/>
    <w:uiPriority w:val="99"/>
    <w:rPr>
      <w:sz w:val="18"/>
    </w:rPr>
  </w:style>
  <w:style w:type="character" w:styleId="893">
    <w:name w:val="footnote reference"/>
    <w:basedOn w:val="910"/>
    <w:uiPriority w:val="99"/>
    <w:unhideWhenUsed/>
    <w:rPr>
      <w:vertAlign w:val="superscript"/>
    </w:rPr>
  </w:style>
  <w:style w:type="paragraph" w:styleId="894">
    <w:name w:val="endnote text"/>
    <w:basedOn w:val="908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>
    <w:name w:val="Endnote Text Char"/>
    <w:link w:val="894"/>
    <w:uiPriority w:val="99"/>
    <w:rPr>
      <w:sz w:val="20"/>
    </w:rPr>
  </w:style>
  <w:style w:type="character" w:styleId="896">
    <w:name w:val="endnote reference"/>
    <w:basedOn w:val="910"/>
    <w:uiPriority w:val="99"/>
    <w:semiHidden/>
    <w:unhideWhenUsed/>
    <w:rPr>
      <w:vertAlign w:val="superscript"/>
    </w:rPr>
  </w:style>
  <w:style w:type="paragraph" w:styleId="897">
    <w:name w:val="toc 1"/>
    <w:basedOn w:val="908"/>
    <w:next w:val="908"/>
    <w:uiPriority w:val="39"/>
    <w:unhideWhenUsed/>
    <w:pPr>
      <w:ind w:left="0" w:right="0" w:firstLine="0"/>
      <w:spacing w:after="57"/>
    </w:pPr>
  </w:style>
  <w:style w:type="paragraph" w:styleId="898">
    <w:name w:val="toc 2"/>
    <w:basedOn w:val="908"/>
    <w:next w:val="908"/>
    <w:uiPriority w:val="39"/>
    <w:unhideWhenUsed/>
    <w:pPr>
      <w:ind w:left="283" w:right="0" w:firstLine="0"/>
      <w:spacing w:after="57"/>
    </w:pPr>
  </w:style>
  <w:style w:type="paragraph" w:styleId="899">
    <w:name w:val="toc 3"/>
    <w:basedOn w:val="908"/>
    <w:next w:val="908"/>
    <w:uiPriority w:val="39"/>
    <w:unhideWhenUsed/>
    <w:pPr>
      <w:ind w:left="567" w:right="0" w:firstLine="0"/>
      <w:spacing w:after="57"/>
    </w:pPr>
  </w:style>
  <w:style w:type="paragraph" w:styleId="900">
    <w:name w:val="toc 4"/>
    <w:basedOn w:val="908"/>
    <w:next w:val="908"/>
    <w:uiPriority w:val="39"/>
    <w:unhideWhenUsed/>
    <w:pPr>
      <w:ind w:left="850" w:right="0" w:firstLine="0"/>
      <w:spacing w:after="57"/>
    </w:pPr>
  </w:style>
  <w:style w:type="paragraph" w:styleId="901">
    <w:name w:val="toc 5"/>
    <w:basedOn w:val="908"/>
    <w:next w:val="908"/>
    <w:uiPriority w:val="39"/>
    <w:unhideWhenUsed/>
    <w:pPr>
      <w:ind w:left="1134" w:right="0" w:firstLine="0"/>
      <w:spacing w:after="57"/>
    </w:pPr>
  </w:style>
  <w:style w:type="paragraph" w:styleId="902">
    <w:name w:val="toc 6"/>
    <w:basedOn w:val="908"/>
    <w:next w:val="908"/>
    <w:uiPriority w:val="39"/>
    <w:unhideWhenUsed/>
    <w:pPr>
      <w:ind w:left="1417" w:right="0" w:firstLine="0"/>
      <w:spacing w:after="57"/>
    </w:pPr>
  </w:style>
  <w:style w:type="paragraph" w:styleId="903">
    <w:name w:val="toc 7"/>
    <w:basedOn w:val="908"/>
    <w:next w:val="908"/>
    <w:uiPriority w:val="39"/>
    <w:unhideWhenUsed/>
    <w:pPr>
      <w:ind w:left="1701" w:right="0" w:firstLine="0"/>
      <w:spacing w:after="57"/>
    </w:pPr>
  </w:style>
  <w:style w:type="paragraph" w:styleId="904">
    <w:name w:val="toc 8"/>
    <w:basedOn w:val="908"/>
    <w:next w:val="908"/>
    <w:uiPriority w:val="39"/>
    <w:unhideWhenUsed/>
    <w:pPr>
      <w:ind w:left="1984" w:right="0" w:firstLine="0"/>
      <w:spacing w:after="57"/>
    </w:pPr>
  </w:style>
  <w:style w:type="paragraph" w:styleId="905">
    <w:name w:val="toc 9"/>
    <w:basedOn w:val="908"/>
    <w:next w:val="908"/>
    <w:uiPriority w:val="39"/>
    <w:unhideWhenUsed/>
    <w:pPr>
      <w:ind w:left="2268" w:right="0" w:firstLine="0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908"/>
    <w:next w:val="908"/>
    <w:uiPriority w:val="99"/>
    <w:unhideWhenUsed/>
    <w:pPr>
      <w:spacing w:after="0" w:afterAutospacing="0"/>
    </w:pPr>
  </w:style>
  <w:style w:type="paragraph" w:styleId="908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909">
    <w:name w:val="Heading 2"/>
    <w:basedOn w:val="908"/>
    <w:next w:val="908"/>
    <w:link w:val="913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character" w:styleId="913" w:customStyle="1">
    <w:name w:val="Заголовок 2 Знак"/>
    <w:link w:val="909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914">
    <w:name w:val="Balloon Text"/>
    <w:basedOn w:val="908"/>
    <w:link w:val="915"/>
    <w:semiHidden/>
    <w:rPr>
      <w:rFonts w:ascii="Tahoma" w:hAnsi="Tahoma" w:cs="Tahoma"/>
      <w:sz w:val="16"/>
      <w:szCs w:val="16"/>
    </w:rPr>
  </w:style>
  <w:style w:type="character" w:styleId="915" w:customStyle="1">
    <w:name w:val="Текст выноски Знак"/>
    <w:link w:val="914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6">
    <w:name w:val="Normal (Web)"/>
    <w:basedOn w:val="908"/>
    <w:pPr>
      <w:spacing w:before="100" w:beforeAutospacing="1" w:after="100" w:afterAutospacing="1"/>
      <w:widowControl/>
    </w:pPr>
    <w:rPr>
      <w:sz w:val="24"/>
      <w:szCs w:val="24"/>
    </w:rPr>
  </w:style>
  <w:style w:type="table" w:styleId="917">
    <w:name w:val="Table Grid"/>
    <w:basedOn w:val="911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>
    <w:name w:val="Header"/>
    <w:basedOn w:val="908"/>
    <w:link w:val="919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919" w:customStyle="1">
    <w:name w:val="Верхний колонтитул Знак"/>
    <w:link w:val="918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920">
    <w:name w:val="Body Text Indent"/>
    <w:basedOn w:val="908"/>
    <w:link w:val="921"/>
    <w:pPr>
      <w:ind w:left="283"/>
      <w:spacing w:after="120"/>
      <w:widowControl/>
    </w:pPr>
    <w:rPr>
      <w:sz w:val="24"/>
      <w:szCs w:val="24"/>
    </w:rPr>
  </w:style>
  <w:style w:type="character" w:styleId="921" w:customStyle="1">
    <w:name w:val="Основной текст с отступом Знак"/>
    <w:link w:val="92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2" w:customStyle="1">
    <w:name w:val="ConsPlusNonformat"/>
    <w:rPr>
      <w:rFonts w:ascii="Courier New" w:hAnsi="Courier New" w:eastAsia="Times New Roman" w:cs="Courier New"/>
    </w:rPr>
  </w:style>
  <w:style w:type="paragraph" w:styleId="923">
    <w:name w:val="Body Text"/>
    <w:basedOn w:val="908"/>
    <w:link w:val="924"/>
    <w:pPr>
      <w:spacing w:after="120"/>
    </w:pPr>
  </w:style>
  <w:style w:type="character" w:styleId="924" w:customStyle="1">
    <w:name w:val="Основной текст Знак"/>
    <w:link w:val="92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5">
    <w:name w:val="Caption"/>
    <w:basedOn w:val="908"/>
    <w:next w:val="908"/>
    <w:qFormat/>
    <w:pPr>
      <w:jc w:val="center"/>
      <w:widowControl/>
    </w:pPr>
    <w:rPr>
      <w:b/>
      <w:sz w:val="32"/>
    </w:rPr>
  </w:style>
  <w:style w:type="paragraph" w:styleId="926">
    <w:name w:val="Body Text Indent 2"/>
    <w:basedOn w:val="908"/>
    <w:link w:val="927"/>
    <w:pPr>
      <w:ind w:left="283"/>
      <w:spacing w:after="120" w:line="480" w:lineRule="auto"/>
      <w:widowControl/>
    </w:pPr>
    <w:rPr>
      <w:sz w:val="24"/>
      <w:szCs w:val="24"/>
    </w:rPr>
  </w:style>
  <w:style w:type="character" w:styleId="927" w:customStyle="1">
    <w:name w:val="Основной текст с отступом 2 Знак"/>
    <w:link w:val="9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List Paragraph"/>
    <w:basedOn w:val="908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929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930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931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932">
    <w:name w:val="Footer"/>
    <w:basedOn w:val="908"/>
    <w:link w:val="93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3" w:customStyle="1">
    <w:name w:val="Нижний колонтитул Знак"/>
    <w:link w:val="93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34">
    <w:name w:val="Hyperlink"/>
    <w:basedOn w:val="910"/>
    <w:uiPriority w:val="99"/>
    <w:unhideWhenUsed/>
    <w:rPr>
      <w:color w:val="0000ff" w:themeColor="hyperlink"/>
      <w:u w:val="single"/>
    </w:rPr>
  </w:style>
  <w:style w:type="paragraph" w:styleId="935" w:customStyle="1">
    <w:name w:val="Абзац списка1"/>
    <w:basedOn w:val="908"/>
    <w:pPr>
      <w:ind w:left="720"/>
      <w:spacing w:after="200" w:line="276" w:lineRule="auto"/>
      <w:widowControl/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87545-30DF-458C-AFB3-1523A39E4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16</cp:revision>
  <dcterms:created xsi:type="dcterms:W3CDTF">2024-03-01T08:06:00Z</dcterms:created>
  <dcterms:modified xsi:type="dcterms:W3CDTF">2024-09-06T09:06:29Z</dcterms:modified>
</cp:coreProperties>
</file>