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  <w:lang w:val="en-US"/>
        </w:rPr>
        <w:t xml:space="preserve"> 17</w:t>
      </w:r>
      <w:r>
        <w:rPr>
          <w:rFonts w:eastAsia="Times New Roman"/>
          <w:b/>
          <w:color w:val="000000"/>
          <w:sz w:val="24"/>
          <w:lang w:val="ru-RU"/>
        </w:rPr>
        <w:t xml:space="preserve">.</w:t>
      </w:r>
      <w:r>
        <w:rPr>
          <w:rFonts w:eastAsia="Times New Roman"/>
          <w:b/>
          <w:color w:val="000000"/>
          <w:sz w:val="24"/>
          <w:lang w:val="en-US"/>
        </w:rPr>
        <w:t xml:space="preserve">09</w:t>
      </w:r>
      <w:r>
        <w:rPr>
          <w:rFonts w:eastAsia="Times New Roman"/>
          <w:b/>
          <w:color w:val="000000"/>
          <w:sz w:val="24"/>
          <w:lang w:val="ru-RU"/>
        </w:rPr>
        <w:t xml:space="preserve">.</w:t>
      </w:r>
      <w:r>
        <w:rPr>
          <w:rFonts w:eastAsia="Times New Roman"/>
          <w:b/>
          <w:color w:val="000000"/>
          <w:sz w:val="24"/>
          <w:lang w:val="en-US"/>
        </w:rPr>
        <w:t xml:space="preserve">2024 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№ 1434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</w:t>
      </w:r>
      <w:r>
        <w:rPr>
          <w:rFonts w:eastAsia="Times New Roman"/>
          <w:b/>
          <w:color w:val="000000"/>
          <w:sz w:val="24"/>
        </w:rPr>
        <w:t xml:space="preserve">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8055" w:leader="none"/>
        </w:tabs>
        <w:rPr>
          <w:b/>
        </w:rPr>
      </w:pPr>
      <w:r>
        <w:rPr>
          <w:rFonts w:eastAsia="Times New Roman"/>
          <w:b/>
        </w:rPr>
        <w:t xml:space="preserve"> «</w:t>
      </w:r>
      <w:r>
        <w:rPr>
          <w:b/>
          <w:lang w:eastAsia="en-US"/>
        </w:rPr>
        <w:t xml:space="preserve">Муниципальное имущество и земельные ресурсы» на 2024-2026 годы,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Печенгского муниципального округа от 03.11.2023 № 1636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</w:t>
      </w:r>
      <w:r>
        <w:rPr>
          <w:rFonts w:eastAsia="Times New Roman"/>
          <w:color w:val="000000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4"/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«Муниципальное имущество и земельные ресурсы» на 2024-2026 годы, утвержденную постановлением администрации Печенгского муниципального округа от 03.11.2023 </w:t>
      </w:r>
      <w:r>
        <w:rPr>
          <w:sz w:val="24"/>
          <w:szCs w:val="24"/>
        </w:rPr>
        <w:br/>
        <w:t xml:space="preserve">№ 1636 (в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Печенгского муниципального округа от </w:t>
      </w:r>
      <w:r>
        <w:rPr>
          <w:sz w:val="24"/>
          <w:szCs w:val="24"/>
        </w:rPr>
        <w:t xml:space="preserve">28.08</w:t>
      </w:r>
      <w:r>
        <w:rPr>
          <w:sz w:val="24"/>
          <w:szCs w:val="24"/>
        </w:rPr>
        <w:t xml:space="preserve">.2024 № 1</w:t>
      </w:r>
      <w:r>
        <w:rPr>
          <w:sz w:val="24"/>
          <w:szCs w:val="24"/>
        </w:rPr>
        <w:t xml:space="preserve">334</w:t>
      </w:r>
      <w:r>
        <w:rPr>
          <w:sz w:val="24"/>
          <w:szCs w:val="24"/>
        </w:rPr>
        <w:t xml:space="preserve">)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4"/>
        <w:ind w:left="0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- пункт 17 строки «Показатели программы» в паспорте Программы изложить в следующей редакции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7478"/>
      </w:tblGrid>
      <w:tr>
        <w:tblPrEx/>
        <w:trPr/>
        <w:tc>
          <w:tcPr>
            <w:tcW w:w="1985" w:type="dxa"/>
            <w:textDirection w:val="lrTb"/>
            <w:noWrap w:val="false"/>
          </w:tcPr>
          <w:p>
            <w:pPr>
              <w:pStyle w:val="874"/>
              <w:ind w:left="0"/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478" w:type="dxa"/>
            <w:textDirection w:val="lrTb"/>
            <w:noWrap w:val="false"/>
          </w:tcPr>
          <w:p>
            <w:pPr>
              <w:pStyle w:val="874"/>
              <w:ind w:left="0"/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«17. </w:t>
            </w:r>
            <w:r>
              <w:rPr>
                <w:sz w:val="24"/>
                <w:szCs w:val="24"/>
                <w:lang w:eastAsia="en-US"/>
              </w:rPr>
              <w:t xml:space="preserve">Количество разработанных проектов организации </w:t>
            </w:r>
            <w:r>
              <w:rPr>
                <w:sz w:val="24"/>
                <w:szCs w:val="24"/>
                <w:lang w:eastAsia="en-US"/>
              </w:rPr>
              <w:t xml:space="preserve">демонтажа  многоквартирных домов, выведенных из состава</w:t>
            </w:r>
            <w:r>
              <w:rPr>
                <w:sz w:val="24"/>
                <w:szCs w:val="24"/>
                <w:lang w:eastAsia="en-US"/>
              </w:rPr>
              <w:t xml:space="preserve"> жилого фонда и непригодных для проживания</w:t>
            </w:r>
            <w:r>
              <w:rPr>
                <w:sz w:val="24"/>
                <w:szCs w:val="24"/>
                <w:lang w:eastAsia="en-US"/>
              </w:rPr>
              <w:t xml:space="preserve">.</w:t>
            </w:r>
            <w:r>
              <w:rPr>
                <w:sz w:val="24"/>
                <w:szCs w:val="24"/>
                <w:lang w:eastAsia="en-US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74"/>
        <w:ind w:left="0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</w:t>
      </w:r>
      <w:r>
        <w:rPr>
          <w:sz w:val="24"/>
          <w:szCs w:val="24"/>
        </w:rPr>
        <w:t xml:space="preserve">дополнить пунктом 19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7478"/>
      </w:tblGrid>
      <w:tr>
        <w:tblPrEx/>
        <w:trPr/>
        <w:tc>
          <w:tcPr>
            <w:tcW w:w="1985" w:type="dxa"/>
            <w:textDirection w:val="lrTb"/>
            <w:noWrap w:val="false"/>
          </w:tcPr>
          <w:p>
            <w:pPr>
              <w:pStyle w:val="874"/>
              <w:ind w:left="0"/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478" w:type="dxa"/>
            <w:textDirection w:val="lrTb"/>
            <w:noWrap w:val="false"/>
          </w:tcPr>
          <w:p>
            <w:pPr>
              <w:pStyle w:val="874"/>
              <w:ind w:left="0"/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«19. </w:t>
            </w:r>
            <w:r>
              <w:rPr>
                <w:sz w:val="24"/>
                <w:szCs w:val="24"/>
                <w:lang w:eastAsia="en-US"/>
              </w:rPr>
              <w:t xml:space="preserve">Количество демонтированных (снесенных)</w:t>
            </w:r>
            <w:r>
              <w:rPr>
                <w:sz w:val="24"/>
                <w:szCs w:val="24"/>
                <w:lang w:eastAsia="en-US"/>
              </w:rPr>
              <w:t xml:space="preserve"> многоквартирных домов</w:t>
            </w:r>
            <w:r>
              <w:rPr>
                <w:sz w:val="24"/>
                <w:szCs w:val="24"/>
                <w:lang w:eastAsia="en-US"/>
              </w:rPr>
              <w:t xml:space="preserve">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67" w:type="dxa"/>
        <w:jc w:val="center"/>
        <w:tblInd w:w="-83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41"/>
        <w:gridCol w:w="7426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4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26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73 373,1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ей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25252,5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5282,5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13629,3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6337,7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175974,8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7698,2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158854,6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9422,0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47145,8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105648,7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76875,8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64621,3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125000,0 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86465,9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38534,1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4"/>
              <w:ind w:left="0"/>
              <w:widowControl w:val="off"/>
              <w:rPr>
                <w:i/>
                <w:color w:val="0000cc"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2026 год: 0,0  тыс. рублей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i/>
                <w:color w:val="0000cc"/>
                <w:sz w:val="18"/>
                <w:szCs w:val="18"/>
              </w:rPr>
            </w:r>
            <w:r>
              <w:rPr>
                <w:i/>
                <w:color w:val="0000cc"/>
                <w:sz w:val="18"/>
                <w:szCs w:val="18"/>
              </w:rPr>
            </w:r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</w:t>
      </w:r>
      <w:r>
        <w:rPr>
          <w:sz w:val="24"/>
          <w:szCs w:val="24"/>
        </w:rPr>
        <w:t xml:space="preserve">Исполнители программы</w:t>
      </w:r>
      <w:r>
        <w:rPr>
          <w:sz w:val="24"/>
          <w:szCs w:val="24"/>
        </w:rPr>
        <w:t xml:space="preserve">» в паспорте Программы дополнить словами следующего содержания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муниципальное бюджетное учреждение «</w:t>
      </w:r>
      <w:r>
        <w:rPr>
          <w:sz w:val="24"/>
          <w:szCs w:val="24"/>
        </w:rPr>
        <w:t xml:space="preserve">Ремонтно</w:t>
      </w:r>
      <w:r>
        <w:rPr>
          <w:sz w:val="24"/>
          <w:szCs w:val="24"/>
        </w:rPr>
        <w:t xml:space="preserve">-эксплуатационная служба» (далее – МБУ «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ЭС»)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пункт 2.3.5</w:t>
      </w:r>
      <w:r>
        <w:rPr>
          <w:sz w:val="24"/>
          <w:szCs w:val="24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85" w:vertAnchor="text" w:tblpY="1" w:leftFromText="181" w:topFromText="0" w:rightFromText="181" w:bottomFromText="0"/>
        <w:tblW w:w="490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0"/>
        <w:gridCol w:w="2690"/>
        <w:gridCol w:w="710"/>
        <w:gridCol w:w="708"/>
        <w:gridCol w:w="710"/>
        <w:gridCol w:w="851"/>
        <w:gridCol w:w="851"/>
        <w:gridCol w:w="851"/>
        <w:gridCol w:w="1200"/>
      </w:tblGrid>
      <w:tr>
        <w:tblPrEx/>
        <w:trPr>
          <w:trHeight w:val="69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7" w:type="pct"/>
            <w:textDirection w:val="lrTb"/>
            <w:noWrap w:val="false"/>
          </w:tcPr>
          <w:p>
            <w:r>
              <w:t xml:space="preserve">«2.3.5.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2" w:type="pct"/>
            <w:textDirection w:val="lrTb"/>
            <w:noWrap w:val="false"/>
          </w:tcPr>
          <w:p>
            <w:pPr>
              <w:jc w:val="both"/>
            </w:pPr>
            <w:r>
              <w:t xml:space="preserve">Количество </w:t>
            </w:r>
            <w:r>
              <w:t xml:space="preserve"> демонтированных (снесенных)</w:t>
            </w:r>
            <w:r>
              <w:t xml:space="preserve"> многоквартирных домов </w:t>
            </w:r>
            <w: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7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9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МБУ «</w:t>
            </w:r>
            <w:r>
              <w:t xml:space="preserve">Р</w:t>
            </w:r>
            <w:r>
              <w:t xml:space="preserve">ЭС»</w:t>
            </w:r>
            <w:r>
              <w:t xml:space="preserve">»</w:t>
            </w:r>
            <w:r>
              <w:t xml:space="preserve">;</w:t>
            </w:r>
            <w:r/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 дополнить пунктом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85" w:vertAnchor="text" w:tblpY="1" w:leftFromText="181" w:topFromText="0" w:rightFromText="181" w:bottomFromText="0"/>
        <w:tblW w:w="490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9"/>
        <w:gridCol w:w="2691"/>
        <w:gridCol w:w="710"/>
        <w:gridCol w:w="708"/>
        <w:gridCol w:w="708"/>
        <w:gridCol w:w="851"/>
        <w:gridCol w:w="851"/>
        <w:gridCol w:w="851"/>
        <w:gridCol w:w="1202"/>
      </w:tblGrid>
      <w:tr>
        <w:tblPrEx/>
        <w:trPr>
          <w:trHeight w:val="69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6" w:type="pct"/>
            <w:textDirection w:val="lrTb"/>
            <w:noWrap w:val="false"/>
          </w:tcPr>
          <w:p>
            <w:r>
              <w:t xml:space="preserve">«2.3.7.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33" w:type="pct"/>
            <w:textDirection w:val="lrTb"/>
            <w:noWrap w:val="false"/>
          </w:tcPr>
          <w:p>
            <w:pPr>
              <w:jc w:val="both"/>
            </w:pPr>
            <w:r>
              <w:t xml:space="preserve">Количество разработанных проектов организации</w:t>
            </w:r>
            <w:r>
              <w:t xml:space="preserve"> </w:t>
            </w:r>
            <w:r>
              <w:t xml:space="preserve">демонтаж</w:t>
            </w:r>
            <w:r>
              <w:t xml:space="preserve">а </w:t>
            </w:r>
            <w:r>
              <w:t xml:space="preserve">многоквартирных домов, выведенных из состава жилого фонда и непригодных для проживания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8" w:type="pct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7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7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" w:type="pct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40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МБУ «РЭС»</w:t>
            </w:r>
            <w:r>
              <w:t xml:space="preserve">»</w:t>
            </w:r>
            <w:r>
              <w:t xml:space="preserve">;</w:t>
            </w:r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пункт 5 строки «Показатели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</w:t>
      </w:r>
      <w:r>
        <w:rPr>
          <w:sz w:val="24"/>
          <w:szCs w:val="24"/>
        </w:rPr>
        <w:t xml:space="preserve">в паспорте подпрограммы 3 «</w:t>
      </w:r>
      <w:r>
        <w:rPr>
          <w:sz w:val="24"/>
          <w:szCs w:val="24"/>
        </w:rPr>
        <w:t xml:space="preserve">Создание безопасных и комфортных условий проживания граждан» (далее – Подпрограмма 3)</w:t>
      </w:r>
      <w:r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Style w:val="87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7478"/>
      </w:tblGrid>
      <w:tr>
        <w:tblPrEx/>
        <w:trPr/>
        <w:tc>
          <w:tcPr>
            <w:tcW w:w="1985" w:type="dxa"/>
            <w:textDirection w:val="lrTb"/>
            <w:noWrap w:val="false"/>
          </w:tcPr>
          <w:p>
            <w:pPr>
              <w:pStyle w:val="874"/>
              <w:ind w:left="0"/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478" w:type="dxa"/>
            <w:textDirection w:val="lrTb"/>
            <w:noWrap w:val="false"/>
          </w:tcPr>
          <w:p>
            <w:pPr>
              <w:pStyle w:val="874"/>
              <w:ind w:left="0"/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«5. </w:t>
            </w:r>
            <w:r>
              <w:rPr>
                <w:sz w:val="24"/>
                <w:szCs w:val="24"/>
                <w:lang w:eastAsia="en-US"/>
              </w:rPr>
              <w:t xml:space="preserve">Количество разработанных проектов организации </w:t>
            </w:r>
            <w:r>
              <w:rPr>
                <w:sz w:val="24"/>
                <w:szCs w:val="24"/>
                <w:lang w:eastAsia="en-US"/>
              </w:rPr>
              <w:t xml:space="preserve">демонтажа  многоквартирных домов, выведенных из состава</w:t>
            </w:r>
            <w:r>
              <w:rPr>
                <w:sz w:val="24"/>
                <w:szCs w:val="24"/>
                <w:lang w:eastAsia="en-US"/>
              </w:rPr>
              <w:t xml:space="preserve"> жилого фонда и непригодных для проживания.</w:t>
            </w:r>
            <w:r>
              <w:rPr>
                <w:sz w:val="24"/>
                <w:szCs w:val="24"/>
                <w:lang w:eastAsia="en-US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74"/>
        <w:ind w:left="0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Подпрограммы 3 дополнить пунктом 7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7478"/>
      </w:tblGrid>
      <w:tr>
        <w:tblPrEx/>
        <w:trPr/>
        <w:tc>
          <w:tcPr>
            <w:tcW w:w="1985" w:type="dxa"/>
            <w:textDirection w:val="lrTb"/>
            <w:noWrap w:val="false"/>
          </w:tcPr>
          <w:p>
            <w:pPr>
              <w:pStyle w:val="874"/>
              <w:ind w:left="0"/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478" w:type="dxa"/>
            <w:textDirection w:val="lrTb"/>
            <w:noWrap w:val="false"/>
          </w:tcPr>
          <w:p>
            <w:pPr>
              <w:pStyle w:val="874"/>
              <w:ind w:left="0"/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«7. </w:t>
            </w:r>
            <w:r>
              <w:rPr>
                <w:sz w:val="24"/>
                <w:szCs w:val="24"/>
                <w:lang w:eastAsia="en-US"/>
              </w:rPr>
              <w:t xml:space="preserve">Количество демонтированных (снесенных)</w:t>
            </w:r>
            <w:r>
              <w:rPr>
                <w:sz w:val="24"/>
                <w:szCs w:val="24"/>
                <w:lang w:eastAsia="en-US"/>
              </w:rPr>
              <w:t xml:space="preserve"> многоквартирных домов</w:t>
            </w:r>
            <w:r>
              <w:rPr>
                <w:sz w:val="24"/>
                <w:szCs w:val="24"/>
                <w:lang w:eastAsia="en-US"/>
              </w:rPr>
              <w:t xml:space="preserve">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8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</w:t>
      </w:r>
      <w:r>
        <w:rPr>
          <w:rFonts w:eastAsia="Times New Roman"/>
          <w:sz w:val="24"/>
          <w:szCs w:val="24"/>
        </w:rPr>
        <w:t xml:space="preserve">П</w:t>
      </w:r>
      <w:r>
        <w:rPr>
          <w:rFonts w:eastAsia="Times New Roman"/>
          <w:sz w:val="24"/>
          <w:szCs w:val="24"/>
        </w:rPr>
        <w:t xml:space="preserve">одпрограммы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   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556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342 437,0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                                         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25252,5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5285,5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13629,3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6337,7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60917,8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2679,2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153835,6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4403,0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125000,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86465,9тыс.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38534,1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8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строку «</w:t>
      </w:r>
      <w:r>
        <w:rPr>
          <w:sz w:val="24"/>
          <w:szCs w:val="24"/>
        </w:rPr>
        <w:t xml:space="preserve">Исполнители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» в паспорте </w:t>
      </w:r>
      <w:r>
        <w:rPr>
          <w:rFonts w:eastAsia="Times New Roman"/>
          <w:sz w:val="24"/>
          <w:szCs w:val="24"/>
        </w:rPr>
        <w:t xml:space="preserve">Подпрограммы 3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556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«Исполнители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 и ЖКХ,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МБУ «РЭС»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строки 3.2.1 и </w:t>
      </w:r>
      <w:r>
        <w:rPr>
          <w:sz w:val="24"/>
          <w:szCs w:val="24"/>
        </w:rPr>
        <w:t xml:space="preserve">«Итого по основному мероприятию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» таблицы 1 «Перечень мероприятий подпрограммы с объемом финансирования» к </w:t>
      </w:r>
      <w:r>
        <w:rPr>
          <w:sz w:val="24"/>
          <w:szCs w:val="24"/>
        </w:rPr>
        <w:t xml:space="preserve">Подпрограмме 3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pPr w:horzAnchor="margin" w:tblpX="74" w:vertAnchor="text" w:tblpY="131" w:leftFromText="180" w:topFromText="0" w:rightFromText="180" w:bottomFromText="0"/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2300"/>
        <w:gridCol w:w="751"/>
        <w:gridCol w:w="846"/>
        <w:gridCol w:w="990"/>
        <w:gridCol w:w="992"/>
        <w:gridCol w:w="992"/>
        <w:gridCol w:w="992"/>
        <w:gridCol w:w="816"/>
      </w:tblGrid>
      <w:tr>
        <w:tblPrEx/>
        <w:trPr>
          <w:trHeight w:val="95"/>
        </w:trPr>
        <w:tc>
          <w:tcPr>
            <w:shd w:val="clear" w:color="auto" w:fill="auto"/>
            <w:tcW w:w="415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«3.2</w:t>
            </w:r>
            <w:r>
              <w:rPr>
                <w:lang w:eastAsia="en-US"/>
              </w:rPr>
              <w:t xml:space="preserve">.1.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215" w:type="pct"/>
            <w:vMerge w:val="restart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Ремонт пустующих жилых помещений муниципального жилищного фонда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97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2024-2026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ФБ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31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ОС и ЖКХ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215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97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ОБ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31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215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97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31262,8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15265,9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14998,0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998,9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31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215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97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ВБС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31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Borders>
              <w:bottom w:val="single" w:color="auto" w:sz="4" w:space="0"/>
            </w:tcBorders>
            <w:tcW w:w="41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215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7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31262,8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15265,9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14998,0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998,9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31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gridSpan w:val="3"/>
            <w:shd w:val="clear" w:color="auto" w:fill="auto"/>
            <w:tcW w:w="2027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/>
            <w:bookmarkStart w:id="0" w:name="_GoBack"/>
            <w:r/>
            <w:bookmarkEnd w:id="0"/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 по основному мероприятию 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31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3"/>
            <w:shd w:val="clear" w:color="auto" w:fill="auto"/>
            <w:tcW w:w="2027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147714,2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147714,2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59"/>
        </w:trPr>
        <w:tc>
          <w:tcPr>
            <w:gridSpan w:val="3"/>
            <w:shd w:val="clear" w:color="auto" w:fill="auto"/>
            <w:tcW w:w="2027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31262,8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15265,9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14998,0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998,9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3"/>
            <w:shd w:val="clear" w:color="auto" w:fill="auto"/>
            <w:tcW w:w="2027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ВБС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125000,0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86465,9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38534,1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  <w:tr>
        <w:tblPrEx/>
        <w:trPr>
          <w:trHeight w:val="167"/>
        </w:trPr>
        <w:tc>
          <w:tcPr>
            <w:gridSpan w:val="3"/>
            <w:shd w:val="clear" w:color="auto" w:fill="auto"/>
            <w:tcW w:w="2027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303977,0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101731,8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201246,3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998,9»;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lang w:eastAsia="en-US"/>
              </w:rPr>
            </w:pP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  <w:r>
              <w:rPr>
                <w:color w:val="ff0000"/>
                <w:lang w:eastAsia="en-US"/>
              </w:rPr>
            </w:r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rFonts w:eastAsia="Times New Roman"/>
          <w:color w:val="ff0000"/>
          <w:sz w:val="24"/>
          <w:szCs w:val="24"/>
        </w:rPr>
      </w:pPr>
      <w:r>
        <w:rPr>
          <w:rFonts w:eastAsia="Times New Roman"/>
          <w:color w:val="ff0000"/>
          <w:sz w:val="24"/>
          <w:szCs w:val="24"/>
        </w:rPr>
      </w:r>
      <w:r>
        <w:rPr>
          <w:rFonts w:eastAsia="Times New Roman"/>
          <w:color w:val="ff0000"/>
          <w:sz w:val="24"/>
          <w:szCs w:val="24"/>
        </w:rPr>
      </w:r>
      <w:r>
        <w:rPr>
          <w:rFonts w:eastAsia="Times New Roman"/>
          <w:color w:val="ff0000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1, </w:t>
      </w:r>
      <w:r>
        <w:rPr>
          <w:sz w:val="24"/>
          <w:szCs w:val="24"/>
        </w:rPr>
        <w:t xml:space="preserve">«Итого по основному мероприятию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» и «Всего по подпрограмме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» таблицы 1 «Перечень мероприятий подпрограммы с объемом финансирования» к </w:t>
      </w:r>
      <w:r>
        <w:rPr>
          <w:sz w:val="24"/>
          <w:szCs w:val="24"/>
        </w:rPr>
        <w:t xml:space="preserve">Подпрограмме 3 изложить в следующей редакции:  </w:t>
      </w:r>
      <w:r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pPr w:horzAnchor="margin" w:tblpX="74" w:vertAnchor="text" w:tblpY="131" w:leftFromText="180" w:topFromText="0" w:rightFromText="180" w:bottomFromText="0"/>
        <w:tblW w:w="4962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2300"/>
        <w:gridCol w:w="750"/>
        <w:gridCol w:w="847"/>
        <w:gridCol w:w="990"/>
        <w:gridCol w:w="992"/>
        <w:gridCol w:w="992"/>
        <w:gridCol w:w="992"/>
        <w:gridCol w:w="849"/>
      </w:tblGrid>
      <w:tr>
        <w:tblPrEx/>
        <w:trPr>
          <w:trHeight w:val="95"/>
        </w:trPr>
        <w:tc>
          <w:tcPr>
            <w:shd w:val="clear" w:color="auto" w:fill="auto"/>
            <w:tcW w:w="413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«</w:t>
            </w:r>
            <w:r>
              <w:rPr>
                <w:lang w:eastAsia="en-US"/>
              </w:rPr>
              <w:t xml:space="preserve">3.3.1.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211" w:type="pct"/>
            <w:vMerge w:val="restart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Разработка проектов организации демонтаж</w:t>
            </w:r>
            <w:r>
              <w:rPr>
                <w:lang w:eastAsia="en-US"/>
              </w:rPr>
              <w:t xml:space="preserve">а</w:t>
            </w:r>
            <w:r>
              <w:rPr>
                <w:lang w:eastAsia="en-US"/>
              </w:rPr>
              <w:t xml:space="preserve"> и демонтаж </w:t>
            </w:r>
            <w:r>
              <w:rPr>
                <w:lang w:eastAsia="en-US"/>
              </w:rPr>
              <w:t xml:space="preserve">(снос) </w:t>
            </w:r>
            <w:r>
              <w:rPr>
                <w:lang w:eastAsia="en-US"/>
              </w:rPr>
              <w:t xml:space="preserve"> многоквартирных домов, выведенных из состава жилого фонда и непригодных для проживания, в рамках </w:t>
            </w:r>
            <w:r>
              <w:rPr>
                <w:lang w:eastAsia="en-US"/>
              </w:rPr>
              <w:t xml:space="preserve">плана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95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2024-2026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ФБ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25252,5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5285,5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13629,3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6337,7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МБУ «РЭС</w:t>
            </w:r>
            <w:r>
              <w:rPr>
                <w:lang w:eastAsia="en-US"/>
              </w:rPr>
              <w:t xml:space="preserve">»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3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211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9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ОБ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13203,6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2679,2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6121,4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4403,0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3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211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9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МБ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3,9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0,8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1,1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413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211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39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ВБС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0,0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Borders>
              <w:bottom w:val="single" w:color="auto" w:sz="4" w:space="0"/>
            </w:tcBorders>
            <w:tcW w:w="413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211" w:type="pct"/>
            <w:vMerge w:val="continue"/>
            <w:textDirection w:val="lrTb"/>
            <w:noWrap w:val="false"/>
          </w:tcPr>
          <w:p>
            <w:pPr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5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46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38460,0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7965,5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19752,7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10741,8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5"/>
        </w:trPr>
        <w:tc>
          <w:tcPr>
            <w:gridSpan w:val="3"/>
            <w:shd w:val="clear" w:color="auto" w:fill="auto"/>
            <w:tcW w:w="2019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 по основному мероприятию 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25252,5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5285,5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13629,3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6337,7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3"/>
            <w:shd w:val="clear" w:color="auto" w:fill="auto"/>
            <w:tcW w:w="2019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13203,6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2679,2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6121,4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4403,0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59"/>
        </w:trPr>
        <w:tc>
          <w:tcPr>
            <w:gridSpan w:val="3"/>
            <w:shd w:val="clear" w:color="auto" w:fill="auto"/>
            <w:tcW w:w="2019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92"/>
        </w:trPr>
        <w:tc>
          <w:tcPr>
            <w:gridSpan w:val="3"/>
            <w:shd w:val="clear" w:color="auto" w:fill="auto"/>
            <w:tcW w:w="2019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ВБС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167"/>
        </w:trPr>
        <w:tc>
          <w:tcPr>
            <w:gridSpan w:val="3"/>
            <w:shd w:val="clear" w:color="auto" w:fill="auto"/>
            <w:tcW w:w="2019" w:type="pct"/>
            <w:vMerge w:val="continue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38460,0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7965,5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19752,7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10741,8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1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highlight w:val="yellow"/>
                <w:lang w:eastAsia="en-US"/>
              </w:rPr>
            </w:pPr>
            <w:r>
              <w:rPr>
                <w:b/>
                <w:color w:val="000000"/>
                <w:spacing w:val="1"/>
                <w:lang w:eastAsia="en-US"/>
              </w:rPr>
              <w:t xml:space="preserve">Всего по подпрограмме 3</w:t>
            </w:r>
            <w:r>
              <w:rPr>
                <w:b/>
                <w:color w:val="000000"/>
                <w:spacing w:val="1"/>
                <w:highlight w:val="yellow"/>
                <w:lang w:eastAsia="en-US"/>
              </w:rPr>
            </w:r>
            <w:r>
              <w:rPr>
                <w:b/>
                <w:color w:val="000000"/>
                <w:spacing w:val="1"/>
                <w:highlight w:val="yellow"/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25252,5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5285,5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13629,3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6337,7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rPr>
                <w:highlight w:val="yellow"/>
                <w:lang w:eastAsia="en-US"/>
              </w:rPr>
            </w:pP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1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highlight w:val="yellow"/>
                <w:lang w:eastAsia="en-US"/>
              </w:rPr>
            </w:pPr>
            <w:r>
              <w:rPr>
                <w:color w:val="000000"/>
                <w:spacing w:val="1"/>
                <w:highlight w:val="yellow"/>
                <w:lang w:eastAsia="en-US"/>
              </w:rPr>
            </w:r>
            <w:r>
              <w:rPr>
                <w:color w:val="000000"/>
                <w:spacing w:val="1"/>
                <w:highlight w:val="yellow"/>
                <w:lang w:eastAsia="en-US"/>
              </w:rPr>
            </w:r>
            <w:r>
              <w:rPr>
                <w:color w:val="000000"/>
                <w:spacing w:val="1"/>
                <w:highlight w:val="yellow"/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160917,8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2679,2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153835,6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4403,0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highlight w:val="yellow"/>
                <w:lang w:eastAsia="en-US"/>
              </w:rPr>
            </w:pP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01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highlight w:val="yellow"/>
                <w:lang w:eastAsia="en-US"/>
              </w:rPr>
            </w:pPr>
            <w:r>
              <w:rPr>
                <w:color w:val="000000"/>
                <w:spacing w:val="1"/>
                <w:highlight w:val="yellow"/>
                <w:lang w:eastAsia="en-US"/>
              </w:rPr>
            </w:r>
            <w:r>
              <w:rPr>
                <w:color w:val="000000"/>
                <w:spacing w:val="1"/>
                <w:highlight w:val="yellow"/>
                <w:lang w:eastAsia="en-US"/>
              </w:rPr>
            </w:r>
            <w:r>
              <w:rPr>
                <w:color w:val="000000"/>
                <w:spacing w:val="1"/>
                <w:highlight w:val="yellow"/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МБ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31266,7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15266,7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15000,0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1000,0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highlight w:val="yellow"/>
                <w:lang w:eastAsia="en-US"/>
              </w:rPr>
            </w:pP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1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highlight w:val="yellow"/>
                <w:lang w:eastAsia="en-US"/>
              </w:rPr>
            </w:pPr>
            <w:r>
              <w:rPr>
                <w:color w:val="000000"/>
                <w:spacing w:val="1"/>
                <w:highlight w:val="yellow"/>
                <w:lang w:eastAsia="en-US"/>
              </w:rPr>
            </w:r>
            <w:r>
              <w:rPr>
                <w:color w:val="000000"/>
                <w:spacing w:val="1"/>
                <w:highlight w:val="yellow"/>
                <w:lang w:eastAsia="en-US"/>
              </w:rPr>
            </w:r>
            <w:r>
              <w:rPr>
                <w:color w:val="000000"/>
                <w:spacing w:val="1"/>
                <w:highlight w:val="yellow"/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ВБС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125000,0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86465,9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38534,1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0,0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highlight w:val="yellow"/>
                <w:lang w:eastAsia="en-US"/>
              </w:rPr>
            </w:pP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01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highlight w:val="yellow"/>
                <w:lang w:eastAsia="en-US"/>
              </w:rPr>
            </w:pPr>
            <w:r>
              <w:rPr>
                <w:color w:val="000000"/>
                <w:spacing w:val="1"/>
                <w:highlight w:val="yellow"/>
                <w:lang w:eastAsia="en-US"/>
              </w:rPr>
            </w:r>
            <w:r>
              <w:rPr>
                <w:color w:val="000000"/>
                <w:spacing w:val="1"/>
                <w:highlight w:val="yellow"/>
                <w:lang w:eastAsia="en-US"/>
              </w:rPr>
            </w:r>
            <w:r>
              <w:rPr>
                <w:color w:val="000000"/>
                <w:spacing w:val="1"/>
                <w:highlight w:val="yellow"/>
                <w:lang w:eastAsia="en-US"/>
              </w:rPr>
            </w:r>
          </w:p>
        </w:tc>
        <w:tc>
          <w:tcPr>
            <w:shd w:val="clear" w:color="auto" w:fill="auto"/>
            <w:tcW w:w="446" w:type="pct"/>
            <w:textDirection w:val="lrTb"/>
            <w:noWrap w:val="false"/>
          </w:tcPr>
          <w:p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Итого: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342437,0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109697,3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220999,0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11740,7»;</w:t>
            </w:r>
            <w:r>
              <w:rPr>
                <w:b/>
                <w:lang w:eastAsia="en-US"/>
              </w:rPr>
            </w:r>
            <w:r>
              <w:rPr>
                <w:b/>
                <w:lang w:eastAsia="en-US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rPr>
                <w:highlight w:val="yellow"/>
                <w:lang w:eastAsia="en-US"/>
              </w:rPr>
            </w:pP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 xml:space="preserve">строк</w:t>
      </w:r>
      <w:r>
        <w:rPr>
          <w:rFonts w:eastAsia="Times New Roman"/>
          <w:sz w:val="24"/>
          <w:szCs w:val="24"/>
        </w:rPr>
        <w:t xml:space="preserve">у 3.3.1</w:t>
      </w:r>
      <w:r>
        <w:rPr>
          <w:rFonts w:eastAsia="Times New Roman"/>
          <w:sz w:val="24"/>
          <w:szCs w:val="24"/>
        </w:rPr>
        <w:t xml:space="preserve"> таблицы </w:t>
      </w: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 «Перечень мероприятий подпрограммы с </w:t>
      </w:r>
      <w:r>
        <w:rPr>
          <w:rFonts w:eastAsia="Times New Roman"/>
          <w:sz w:val="24"/>
          <w:szCs w:val="24"/>
        </w:rPr>
        <w:t xml:space="preserve">показателями результативности выполнения мероприятий</w:t>
      </w:r>
      <w:r>
        <w:rPr>
          <w:rFonts w:eastAsia="Times New Roman"/>
          <w:sz w:val="24"/>
          <w:szCs w:val="24"/>
        </w:rPr>
        <w:t xml:space="preserve">» к Подпрограмме 3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pPr w:horzAnchor="margin" w:tblpX="108" w:vertAnchor="text" w:tblpY="186" w:leftFromText="180" w:topFromText="0" w:rightFromText="180" w:bottomFromText="0"/>
        <w:tblW w:w="94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709"/>
        <w:gridCol w:w="2268"/>
        <w:gridCol w:w="567"/>
        <w:gridCol w:w="567"/>
        <w:gridCol w:w="567"/>
        <w:gridCol w:w="567"/>
        <w:gridCol w:w="1134"/>
      </w:tblGrid>
      <w:tr>
        <w:tblPrEx/>
        <w:trPr>
          <w:trHeight w:val="550"/>
        </w:trPr>
        <w:tc>
          <w:tcPr>
            <w:shd w:val="clear" w:color="auto" w:fill="auto"/>
            <w:tcW w:w="817" w:type="dxa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«3.3.1.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Разработка проектов организации 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демонтаж</w:t>
            </w:r>
            <w:r>
              <w:rPr>
                <w:lang w:eastAsia="en-US"/>
              </w:rPr>
              <w:t xml:space="preserve">а и демонтаж (</w:t>
            </w:r>
            <w:r>
              <w:rPr>
                <w:lang w:eastAsia="en-US"/>
              </w:rPr>
              <w:t xml:space="preserve">снос</w:t>
            </w:r>
            <w:r>
              <w:rPr>
                <w:lang w:eastAsia="en-US"/>
              </w:rPr>
              <w:t xml:space="preserve">)</w:t>
            </w:r>
            <w:r>
              <w:rPr>
                <w:lang w:eastAsia="en-US"/>
              </w:rPr>
              <w:t xml:space="preserve"> многоквартирных домов, выведенных из состава жилого фонда и непригодных для проживания, в рамках </w:t>
            </w:r>
            <w:r>
              <w:rPr>
                <w:lang w:eastAsia="en-US"/>
              </w:rPr>
              <w:t xml:space="preserve">плана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2024-2026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разработанных проектов организации демонтаж</w:t>
            </w:r>
            <w:r>
              <w:rPr>
                <w:lang w:eastAsia="en-US"/>
              </w:rPr>
              <w:t xml:space="preserve">а</w:t>
            </w:r>
            <w:r>
              <w:rPr>
                <w:lang w:eastAsia="en-US"/>
              </w:rPr>
              <w:t xml:space="preserve"> многоквартирных домов, выведенных из состава жилого фонда и непригодных для проживания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шт.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МБУ «РЭС»</w:t>
            </w:r>
            <w:r>
              <w:rPr>
                <w:lang w:eastAsia="en-US"/>
              </w:rPr>
              <w:t xml:space="preserve">».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rHeight w:val="550"/>
        </w:trPr>
        <w:tc>
          <w:tcPr>
            <w:shd w:val="clear" w:color="auto" w:fill="auto"/>
            <w:tcW w:w="817" w:type="dxa"/>
            <w:vMerge w:val="continue"/>
            <w:textDirection w:val="lrTb"/>
            <w:noWrap w:val="false"/>
          </w:tcPr>
          <w:p>
            <w:pPr>
              <w:jc w:val="center"/>
              <w:rPr>
                <w:highlight w:val="yellow"/>
                <w:lang w:eastAsia="en-US"/>
              </w:rPr>
            </w:pP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highlight w:val="yellow"/>
                <w:lang w:eastAsia="en-US"/>
              </w:rPr>
            </w:pP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highlight w:val="yellow"/>
                <w:lang w:eastAsia="en-US"/>
              </w:rPr>
            </w:pP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  <w:r>
              <w:rPr>
                <w:highlight w:val="yellow"/>
                <w:lang w:eastAsia="en-US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</w:t>
            </w:r>
            <w:r>
              <w:rPr>
                <w:lang w:eastAsia="en-US"/>
              </w:rPr>
              <w:t xml:space="preserve">демонтированных (снесенных)</w:t>
            </w:r>
            <w:r>
              <w:rPr>
                <w:lang w:eastAsia="en-US"/>
              </w:rPr>
              <w:t xml:space="preserve"> многоквартирных домов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шт.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widowControl w:val="off"/>
      </w:pPr>
      <w:r>
        <w:t xml:space="preserve">Лаврущик</w:t>
      </w:r>
      <w:r>
        <w:t xml:space="preserve"> С.С., 5-05-79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7"/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 w:default="1">
    <w:name w:val="Normal"/>
    <w:qFormat/>
    <w:rPr>
      <w:rFonts w:eastAsia="Calibri"/>
    </w:rPr>
  </w:style>
  <w:style w:type="paragraph" w:styleId="674">
    <w:name w:val="Heading 1"/>
    <w:basedOn w:val="673"/>
    <w:next w:val="673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5">
    <w:name w:val="Heading 2"/>
    <w:basedOn w:val="673"/>
    <w:next w:val="673"/>
    <w:link w:val="70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6">
    <w:name w:val="Heading 3"/>
    <w:basedOn w:val="673"/>
    <w:next w:val="673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7">
    <w:name w:val="Heading 4"/>
    <w:basedOn w:val="673"/>
    <w:next w:val="673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673"/>
    <w:next w:val="673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673"/>
    <w:next w:val="673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673"/>
    <w:next w:val="673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673"/>
    <w:next w:val="673"/>
    <w:link w:val="70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673"/>
    <w:next w:val="673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 w:default="1">
    <w:name w:val="Default Paragraph Font"/>
    <w:uiPriority w:val="1"/>
    <w:semiHidden/>
    <w:unhideWhenUsed/>
  </w:style>
  <w:style w:type="table" w:styleId="6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5" w:default="1">
    <w:name w:val="No List"/>
    <w:uiPriority w:val="99"/>
    <w:semiHidden/>
    <w:unhideWhenUsed/>
  </w:style>
  <w:style w:type="character" w:styleId="686" w:customStyle="1">
    <w:name w:val="Heading 1 Char"/>
    <w:basedOn w:val="683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Heading 2 Char"/>
    <w:basedOn w:val="683"/>
    <w:uiPriority w:val="9"/>
    <w:rPr>
      <w:rFonts w:ascii="Arial" w:hAnsi="Arial" w:eastAsia="Arial" w:cs="Arial"/>
      <w:sz w:val="34"/>
    </w:rPr>
  </w:style>
  <w:style w:type="character" w:styleId="688" w:customStyle="1">
    <w:name w:val="Heading 3 Char"/>
    <w:basedOn w:val="683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Heading 4 Char"/>
    <w:basedOn w:val="683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Heading 5 Char"/>
    <w:basedOn w:val="683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Heading 6 Char"/>
    <w:basedOn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Heading 7 Char"/>
    <w:basedOn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Heading 8 Char"/>
    <w:basedOn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Heading 9 Char"/>
    <w:basedOn w:val="683"/>
    <w:uiPriority w:val="9"/>
    <w:rPr>
      <w:rFonts w:ascii="Arial" w:hAnsi="Arial" w:eastAsia="Arial" w:cs="Arial"/>
      <w:i/>
      <w:iCs/>
      <w:sz w:val="21"/>
      <w:szCs w:val="21"/>
    </w:rPr>
  </w:style>
  <w:style w:type="character" w:styleId="695" w:customStyle="1">
    <w:name w:val="Title Char"/>
    <w:basedOn w:val="683"/>
    <w:uiPriority w:val="10"/>
    <w:rPr>
      <w:sz w:val="48"/>
      <w:szCs w:val="48"/>
    </w:rPr>
  </w:style>
  <w:style w:type="character" w:styleId="696" w:customStyle="1">
    <w:name w:val="Subtitle Char"/>
    <w:basedOn w:val="683"/>
    <w:uiPriority w:val="11"/>
    <w:rPr>
      <w:sz w:val="24"/>
      <w:szCs w:val="24"/>
    </w:rPr>
  </w:style>
  <w:style w:type="character" w:styleId="697" w:customStyle="1">
    <w:name w:val="Quote Char"/>
    <w:uiPriority w:val="29"/>
    <w:rPr>
      <w:i/>
    </w:rPr>
  </w:style>
  <w:style w:type="character" w:styleId="698" w:customStyle="1">
    <w:name w:val="Intense Quote Char"/>
    <w:uiPriority w:val="30"/>
    <w:rPr>
      <w:i/>
    </w:rPr>
  </w:style>
  <w:style w:type="character" w:styleId="699" w:customStyle="1">
    <w:name w:val="Footnote Text Char"/>
    <w:uiPriority w:val="99"/>
    <w:rPr>
      <w:sz w:val="18"/>
    </w:rPr>
  </w:style>
  <w:style w:type="character" w:styleId="700" w:customStyle="1">
    <w:name w:val="Endnote Text Char"/>
    <w:uiPriority w:val="99"/>
    <w:rPr>
      <w:sz w:val="20"/>
    </w:rPr>
  </w:style>
  <w:style w:type="character" w:styleId="701" w:customStyle="1">
    <w:name w:val="Заголовок 1 Знак"/>
    <w:basedOn w:val="683"/>
    <w:link w:val="674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83"/>
    <w:link w:val="675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673"/>
    <w:next w:val="673"/>
    <w:link w:val="71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1" w:customStyle="1">
    <w:name w:val="Название Знак"/>
    <w:basedOn w:val="683"/>
    <w:link w:val="710"/>
    <w:uiPriority w:val="10"/>
    <w:rPr>
      <w:sz w:val="48"/>
      <w:szCs w:val="48"/>
    </w:rPr>
  </w:style>
  <w:style w:type="paragraph" w:styleId="712">
    <w:name w:val="Subtitle"/>
    <w:basedOn w:val="673"/>
    <w:next w:val="673"/>
    <w:link w:val="713"/>
    <w:uiPriority w:val="11"/>
    <w:qFormat/>
    <w:pPr>
      <w:spacing w:before="200" w:after="200"/>
    </w:pPr>
    <w:rPr>
      <w:sz w:val="24"/>
      <w:szCs w:val="24"/>
    </w:rPr>
  </w:style>
  <w:style w:type="character" w:styleId="713" w:customStyle="1">
    <w:name w:val="Подзаголовок Знак"/>
    <w:basedOn w:val="683"/>
    <w:link w:val="712"/>
    <w:uiPriority w:val="11"/>
    <w:rPr>
      <w:sz w:val="24"/>
      <w:szCs w:val="24"/>
    </w:rPr>
  </w:style>
  <w:style w:type="paragraph" w:styleId="714">
    <w:name w:val="Quote"/>
    <w:basedOn w:val="673"/>
    <w:next w:val="673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73"/>
    <w:next w:val="673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character" w:styleId="718" w:customStyle="1">
    <w:name w:val="Header Char"/>
    <w:basedOn w:val="683"/>
    <w:uiPriority w:val="99"/>
  </w:style>
  <w:style w:type="character" w:styleId="719" w:customStyle="1">
    <w:name w:val="Footer Char"/>
    <w:basedOn w:val="683"/>
    <w:uiPriority w:val="99"/>
  </w:style>
  <w:style w:type="paragraph" w:styleId="720">
    <w:name w:val="Caption"/>
    <w:basedOn w:val="673"/>
    <w:next w:val="6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 w:customStyle="1">
    <w:name w:val="Caption Char"/>
    <w:uiPriority w:val="99"/>
  </w:style>
  <w:style w:type="table" w:styleId="722" w:customStyle="1">
    <w:name w:val="Table Grid Light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 w:customStyle="1">
    <w:name w:val="Plain Table 1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2"/>
    <w:basedOn w:val="68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3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 w:customStyle="1">
    <w:name w:val="Plain Table 4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Plain Table 5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1 Light"/>
    <w:basedOn w:val="68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2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4"/>
    <w:basedOn w:val="68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8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8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8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8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8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8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 w:customStyle="1">
    <w:name w:val="Grid Table 5 Dark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8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8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8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8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7 Colorful"/>
    <w:basedOn w:val="68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8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8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8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List Table 1 Light"/>
    <w:basedOn w:val="68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8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8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8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8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8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8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2"/>
    <w:basedOn w:val="68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 w:customStyle="1">
    <w:name w:val="List Table 3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5 Dark"/>
    <w:basedOn w:val="68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8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 w:customStyle="1">
    <w:name w:val="List Table 7 Colorful"/>
    <w:basedOn w:val="68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8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8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8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8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8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8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8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8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8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8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8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8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8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8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7">
    <w:name w:val="Hyperlink"/>
    <w:uiPriority w:val="99"/>
    <w:unhideWhenUsed/>
    <w:rPr>
      <w:color w:val="0000ff" w:themeColor="hyperlink"/>
      <w:u w:val="single"/>
    </w:rPr>
  </w:style>
  <w:style w:type="paragraph" w:styleId="848">
    <w:name w:val="footnote text"/>
    <w:basedOn w:val="673"/>
    <w:link w:val="849"/>
    <w:uiPriority w:val="99"/>
    <w:semiHidden/>
    <w:unhideWhenUsed/>
    <w:pPr>
      <w:spacing w:after="40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basedOn w:val="683"/>
    <w:uiPriority w:val="99"/>
    <w:unhideWhenUsed/>
    <w:rPr>
      <w:vertAlign w:val="superscript"/>
    </w:rPr>
  </w:style>
  <w:style w:type="paragraph" w:styleId="851">
    <w:name w:val="endnote text"/>
    <w:basedOn w:val="673"/>
    <w:link w:val="852"/>
    <w:uiPriority w:val="99"/>
    <w:semiHidden/>
    <w:unhideWhenUsed/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basedOn w:val="683"/>
    <w:uiPriority w:val="99"/>
    <w:semiHidden/>
    <w:unhideWhenUsed/>
    <w:rPr>
      <w:vertAlign w:val="superscript"/>
    </w:rPr>
  </w:style>
  <w:style w:type="paragraph" w:styleId="854">
    <w:name w:val="toc 1"/>
    <w:basedOn w:val="673"/>
    <w:next w:val="673"/>
    <w:uiPriority w:val="39"/>
    <w:unhideWhenUsed/>
    <w:pPr>
      <w:spacing w:after="57"/>
    </w:pPr>
  </w:style>
  <w:style w:type="paragraph" w:styleId="855">
    <w:name w:val="toc 2"/>
    <w:basedOn w:val="673"/>
    <w:next w:val="673"/>
    <w:uiPriority w:val="39"/>
    <w:unhideWhenUsed/>
    <w:pPr>
      <w:ind w:left="283"/>
      <w:spacing w:after="57"/>
    </w:pPr>
  </w:style>
  <w:style w:type="paragraph" w:styleId="856">
    <w:name w:val="toc 3"/>
    <w:basedOn w:val="673"/>
    <w:next w:val="673"/>
    <w:uiPriority w:val="39"/>
    <w:unhideWhenUsed/>
    <w:pPr>
      <w:ind w:left="567"/>
      <w:spacing w:after="57"/>
    </w:pPr>
  </w:style>
  <w:style w:type="paragraph" w:styleId="857">
    <w:name w:val="toc 4"/>
    <w:basedOn w:val="673"/>
    <w:next w:val="673"/>
    <w:uiPriority w:val="39"/>
    <w:unhideWhenUsed/>
    <w:pPr>
      <w:ind w:left="850"/>
      <w:spacing w:after="57"/>
    </w:pPr>
  </w:style>
  <w:style w:type="paragraph" w:styleId="858">
    <w:name w:val="toc 5"/>
    <w:basedOn w:val="673"/>
    <w:next w:val="673"/>
    <w:uiPriority w:val="39"/>
    <w:unhideWhenUsed/>
    <w:pPr>
      <w:ind w:left="1134"/>
      <w:spacing w:after="57"/>
    </w:pPr>
  </w:style>
  <w:style w:type="paragraph" w:styleId="859">
    <w:name w:val="toc 6"/>
    <w:basedOn w:val="673"/>
    <w:next w:val="673"/>
    <w:uiPriority w:val="39"/>
    <w:unhideWhenUsed/>
    <w:pPr>
      <w:ind w:left="1417"/>
      <w:spacing w:after="57"/>
    </w:pPr>
  </w:style>
  <w:style w:type="paragraph" w:styleId="860">
    <w:name w:val="toc 7"/>
    <w:basedOn w:val="673"/>
    <w:next w:val="673"/>
    <w:uiPriority w:val="39"/>
    <w:unhideWhenUsed/>
    <w:pPr>
      <w:ind w:left="1701"/>
      <w:spacing w:after="57"/>
    </w:pPr>
  </w:style>
  <w:style w:type="paragraph" w:styleId="861">
    <w:name w:val="toc 8"/>
    <w:basedOn w:val="673"/>
    <w:next w:val="673"/>
    <w:uiPriority w:val="39"/>
    <w:unhideWhenUsed/>
    <w:pPr>
      <w:ind w:left="1984"/>
      <w:spacing w:after="57"/>
    </w:pPr>
  </w:style>
  <w:style w:type="paragraph" w:styleId="862">
    <w:name w:val="toc 9"/>
    <w:basedOn w:val="673"/>
    <w:next w:val="673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73"/>
    <w:next w:val="673"/>
    <w:uiPriority w:val="99"/>
    <w:unhideWhenUsed/>
  </w:style>
  <w:style w:type="paragraph" w:styleId="865">
    <w:name w:val="Normal (Web)"/>
    <w:basedOn w:val="673"/>
    <w:semiHidden/>
    <w:pPr>
      <w:spacing w:before="100" w:beforeAutospacing="1" w:after="100" w:afterAutospacing="1"/>
    </w:pPr>
    <w:rPr>
      <w:sz w:val="24"/>
      <w:szCs w:val="24"/>
    </w:rPr>
  </w:style>
  <w:style w:type="paragraph" w:styleId="866" w:customStyle="1">
    <w:name w:val="Абзац списка1"/>
    <w:basedOn w:val="673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67">
    <w:name w:val="Balloon Text"/>
    <w:basedOn w:val="673"/>
    <w:link w:val="868"/>
    <w:rPr>
      <w:rFonts w:ascii="Calibri" w:hAnsi="Calibri"/>
      <w:sz w:val="16"/>
      <w:szCs w:val="16"/>
    </w:rPr>
  </w:style>
  <w:style w:type="character" w:styleId="868" w:customStyle="1">
    <w:name w:val="Текст выноски Знак"/>
    <w:link w:val="867"/>
    <w:rPr>
      <w:rFonts w:ascii="Calibri" w:hAnsi="Calibri" w:eastAsia="Calibri"/>
      <w:sz w:val="16"/>
      <w:szCs w:val="16"/>
    </w:rPr>
  </w:style>
  <w:style w:type="paragraph" w:styleId="869">
    <w:name w:val="Header"/>
    <w:basedOn w:val="673"/>
    <w:link w:val="870"/>
    <w:pPr>
      <w:tabs>
        <w:tab w:val="center" w:pos="4677" w:leader="none"/>
        <w:tab w:val="right" w:pos="9355" w:leader="none"/>
      </w:tabs>
    </w:pPr>
  </w:style>
  <w:style w:type="character" w:styleId="870" w:customStyle="1">
    <w:name w:val="Верхний колонтитул Знак"/>
    <w:link w:val="869"/>
    <w:rPr>
      <w:rFonts w:eastAsia="Calibri"/>
    </w:rPr>
  </w:style>
  <w:style w:type="paragraph" w:styleId="871">
    <w:name w:val="Footer"/>
    <w:basedOn w:val="673"/>
    <w:link w:val="872"/>
    <w:pPr>
      <w:tabs>
        <w:tab w:val="center" w:pos="4677" w:leader="none"/>
        <w:tab w:val="right" w:pos="9355" w:leader="none"/>
      </w:tabs>
    </w:pPr>
  </w:style>
  <w:style w:type="character" w:styleId="872" w:customStyle="1">
    <w:name w:val="Нижний колонтитул Знак"/>
    <w:link w:val="871"/>
    <w:rPr>
      <w:rFonts w:eastAsia="Calibri"/>
    </w:rPr>
  </w:style>
  <w:style w:type="table" w:styleId="873">
    <w:name w:val="Table Grid"/>
    <w:basedOn w:val="68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4">
    <w:name w:val="List Paragraph"/>
    <w:basedOn w:val="673"/>
    <w:link w:val="878"/>
    <w:uiPriority w:val="99"/>
    <w:qFormat/>
    <w:pPr>
      <w:contextualSpacing/>
      <w:ind w:left="720"/>
    </w:pPr>
  </w:style>
  <w:style w:type="paragraph" w:styleId="875" w:customStyle="1">
    <w:name w:val="Знак Знак2"/>
    <w:basedOn w:val="673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76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877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character" w:styleId="878" w:customStyle="1">
    <w:name w:val="Абзац списка Знак"/>
    <w:link w:val="874"/>
    <w:uiPriority w:val="99"/>
    <w:rPr>
      <w:rFonts w:eastAsia="Calibri"/>
    </w:rPr>
  </w:style>
  <w:style w:type="character" w:styleId="879" w:customStyle="1">
    <w:name w:val="Основной текст_"/>
    <w:link w:val="880"/>
    <w:rPr>
      <w:spacing w:val="-1"/>
      <w:sz w:val="26"/>
      <w:szCs w:val="26"/>
      <w:shd w:val="clear" w:color="auto" w:fill="ffffff"/>
    </w:rPr>
  </w:style>
  <w:style w:type="paragraph" w:styleId="880" w:customStyle="1">
    <w:name w:val="Основной текст2"/>
    <w:basedOn w:val="673"/>
    <w:link w:val="879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paragraph" w:styleId="881">
    <w:name w:val="Body Text 2"/>
    <w:basedOn w:val="673"/>
    <w:link w:val="882"/>
    <w:pPr>
      <w:jc w:val="both"/>
    </w:pPr>
    <w:rPr>
      <w:rFonts w:eastAsia="Times New Roman"/>
      <w:b/>
      <w:bCs/>
      <w:sz w:val="24"/>
      <w:lang w:eastAsia="fi-FI"/>
    </w:rPr>
  </w:style>
  <w:style w:type="character" w:styleId="882" w:customStyle="1">
    <w:name w:val="Основной текст 2 Знак"/>
    <w:basedOn w:val="683"/>
    <w:link w:val="881"/>
    <w:rPr>
      <w:b/>
      <w:bCs/>
      <w:sz w:val="24"/>
      <w:lang w:eastAsia="fi-F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1D0209-46FA-4856-9EC0-6C7E085A6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4</cp:revision>
  <dcterms:created xsi:type="dcterms:W3CDTF">2024-09-17T11:43:00Z</dcterms:created>
  <dcterms:modified xsi:type="dcterms:W3CDTF">2024-10-02T08:06:37Z</dcterms:modified>
</cp:coreProperties>
</file>