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b/>
          <w:color w:val="000000"/>
          <w:sz w:val="28"/>
        </w:rPr>
      </w:pP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3"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2"/>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2" o:title=""/>
              </v:shape>
            </w:pict>
          </mc:Fallback>
        </mc:AlternateContent>
      </w:r>
      <w:r>
        <w:rPr>
          <w:b/>
          <w:color w:val="000000"/>
          <w:sz w:val="28"/>
        </w:rPr>
      </w:r>
      <w:r>
        <w:rPr>
          <w:b/>
          <w:color w:val="000000"/>
          <w:sz w:val="28"/>
        </w:rPr>
      </w:r>
    </w:p>
    <w:p>
      <w:pPr>
        <w:jc w:val="both"/>
        <w:widowControl w:val="off"/>
        <w:rPr>
          <w:b/>
          <w:color w:val="000000"/>
          <w:sz w:val="28"/>
        </w:rPr>
      </w:pPr>
      <w:r/>
      <w:bookmarkStart w:id="0" w:name="_GoBack"/>
      <w:r/>
      <w:bookmarkEnd w:id="0"/>
      <w:r>
        <w:rPr>
          <w:b/>
          <w:color w:val="000000"/>
          <w:sz w:val="28"/>
        </w:rPr>
      </w:r>
      <w:r>
        <w:rPr>
          <w:b/>
          <w:color w:val="000000"/>
          <w:sz w:val="28"/>
        </w:rPr>
      </w:r>
    </w:p>
    <w:p>
      <w:pPr>
        <w:jc w:val="center"/>
        <w:widowControl w:val="off"/>
        <w:rPr>
          <w:b/>
          <w:color w:val="000000"/>
          <w:sz w:val="28"/>
        </w:rPr>
      </w:pPr>
      <w:r>
        <w:rPr>
          <w:b/>
          <w:color w:val="000000"/>
          <w:sz w:val="28"/>
        </w:rPr>
      </w:r>
      <w:r>
        <w:rPr>
          <w:b/>
          <w:color w:val="000000"/>
          <w:sz w:val="28"/>
        </w:rPr>
      </w:r>
      <w:r>
        <w:rPr>
          <w:b/>
          <w:color w:val="000000"/>
          <w:sz w:val="28"/>
        </w:rPr>
      </w:r>
    </w:p>
    <w:p>
      <w:pPr>
        <w:jc w:val="center"/>
        <w:widowControl w:val="off"/>
        <w:rPr>
          <w:b/>
          <w:color w:val="000000"/>
          <w:sz w:val="28"/>
        </w:rPr>
      </w:pPr>
      <w:r>
        <w:rPr>
          <w:b/>
          <w:color w:val="000000"/>
          <w:sz w:val="28"/>
        </w:rPr>
      </w:r>
      <w:r>
        <w:rPr>
          <w:b/>
          <w:color w:val="000000"/>
          <w:sz w:val="28"/>
        </w:rPr>
      </w:r>
      <w:r>
        <w:rPr>
          <w:b/>
          <w:color w:val="000000"/>
          <w:sz w:val="28"/>
        </w:rPr>
      </w:r>
    </w:p>
    <w:p>
      <w:pPr>
        <w:jc w:val="center"/>
        <w:widowControl w:val="off"/>
        <w:rPr>
          <w:b/>
          <w:color w:val="000000"/>
          <w:sz w:val="28"/>
        </w:rPr>
      </w:pPr>
      <w:r>
        <w:rPr>
          <w:b/>
          <w:color w:val="000000"/>
          <w:sz w:val="28"/>
        </w:rPr>
      </w:r>
      <w:r>
        <w:rPr>
          <w:b/>
          <w:color w:val="000000"/>
          <w:sz w:val="28"/>
        </w:rPr>
      </w:r>
      <w:r>
        <w:rPr>
          <w:b/>
          <w:color w:val="000000"/>
          <w:sz w:val="28"/>
        </w:rPr>
      </w:r>
    </w:p>
    <w:p>
      <w:pPr>
        <w:jc w:val="center"/>
        <w:widowControl w:val="off"/>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widowControl w:val="off"/>
        <w:rPr>
          <w:b/>
          <w:color w:val="000000"/>
          <w:sz w:val="28"/>
        </w:rPr>
      </w:pPr>
      <w:r>
        <w:rPr>
          <w:b/>
          <w:color w:val="000000"/>
          <w:sz w:val="28"/>
        </w:rPr>
        <w:t xml:space="preserve">ПЕЧЕНГСКОГО МУНИЦИПАЛЬНОГО ОКРУГА</w:t>
      </w:r>
      <w:r>
        <w:rPr>
          <w:b/>
          <w:color w:val="000000"/>
          <w:sz w:val="28"/>
        </w:rPr>
      </w:r>
      <w:r>
        <w:rPr>
          <w:b/>
          <w:color w:val="000000"/>
          <w:sz w:val="28"/>
        </w:rPr>
      </w:r>
    </w:p>
    <w:p>
      <w:pPr>
        <w:jc w:val="center"/>
        <w:widowControl w:val="off"/>
        <w:rPr>
          <w:b/>
          <w:color w:val="000000"/>
          <w:sz w:val="28"/>
        </w:rPr>
      </w:pPr>
      <w:r>
        <w:rPr>
          <w:b/>
          <w:color w:val="000000"/>
          <w:sz w:val="28"/>
        </w:rPr>
        <w:t xml:space="preserve">МУРМАНСКОЙ ОБЛАСТИ</w:t>
      </w:r>
      <w:r>
        <w:rPr>
          <w:b/>
          <w:color w:val="000000"/>
          <w:sz w:val="28"/>
        </w:rPr>
      </w:r>
      <w:r>
        <w:rPr>
          <w:b/>
          <w:color w:val="000000"/>
          <w:sz w:val="28"/>
        </w:rPr>
      </w:r>
    </w:p>
    <w:p>
      <w:pPr>
        <w:jc w:val="center"/>
        <w:widowControl w:val="off"/>
        <w:rPr>
          <w:b/>
          <w:color w:val="000000"/>
          <w:sz w:val="16"/>
          <w:szCs w:val="16"/>
        </w:rPr>
      </w:pPr>
      <w:r>
        <w:rPr>
          <w:b/>
          <w:color w:val="000000"/>
          <w:sz w:val="16"/>
          <w:szCs w:val="16"/>
        </w:rPr>
      </w:r>
      <w:r>
        <w:rPr>
          <w:b/>
          <w:color w:val="000000"/>
          <w:sz w:val="16"/>
          <w:szCs w:val="16"/>
        </w:rPr>
      </w:r>
      <w:r>
        <w:rPr>
          <w:b/>
          <w:color w:val="000000"/>
          <w:sz w:val="16"/>
          <w:szCs w:val="16"/>
        </w:rPr>
      </w:r>
    </w:p>
    <w:p>
      <w:pPr>
        <w:jc w:val="center"/>
        <w:widowControl w:val="off"/>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widowControl w:val="off"/>
        <w:rPr>
          <w:color w:val="000000"/>
        </w:rPr>
      </w:pPr>
      <w:r>
        <w:rPr>
          <w:color w:val="000000"/>
        </w:rPr>
      </w:r>
      <w:r>
        <w:rPr>
          <w:color w:val="000000"/>
        </w:rPr>
      </w:r>
      <w:r>
        <w:rPr>
          <w:color w:val="000000"/>
        </w:rPr>
      </w:r>
    </w:p>
    <w:p>
      <w:pPr>
        <w:jc w:val="left"/>
        <w:widowControl w:val="off"/>
        <w:tabs>
          <w:tab w:val="left" w:pos="5786" w:leader="none"/>
        </w:tabs>
        <w:rPr>
          <w:color w:val="000000"/>
        </w:rPr>
      </w:pPr>
      <w:r>
        <w:rPr>
          <w:color w:val="000000"/>
        </w:rPr>
      </w:r>
      <w:r>
        <w:rPr>
          <w:color w:val="000000"/>
        </w:rPr>
        <w:tab/>
      </w:r>
      <w:r>
        <w:rPr>
          <w:color w:val="000000"/>
        </w:rPr>
      </w:r>
      <w:r>
        <w:rPr>
          <w:color w:val="000000"/>
        </w:rPr>
      </w:r>
    </w:p>
    <w:p>
      <w:pPr>
        <w:jc w:val="both"/>
        <w:widowControl w:val="off"/>
        <w:rPr>
          <w:b/>
          <w:color w:val="000000"/>
          <w:sz w:val="24"/>
        </w:rPr>
      </w:pPr>
      <w:r>
        <w:rPr>
          <w:b/>
          <w:color w:val="000000"/>
          <w:sz w:val="24"/>
        </w:rPr>
        <w:t xml:space="preserve">от</w:t>
      </w:r>
      <w:r>
        <w:rPr>
          <w:b/>
          <w:color w:val="000000"/>
          <w:sz w:val="24"/>
          <w:lang w:val="en-US"/>
        </w:rPr>
        <w:t xml:space="preserve"> 23</w:t>
      </w:r>
      <w:r>
        <w:rPr>
          <w:b/>
          <w:color w:val="000000"/>
          <w:sz w:val="24"/>
          <w:lang w:val="ru-RU"/>
        </w:rPr>
        <w:t xml:space="preserve">.</w:t>
      </w:r>
      <w:r>
        <w:rPr>
          <w:b/>
          <w:color w:val="000000"/>
          <w:sz w:val="24"/>
          <w:lang w:val="en-US"/>
        </w:rPr>
        <w:t xml:space="preserve">09</w:t>
      </w:r>
      <w:r>
        <w:rPr>
          <w:b/>
          <w:color w:val="000000"/>
          <w:sz w:val="24"/>
          <w:lang w:val="ru-RU"/>
        </w:rPr>
        <w:t xml:space="preserve">.</w:t>
      </w:r>
      <w:r>
        <w:rPr>
          <w:b/>
          <w:color w:val="000000"/>
          <w:sz w:val="24"/>
          <w:lang w:val="en-US"/>
        </w:rPr>
        <w:t xml:space="preserve">2024 </w:t>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 xml:space="preserve"> № 1442</w:t>
      </w:r>
      <w:r>
        <w:rPr>
          <w:b/>
          <w:color w:val="000000"/>
          <w:sz w:val="24"/>
        </w:rPr>
      </w:r>
      <w:r>
        <w:rPr>
          <w:b/>
          <w:color w:val="000000"/>
          <w:sz w:val="24"/>
        </w:rPr>
      </w:r>
    </w:p>
    <w:p>
      <w:pPr>
        <w:jc w:val="center"/>
        <w:widowControl w:val="off"/>
        <w:rPr>
          <w:b/>
          <w:color w:val="000000"/>
          <w:sz w:val="28"/>
        </w:rPr>
      </w:pPr>
      <w:r>
        <w:rPr>
          <w:b/>
          <w:color w:val="000000"/>
          <w:sz w:val="24"/>
        </w:rPr>
        <w:t xml:space="preserve">п.г.т. Никель</w:t>
      </w:r>
      <w:r>
        <w:rPr>
          <w:b/>
          <w:color w:val="000000"/>
          <w:sz w:val="28"/>
        </w:rPr>
      </w:r>
      <w:r>
        <w:rPr>
          <w:b/>
          <w:color w:val="000000"/>
          <w:sz w:val="28"/>
        </w:rPr>
      </w:r>
    </w:p>
    <w:p>
      <w:pPr>
        <w:jc w:val="center"/>
        <w:tabs>
          <w:tab w:val="left" w:pos="0" w:leader="none"/>
        </w:tabs>
        <w:rPr>
          <w:b/>
          <w:sz w:val="24"/>
          <w:szCs w:val="44"/>
        </w:rPr>
      </w:pPr>
      <w:r>
        <w:rPr>
          <w:b/>
          <w:sz w:val="24"/>
          <w:szCs w:val="44"/>
        </w:rPr>
      </w:r>
      <w:r>
        <w:rPr>
          <w:b/>
          <w:sz w:val="24"/>
          <w:szCs w:val="44"/>
        </w:rPr>
      </w:r>
      <w:r>
        <w:rPr>
          <w:b/>
          <w:sz w:val="24"/>
          <w:szCs w:val="44"/>
        </w:rPr>
      </w:r>
    </w:p>
    <w:p>
      <w:pPr>
        <w:jc w:val="center"/>
        <w:tabs>
          <w:tab w:val="left" w:pos="0" w:leader="none"/>
        </w:tabs>
        <w:rPr>
          <w:b/>
          <w:sz w:val="24"/>
          <w:szCs w:val="44"/>
        </w:rPr>
      </w:pPr>
      <w:r>
        <w:rPr>
          <w:b/>
          <w:sz w:val="24"/>
          <w:szCs w:val="44"/>
        </w:rPr>
      </w:r>
      <w:r>
        <w:rPr>
          <w:b/>
          <w:sz w:val="24"/>
          <w:szCs w:val="44"/>
        </w:rPr>
      </w:r>
      <w:r>
        <w:rPr>
          <w:b/>
          <w:sz w:val="24"/>
          <w:szCs w:val="44"/>
        </w:rPr>
      </w:r>
    </w:p>
    <w:p>
      <w:pPr>
        <w:jc w:val="center"/>
        <w:tabs>
          <w:tab w:val="left" w:pos="3150" w:leader="none"/>
        </w:tabs>
        <w:rPr>
          <w:b/>
          <w:bCs/>
        </w:rPr>
      </w:pPr>
      <w:r>
        <w:rPr>
          <w:b/>
          <w:szCs w:val="26"/>
        </w:rPr>
        <w:t xml:space="preserve">О </w:t>
      </w:r>
      <w:r>
        <w:rPr>
          <w:b/>
          <w:szCs w:val="26"/>
        </w:rPr>
        <w:t xml:space="preserve">заключении концессионного соглашения в отношении объектов</w:t>
      </w:r>
      <w:r>
        <w:rPr>
          <w:b/>
          <w:szCs w:val="26"/>
        </w:rPr>
        <w:t xml:space="preserve"> по производству,</w:t>
      </w:r>
      <w:r>
        <w:rPr>
          <w:b/>
          <w:szCs w:val="26"/>
        </w:rPr>
      </w:r>
      <w:r>
        <w:rPr>
          <w:b/>
          <w:bCs/>
        </w:rPr>
      </w:r>
    </w:p>
    <w:p>
      <w:pPr>
        <w:jc w:val="center"/>
        <w:tabs>
          <w:tab w:val="left" w:pos="3150" w:leader="none"/>
        </w:tabs>
        <w:rPr>
          <w:b/>
          <w:bCs/>
        </w:rPr>
      </w:pPr>
      <w:r>
        <w:rPr>
          <w:b/>
          <w:szCs w:val="26"/>
        </w:rPr>
        <w:t xml:space="preserve"> передаче и распределению тепловой энергии и горячей воды, </w:t>
      </w:r>
      <w:r>
        <w:rPr>
          <w:b/>
          <w:szCs w:val="26"/>
        </w:rPr>
        <w:t xml:space="preserve">находящихся</w:t>
      </w:r>
      <w:r>
        <w:rPr>
          <w:b/>
          <w:bCs/>
        </w:rPr>
      </w:r>
      <w:r>
        <w:rPr>
          <w:b/>
          <w:bCs/>
        </w:rPr>
      </w:r>
    </w:p>
    <w:p>
      <w:pPr>
        <w:jc w:val="center"/>
        <w:tabs>
          <w:tab w:val="left" w:pos="3150" w:leader="none"/>
        </w:tabs>
        <w:rPr>
          <w:b/>
          <w:bCs/>
        </w:rPr>
      </w:pPr>
      <w:r>
        <w:rPr>
          <w:b/>
          <w:szCs w:val="26"/>
        </w:rPr>
        <w:t xml:space="preserve"> в муниципальной собственности</w:t>
      </w:r>
      <w:r>
        <w:rPr>
          <w:b/>
          <w:szCs w:val="26"/>
        </w:rPr>
        <w:t xml:space="preserve">,</w:t>
      </w:r>
      <w:r>
        <w:t xml:space="preserve"> </w:t>
      </w:r>
      <w:r>
        <w:rPr>
          <w:b/>
          <w:szCs w:val="26"/>
        </w:rPr>
        <w:t xml:space="preserve">без проведения конкурса</w:t>
      </w:r>
      <w:r>
        <w:rPr>
          <w:b/>
          <w:bCs/>
        </w:rPr>
      </w:r>
      <w:r>
        <w:rPr>
          <w:b/>
          <w:bCs/>
        </w:rPr>
      </w:r>
    </w:p>
    <w:p>
      <w:pPr>
        <w:jc w:val="both"/>
        <w:tabs>
          <w:tab w:val="left" w:pos="840" w:leader="none"/>
          <w:tab w:val="left" w:pos="2520" w:leader="none"/>
        </w:tabs>
        <w:rPr>
          <w:color w:val="ff0000"/>
          <w:sz w:val="24"/>
          <w:szCs w:val="24"/>
        </w:rPr>
      </w:pPr>
      <w:r>
        <w:rPr>
          <w:color w:val="ff0000"/>
          <w:sz w:val="24"/>
          <w:szCs w:val="24"/>
        </w:rPr>
      </w:r>
      <w:r>
        <w:rPr>
          <w:color w:val="ff0000"/>
          <w:sz w:val="24"/>
          <w:szCs w:val="24"/>
        </w:rPr>
      </w:r>
      <w:r>
        <w:rPr>
          <w:color w:val="ff0000"/>
          <w:sz w:val="24"/>
          <w:szCs w:val="24"/>
        </w:rPr>
      </w:r>
    </w:p>
    <w:p>
      <w:pPr>
        <w:jc w:val="both"/>
        <w:tabs>
          <w:tab w:val="left" w:pos="840" w:leader="none"/>
          <w:tab w:val="left" w:pos="2520" w:leader="none"/>
        </w:tabs>
        <w:rPr>
          <w:color w:val="ff0000"/>
          <w:sz w:val="24"/>
          <w:szCs w:val="24"/>
        </w:rPr>
      </w:pPr>
      <w:r>
        <w:rPr>
          <w:color w:val="ff0000"/>
          <w:sz w:val="24"/>
          <w:szCs w:val="24"/>
        </w:rPr>
      </w:r>
      <w:r>
        <w:rPr>
          <w:color w:val="ff0000"/>
          <w:sz w:val="24"/>
          <w:szCs w:val="24"/>
        </w:rPr>
      </w:r>
      <w:r>
        <w:rPr>
          <w:color w:val="ff0000"/>
          <w:sz w:val="24"/>
          <w:szCs w:val="24"/>
        </w:rPr>
      </w:r>
    </w:p>
    <w:p>
      <w:pPr>
        <w:ind w:firstLine="709"/>
        <w:jc w:val="both"/>
        <w:tabs>
          <w:tab w:val="left" w:pos="709" w:leader="none"/>
        </w:tabs>
        <w:rPr>
          <w:sz w:val="24"/>
          <w:szCs w:val="24"/>
        </w:rPr>
      </w:pPr>
      <w:r>
        <w:rPr>
          <w:sz w:val="24"/>
          <w:szCs w:val="24"/>
        </w:rPr>
        <w:t xml:space="preserve">Руководствуясь Федеральными законами от 06.10.2003 № 131-ФЗ «Об общих принципах организации местного самоуправления в Российской Федерации», </w:t>
      </w:r>
      <w:r>
        <w:rPr>
          <w:sz w:val="24"/>
          <w:szCs w:val="24"/>
        </w:rPr>
        <w:br/>
        <w:t xml:space="preserve">от 21.07.2005 № </w:t>
      </w:r>
      <w:r>
        <w:rPr>
          <w:sz w:val="24"/>
          <w:szCs w:val="24"/>
        </w:rPr>
        <w:t xml:space="preserve">115-ФЗ «О концессионных соглашениях»,</w:t>
      </w:r>
      <w:r>
        <w:rPr>
          <w:sz w:val="24"/>
          <w:szCs w:val="24"/>
        </w:rPr>
        <w:t xml:space="preserve"> постано</w:t>
      </w:r>
      <w:r>
        <w:rPr>
          <w:sz w:val="24"/>
          <w:szCs w:val="24"/>
        </w:rPr>
        <w:t xml:space="preserve">влением Правительства Мурманской области от 24.05.2017 № 265-ПП «О мерах по реализации отдельных положений Федерального закона от 21.07.2005 № 115-ФЗ «О концессионных соглашениях» на территории Мурманской области», на основании протокола заседания рабочей </w:t>
      </w:r>
      <w:r>
        <w:rPr>
          <w:sz w:val="24"/>
          <w:szCs w:val="24"/>
        </w:rPr>
        <w:t xml:space="preserve">группы </w:t>
      </w:r>
      <w:r>
        <w:rPr>
          <w:sz w:val="24"/>
          <w:szCs w:val="24"/>
        </w:rPr>
        <w:t xml:space="preserve">по рассмотрению заявок о готовности к участию в конкурсе на заключение концессионного соглашения на условиях, предусмотренных измененным предложением о заключении концессионного соглашен</w:t>
      </w:r>
      <w:r>
        <w:rPr>
          <w:sz w:val="24"/>
          <w:szCs w:val="24"/>
        </w:rPr>
        <w:t xml:space="preserve">ия и измененным проектом концессионного соглашения ООО «ПромВоенСтрой» в отношении объектов по производству, передаче и распределению тепловой энергии и горячей воды, находящихся в собственности Печенгского муниципального округа, от иных лиц, от 17.09.2024</w:t>
      </w:r>
      <w:r>
        <w:rPr>
          <w:sz w:val="24"/>
          <w:szCs w:val="24"/>
        </w:rPr>
        <w:t xml:space="preserve">, </w:t>
      </w:r>
      <w:r>
        <w:rPr>
          <w:sz w:val="24"/>
          <w:szCs w:val="24"/>
        </w:rPr>
      </w:r>
      <w:r>
        <w:rPr>
          <w:sz w:val="24"/>
          <w:szCs w:val="24"/>
        </w:rPr>
      </w:r>
    </w:p>
    <w:p>
      <w:pPr>
        <w:jc w:val="both"/>
        <w:tabs>
          <w:tab w:val="left" w:pos="2520" w:leader="none"/>
        </w:tabs>
        <w:rPr>
          <w:b/>
          <w:bCs/>
          <w:sz w:val="24"/>
          <w:szCs w:val="24"/>
        </w:rPr>
      </w:pPr>
      <w:r>
        <w:rPr>
          <w:b/>
          <w:bCs/>
          <w:sz w:val="24"/>
          <w:szCs w:val="24"/>
        </w:rPr>
      </w:r>
      <w:r>
        <w:rPr>
          <w:b/>
          <w:bCs/>
          <w:sz w:val="24"/>
          <w:szCs w:val="24"/>
        </w:rPr>
      </w:r>
      <w:r>
        <w:rPr>
          <w:b/>
          <w:bCs/>
          <w:sz w:val="24"/>
          <w:szCs w:val="24"/>
        </w:rPr>
      </w:r>
    </w:p>
    <w:p>
      <w:pPr>
        <w:jc w:val="both"/>
        <w:tabs>
          <w:tab w:val="left" w:pos="2520" w:leader="none"/>
        </w:tabs>
        <w:rPr>
          <w:b/>
          <w:bCs/>
          <w:sz w:val="24"/>
          <w:szCs w:val="24"/>
        </w:rPr>
      </w:pPr>
      <w:r>
        <w:rPr>
          <w:b/>
          <w:bCs/>
          <w:sz w:val="24"/>
          <w:szCs w:val="24"/>
        </w:rPr>
        <w:t xml:space="preserve">ПОСТАНОВЛЯЮ:</w:t>
      </w:r>
      <w:r>
        <w:rPr>
          <w:b/>
          <w:bCs/>
          <w:sz w:val="24"/>
          <w:szCs w:val="24"/>
        </w:rPr>
      </w:r>
      <w:r>
        <w:rPr>
          <w:b/>
          <w:bCs/>
          <w:sz w:val="24"/>
          <w:szCs w:val="24"/>
        </w:rPr>
      </w:r>
    </w:p>
    <w:p>
      <w:pPr>
        <w:jc w:val="both"/>
        <w:tabs>
          <w:tab w:val="left" w:pos="2520" w:leader="none"/>
        </w:tabs>
        <w:rPr>
          <w:b/>
          <w:bCs/>
          <w:sz w:val="24"/>
          <w:szCs w:val="24"/>
        </w:rPr>
      </w:pPr>
      <w:r>
        <w:rPr>
          <w:b/>
          <w:bCs/>
          <w:sz w:val="24"/>
          <w:szCs w:val="24"/>
        </w:rPr>
      </w:r>
      <w:r>
        <w:rPr>
          <w:b/>
          <w:bCs/>
          <w:sz w:val="24"/>
          <w:szCs w:val="24"/>
        </w:rPr>
      </w:r>
      <w:r>
        <w:rPr>
          <w:b/>
          <w:bCs/>
          <w:sz w:val="24"/>
          <w:szCs w:val="24"/>
        </w:rPr>
      </w:r>
    </w:p>
    <w:p>
      <w:pPr>
        <w:ind w:firstLine="709"/>
        <w:jc w:val="both"/>
        <w:tabs>
          <w:tab w:val="left" w:pos="709" w:leader="none"/>
        </w:tabs>
        <w:rPr>
          <w:sz w:val="24"/>
          <w:szCs w:val="24"/>
        </w:rPr>
      </w:pPr>
      <w:r>
        <w:rPr>
          <w:sz w:val="24"/>
          <w:szCs w:val="24"/>
        </w:rPr>
        <w:t xml:space="preserve">1. Заключить концессионное соглашение в отношении объектов по производству, передаче и распределению тепловой энергии и горячей воды,</w:t>
      </w:r>
      <w:r>
        <w:rPr>
          <w:sz w:val="24"/>
          <w:szCs w:val="24"/>
        </w:rPr>
        <w:t xml:space="preserve"> находящихся в </w:t>
      </w:r>
      <w:r>
        <w:rPr>
          <w:sz w:val="24"/>
          <w:szCs w:val="24"/>
        </w:rPr>
        <w:t xml:space="preserve">муниципальной </w:t>
      </w:r>
      <w:r>
        <w:rPr>
          <w:sz w:val="24"/>
          <w:szCs w:val="24"/>
        </w:rPr>
        <w:t xml:space="preserve">собственности </w:t>
      </w:r>
      <w:r>
        <w:rPr>
          <w:sz w:val="24"/>
          <w:szCs w:val="24"/>
        </w:rPr>
        <w:t xml:space="preserve">Печенгского муниципального округа Мурманской области</w:t>
      </w:r>
      <w:r>
        <w:rPr>
          <w:sz w:val="24"/>
          <w:szCs w:val="24"/>
        </w:rPr>
        <w:t xml:space="preserve"> </w:t>
      </w:r>
      <w:r>
        <w:rPr>
          <w:sz w:val="24"/>
          <w:szCs w:val="24"/>
        </w:rPr>
        <w:t xml:space="preserve">(далее – Концессионное соглашение) с ООО «ПромВоенСтрой» (далее – Концессионер), согласно приложению к настоящему постановлению, на условиях, представленных</w:t>
      </w:r>
      <w:r>
        <w:rPr>
          <w:sz w:val="24"/>
          <w:szCs w:val="24"/>
        </w:rPr>
        <w:t xml:space="preserve"> предложением о заключении Концессионного соглашения и проектом Концессионного соглашения</w:t>
      </w:r>
      <w:r>
        <w:rPr>
          <w:sz w:val="24"/>
          <w:szCs w:val="24"/>
        </w:rPr>
        <w:t xml:space="preserve"> </w:t>
      </w:r>
      <w:r>
        <w:rPr>
          <w:sz w:val="24"/>
          <w:szCs w:val="24"/>
        </w:rPr>
        <w:t xml:space="preserve">с внесенными изменениями, </w:t>
      </w:r>
      <w:r>
        <w:rPr>
          <w:sz w:val="24"/>
          <w:szCs w:val="24"/>
        </w:rPr>
        <w:t xml:space="preserve">без проведения конкурса.</w:t>
      </w:r>
      <w:r>
        <w:rPr>
          <w:sz w:val="24"/>
          <w:szCs w:val="24"/>
        </w:rPr>
      </w:r>
      <w:r>
        <w:rPr>
          <w:sz w:val="24"/>
          <w:szCs w:val="24"/>
        </w:rPr>
      </w:r>
    </w:p>
    <w:p>
      <w:pPr>
        <w:ind w:firstLine="709"/>
        <w:jc w:val="both"/>
        <w:tabs>
          <w:tab w:val="left" w:pos="709" w:leader="none"/>
        </w:tabs>
        <w:rPr>
          <w:sz w:val="24"/>
          <w:szCs w:val="24"/>
        </w:rPr>
      </w:pPr>
      <w:r>
        <w:rPr>
          <w:sz w:val="24"/>
          <w:szCs w:val="24"/>
        </w:rPr>
        <w:t xml:space="preserve">2. Установить, что Концессионер на дату заключения Концессионного соглашения должен соответствовать требованиям, предъявляемым к концессионеру на основании части 4.11 статьи 37 Федерального закона от 21.07.2005 № 115-ФЗ «О концессионных соглашениях».</w:t>
      </w:r>
      <w:r>
        <w:rPr>
          <w:sz w:val="24"/>
          <w:szCs w:val="24"/>
        </w:rPr>
      </w:r>
      <w:r>
        <w:rPr>
          <w:sz w:val="24"/>
          <w:szCs w:val="24"/>
        </w:rPr>
      </w:r>
    </w:p>
    <w:p>
      <w:pPr>
        <w:ind w:firstLine="709"/>
        <w:jc w:val="both"/>
        <w:tabs>
          <w:tab w:val="left" w:pos="709" w:leader="none"/>
        </w:tabs>
        <w:rPr>
          <w:sz w:val="24"/>
          <w:szCs w:val="24"/>
        </w:rPr>
      </w:pPr>
      <w:r>
        <w:rPr>
          <w:sz w:val="24"/>
          <w:szCs w:val="24"/>
        </w:rPr>
        <w:t xml:space="preserve">3. Отделу строительства и жилищно-коммунального хозяйства администрации Печенгского муниципального округа:</w:t>
      </w:r>
      <w:r>
        <w:rPr>
          <w:sz w:val="24"/>
          <w:szCs w:val="24"/>
        </w:rPr>
      </w:r>
      <w:r>
        <w:rPr>
          <w:sz w:val="24"/>
          <w:szCs w:val="24"/>
        </w:rPr>
      </w:r>
    </w:p>
    <w:p>
      <w:pPr>
        <w:ind w:firstLine="709"/>
        <w:jc w:val="both"/>
        <w:tabs>
          <w:tab w:val="left" w:pos="709" w:leader="none"/>
        </w:tabs>
        <w:rPr>
          <w:sz w:val="24"/>
          <w:szCs w:val="24"/>
        </w:rPr>
      </w:pPr>
      <w:r>
        <w:rPr>
          <w:sz w:val="24"/>
          <w:szCs w:val="24"/>
        </w:rPr>
        <w:t xml:space="preserve">3.1. направить Концессионеру проект Концессионного соглашения в течение пяти рабочих дней со дня подписания настоящего постановления;</w:t>
      </w:r>
      <w:r>
        <w:rPr>
          <w:sz w:val="24"/>
          <w:szCs w:val="24"/>
        </w:rPr>
      </w:r>
      <w:r>
        <w:rPr>
          <w:sz w:val="24"/>
          <w:szCs w:val="24"/>
        </w:rPr>
      </w:r>
    </w:p>
    <w:p>
      <w:pPr>
        <w:ind w:firstLine="709"/>
        <w:jc w:val="both"/>
        <w:tabs>
          <w:tab w:val="left" w:pos="709" w:leader="none"/>
        </w:tabs>
        <w:rPr>
          <w:sz w:val="24"/>
          <w:szCs w:val="24"/>
        </w:rPr>
      </w:pPr>
      <w:r>
        <w:rPr>
          <w:sz w:val="24"/>
          <w:szCs w:val="24"/>
        </w:rPr>
        <w:t xml:space="preserve">3.2. установить срок для подписания Концессионного соглашения – до </w:t>
      </w:r>
      <w:r>
        <w:rPr>
          <w:sz w:val="24"/>
          <w:szCs w:val="24"/>
        </w:rPr>
        <w:t xml:space="preserve">17.10.2024 </w:t>
      </w:r>
      <w:r>
        <w:rPr>
          <w:sz w:val="24"/>
          <w:szCs w:val="24"/>
        </w:rPr>
        <w:t xml:space="preserve">г.</w:t>
      </w:r>
      <w:r>
        <w:rPr>
          <w:sz w:val="24"/>
          <w:szCs w:val="24"/>
        </w:rPr>
        <w:t xml:space="preserve"> </w:t>
      </w:r>
      <w:r>
        <w:rPr>
          <w:sz w:val="24"/>
          <w:szCs w:val="24"/>
        </w:rPr>
      </w:r>
      <w:r>
        <w:rPr>
          <w:sz w:val="24"/>
          <w:szCs w:val="24"/>
        </w:rPr>
      </w:r>
    </w:p>
    <w:p>
      <w:pPr>
        <w:ind w:firstLine="709"/>
        <w:jc w:val="both"/>
        <w:tabs>
          <w:tab w:val="left" w:pos="709" w:leader="none"/>
        </w:tabs>
        <w:rPr>
          <w:sz w:val="24"/>
          <w:szCs w:val="24"/>
        </w:rPr>
      </w:pPr>
      <w:r>
        <w:rPr>
          <w:sz w:val="24"/>
          <w:szCs w:val="24"/>
        </w:rPr>
        <w:t xml:space="preserve">4</w:t>
      </w:r>
      <w:r>
        <w:rPr>
          <w:sz w:val="24"/>
          <w:szCs w:val="24"/>
        </w:rPr>
        <w:t xml:space="preserve">. </w:t>
      </w:r>
      <w:r>
        <w:rPr>
          <w:sz w:val="24"/>
          <w:szCs w:val="24"/>
        </w:rPr>
        <w:t xml:space="preserve">Настоящее постановление подлежит размещению на </w:t>
      </w:r>
      <w:r>
        <w:rPr>
          <w:sz w:val="24"/>
          <w:szCs w:val="24"/>
        </w:rPr>
        <w:t xml:space="preserve">официальном </w:t>
      </w:r>
      <w:r>
        <w:rPr>
          <w:sz w:val="24"/>
          <w:szCs w:val="24"/>
        </w:rPr>
        <w:t xml:space="preserve">сайте Печенгского муниципального округа </w:t>
      </w:r>
      <w:r>
        <w:rPr>
          <w:sz w:val="24"/>
          <w:szCs w:val="24"/>
        </w:rPr>
        <w:t xml:space="preserve">(</w:t>
      </w:r>
      <w:r>
        <w:rPr>
          <w:sz w:val="24"/>
          <w:szCs w:val="24"/>
        </w:rPr>
        <w:t xml:space="preserve">https://pechengamr.gov-murman.ru/</w:t>
      </w:r>
      <w:r>
        <w:rPr>
          <w:sz w:val="24"/>
          <w:szCs w:val="24"/>
        </w:rPr>
        <w:t xml:space="preserve">)</w:t>
      </w:r>
      <w:r>
        <w:rPr>
          <w:sz w:val="24"/>
          <w:szCs w:val="24"/>
        </w:rPr>
        <w:t xml:space="preserve">.</w:t>
      </w:r>
      <w:r>
        <w:rPr>
          <w:sz w:val="24"/>
          <w:szCs w:val="24"/>
        </w:rPr>
      </w:r>
      <w:r>
        <w:rPr>
          <w:sz w:val="24"/>
          <w:szCs w:val="24"/>
        </w:rPr>
      </w:r>
    </w:p>
    <w:p>
      <w:pPr>
        <w:ind w:firstLine="709"/>
        <w:jc w:val="both"/>
        <w:tabs>
          <w:tab w:val="left" w:pos="709" w:leader="none"/>
        </w:tabs>
        <w:rPr>
          <w:sz w:val="24"/>
          <w:szCs w:val="24"/>
        </w:rPr>
      </w:pPr>
      <w:r>
        <w:rPr>
          <w:sz w:val="24"/>
          <w:szCs w:val="24"/>
        </w:rPr>
        <w:t xml:space="preserve">5</w:t>
      </w:r>
      <w:r>
        <w:rPr>
          <w:sz w:val="24"/>
          <w:szCs w:val="24"/>
        </w:rPr>
        <w:t xml:space="preserve">. Настоящее постановление вступает в силу </w:t>
      </w:r>
      <w:r>
        <w:rPr>
          <w:sz w:val="24"/>
          <w:szCs w:val="24"/>
        </w:rPr>
        <w:t xml:space="preserve">после его</w:t>
      </w:r>
      <w:r>
        <w:rPr>
          <w:sz w:val="24"/>
          <w:szCs w:val="24"/>
        </w:rPr>
        <w:t xml:space="preserve"> подписания.</w:t>
      </w:r>
      <w:r>
        <w:rPr>
          <w:sz w:val="24"/>
          <w:szCs w:val="24"/>
        </w:rPr>
      </w:r>
      <w:r>
        <w:rPr>
          <w:sz w:val="24"/>
          <w:szCs w:val="24"/>
        </w:rPr>
      </w:r>
    </w:p>
    <w:p>
      <w:pPr>
        <w:ind w:firstLine="709"/>
        <w:jc w:val="both"/>
        <w:tabs>
          <w:tab w:val="left" w:pos="709" w:leader="none"/>
        </w:tabs>
        <w:rPr>
          <w:sz w:val="24"/>
          <w:szCs w:val="24"/>
        </w:rPr>
      </w:pPr>
      <w:r>
        <w:rPr>
          <w:sz w:val="24"/>
          <w:szCs w:val="24"/>
        </w:rPr>
        <w:t xml:space="preserve">6</w:t>
      </w:r>
      <w:r>
        <w:rPr>
          <w:sz w:val="24"/>
          <w:szCs w:val="24"/>
        </w:rPr>
        <w:t xml:space="preserve">. Контроль за исполнением настоящего постановления возложить на заместителя Главы Печенгского муниципального округа Пономарева А.В.</w:t>
      </w:r>
      <w:r>
        <w:rPr>
          <w:sz w:val="24"/>
          <w:szCs w:val="24"/>
        </w:rPr>
      </w:r>
      <w:r>
        <w:rPr>
          <w:sz w:val="24"/>
          <w:szCs w:val="24"/>
        </w:rPr>
      </w:r>
    </w:p>
    <w:p>
      <w:pPr>
        <w:jc w:val="both"/>
        <w:rPr>
          <w:b/>
          <w:bCs/>
          <w:color w:val="ff0000"/>
          <w:sz w:val="24"/>
          <w:szCs w:val="24"/>
        </w:rPr>
      </w:pPr>
      <w:r>
        <w:rPr>
          <w:b/>
          <w:bCs/>
          <w:color w:val="ff0000"/>
          <w:sz w:val="24"/>
          <w:szCs w:val="24"/>
        </w:rPr>
      </w:r>
      <w:r>
        <w:rPr>
          <w:b/>
          <w:bCs/>
          <w:color w:val="ff0000"/>
          <w:sz w:val="24"/>
          <w:szCs w:val="24"/>
        </w:rPr>
      </w:r>
      <w:r>
        <w:rPr>
          <w:b/>
          <w:bCs/>
          <w:color w:val="ff0000"/>
          <w:sz w:val="24"/>
          <w:szCs w:val="24"/>
        </w:rPr>
      </w:r>
    </w:p>
    <w:p>
      <w:pPr>
        <w:jc w:val="both"/>
        <w:rPr>
          <w:rFonts w:eastAsia="Calibri"/>
          <w:bCs/>
          <w:sz w:val="24"/>
          <w:szCs w:val="24"/>
        </w:rPr>
      </w:pPr>
      <w:r>
        <w:rPr>
          <w:rFonts w:eastAsia="Calibri"/>
          <w:bCs/>
          <w:sz w:val="24"/>
          <w:szCs w:val="24"/>
        </w:rPr>
      </w:r>
      <w:r>
        <w:rPr>
          <w:rFonts w:eastAsia="Calibri"/>
          <w:bCs/>
          <w:sz w:val="24"/>
          <w:szCs w:val="24"/>
        </w:rPr>
      </w:r>
      <w:r>
        <w:rPr>
          <w:rFonts w:eastAsia="Calibri"/>
          <w:bCs/>
          <w:sz w:val="24"/>
          <w:szCs w:val="24"/>
        </w:rPr>
      </w:r>
    </w:p>
    <w:p>
      <w:pPr>
        <w:jc w:val="both"/>
        <w:rPr>
          <w:rFonts w:eastAsia="Calibri"/>
          <w:bCs/>
          <w:sz w:val="24"/>
          <w:szCs w:val="24"/>
        </w:rPr>
      </w:pPr>
      <w:r>
        <w:rPr>
          <w:rFonts w:eastAsia="Calibri"/>
          <w:bCs/>
          <w:sz w:val="24"/>
          <w:szCs w:val="24"/>
        </w:rPr>
        <w:t xml:space="preserve">Глава</w:t>
      </w:r>
      <w:r>
        <w:rPr>
          <w:rFonts w:eastAsia="Calibri"/>
          <w:bCs/>
          <w:sz w:val="24"/>
          <w:szCs w:val="24"/>
        </w:rPr>
        <w:t xml:space="preserve"> Печенгского муниципал</w:t>
      </w:r>
      <w:r>
        <w:rPr>
          <w:rFonts w:eastAsia="Calibri"/>
          <w:bCs/>
          <w:sz w:val="24"/>
          <w:szCs w:val="24"/>
        </w:rPr>
        <w:t xml:space="preserve">ьного округа                   </w:t>
      </w:r>
      <w:r>
        <w:rPr>
          <w:rFonts w:eastAsia="Calibri"/>
          <w:bCs/>
          <w:sz w:val="24"/>
          <w:szCs w:val="24"/>
        </w:rPr>
        <w:t xml:space="preserve">    </w:t>
      </w:r>
      <w:r>
        <w:rPr>
          <w:rFonts w:eastAsia="Calibri"/>
          <w:bCs/>
          <w:sz w:val="24"/>
          <w:szCs w:val="24"/>
        </w:rPr>
        <w:t xml:space="preserve">                                 А.В. Кузнецов</w:t>
      </w:r>
      <w:r>
        <w:rPr>
          <w:rFonts w:eastAsia="Calibri"/>
          <w:bCs/>
          <w:sz w:val="24"/>
          <w:szCs w:val="24"/>
        </w:rPr>
      </w:r>
      <w:r>
        <w:rPr>
          <w:rFonts w:eastAsia="Calibri"/>
          <w:bCs/>
          <w:sz w:val="24"/>
          <w:szCs w:val="24"/>
        </w:rPr>
      </w:r>
    </w:p>
    <w:p>
      <w:pPr>
        <w:shd w:val="clear" w:color="auto" w:fill="ffffff"/>
      </w:pPr>
      <w:r>
        <w:t xml:space="preserve"> </w:t>
      </w:r>
      <w:r/>
    </w:p>
    <w:p>
      <w:pPr>
        <w:shd w:val="clear" w:color="auto" w:fill="ffffff"/>
      </w:pPr>
      <w:r/>
      <w:r/>
    </w:p>
    <w:p>
      <w:pPr>
        <w:shd w:val="clear" w:color="auto" w:fill="ffffff"/>
      </w:pPr>
      <w:r/>
      <w:r/>
    </w:p>
    <w:p>
      <w:pPr>
        <w:shd w:val="clear" w:color="auto" w:fill="ffffff"/>
      </w:pPr>
      <w:r/>
      <w:r/>
    </w:p>
    <w:p>
      <w:pPr>
        <w:shd w:val="clear" w:color="auto" w:fill="ffffff"/>
      </w:pPr>
      <w:r/>
      <w:r/>
    </w:p>
    <w:p>
      <w:pPr>
        <w:shd w:val="clear" w:color="auto" w:fill="ffffff"/>
      </w:pPr>
      <w:r/>
      <w:r/>
    </w:p>
    <w:p>
      <w:pPr>
        <w:shd w:val="clear" w:color="auto" w:fill="ffffff"/>
      </w:pPr>
      <w:r/>
      <w:r/>
    </w:p>
    <w:p>
      <w:pPr>
        <w:shd w:val="clear" w:color="auto" w:fill="ffffff"/>
      </w:pPr>
      <w:r/>
      <w:r/>
    </w:p>
    <w:p>
      <w:pPr>
        <w:shd w:val="clear" w:color="auto" w:fill="ffffff"/>
      </w:pPr>
      <w:r/>
      <w:r/>
    </w:p>
    <w:p>
      <w:pPr>
        <w:shd w:val="clear" w:color="auto" w:fill="ffffff"/>
      </w:pPr>
      <w:r/>
      <w:r/>
    </w:p>
    <w:p>
      <w:pPr>
        <w:shd w:val="clear" w:color="auto" w:fill="ffffff"/>
      </w:pPr>
      <w:r/>
      <w:r/>
    </w:p>
    <w:p>
      <w:pPr>
        <w:shd w:val="clear" w:color="auto" w:fill="ffffff"/>
      </w:pPr>
      <w:r/>
      <w:r/>
    </w:p>
    <w:p>
      <w:pPr>
        <w:shd w:val="clear" w:color="auto" w:fill="ffffff"/>
      </w:pPr>
      <w:r/>
      <w:r/>
    </w:p>
    <w:p>
      <w:pPr>
        <w:shd w:val="clear" w:color="auto" w:fill="ffffff"/>
      </w:pPr>
      <w:r/>
      <w:r/>
    </w:p>
    <w:p>
      <w:pPr>
        <w:shd w:val="clear" w:color="auto" w:fill="ffffff"/>
      </w:pPr>
      <w:r/>
      <w:r/>
    </w:p>
    <w:p>
      <w:pPr>
        <w:shd w:val="clear" w:color="auto" w:fill="ffffff"/>
      </w:pPr>
      <w:r/>
      <w:r/>
    </w:p>
    <w:p>
      <w:pPr>
        <w:shd w:val="clear" w:color="auto" w:fill="ffffff"/>
      </w:pPr>
      <w:r/>
      <w:r/>
    </w:p>
    <w:p>
      <w:pPr>
        <w:shd w:val="clear" w:color="auto" w:fill="ffffff"/>
      </w:pPr>
      <w:r/>
      <w:r/>
    </w:p>
    <w:p>
      <w:pPr>
        <w:shd w:val="clear" w:color="auto" w:fill="ffffff"/>
      </w:pPr>
      <w:r/>
      <w:r/>
    </w:p>
    <w:p>
      <w:pPr>
        <w:shd w:val="clear" w:color="auto" w:fill="ffffff"/>
      </w:pPr>
      <w:r/>
      <w:r/>
    </w:p>
    <w:p>
      <w:pPr>
        <w:shd w:val="clear" w:color="auto" w:fill="ffffff"/>
      </w:pPr>
      <w:r/>
      <w:r/>
    </w:p>
    <w:p>
      <w:pPr>
        <w:shd w:val="clear" w:color="auto" w:fill="ffffff"/>
      </w:pPr>
      <w:r/>
      <w:r/>
    </w:p>
    <w:p>
      <w:pPr>
        <w:shd w:val="clear" w:color="auto" w:fill="ffffff"/>
      </w:pPr>
      <w:r/>
      <w:r/>
    </w:p>
    <w:p>
      <w:pPr>
        <w:shd w:val="clear" w:color="auto" w:fill="ffffff"/>
      </w:pPr>
      <w:r/>
      <w:r/>
    </w:p>
    <w:p>
      <w:pPr>
        <w:shd w:val="clear" w:color="auto" w:fill="ffffff"/>
      </w:pPr>
      <w:r/>
      <w:r/>
    </w:p>
    <w:p>
      <w:pPr>
        <w:shd w:val="clear" w:color="auto" w:fill="ffffff"/>
      </w:pPr>
      <w:r/>
      <w:r/>
    </w:p>
    <w:p>
      <w:pPr>
        <w:shd w:val="clear" w:color="auto" w:fill="ffffff"/>
      </w:pPr>
      <w:r/>
      <w:r/>
    </w:p>
    <w:p>
      <w:pPr>
        <w:shd w:val="clear" w:color="auto" w:fill="ffffff"/>
      </w:pPr>
      <w:r/>
      <w:r/>
    </w:p>
    <w:p>
      <w:pPr>
        <w:shd w:val="clear" w:color="auto" w:fill="ffffff"/>
      </w:pPr>
      <w:r/>
      <w:r/>
    </w:p>
    <w:p>
      <w:pPr>
        <w:shd w:val="clear" w:color="auto" w:fill="ffffff"/>
      </w:pPr>
      <w:r/>
      <w:r/>
    </w:p>
    <w:p>
      <w:pPr>
        <w:shd w:val="clear" w:color="auto" w:fill="ffffff"/>
      </w:pPr>
      <w:r/>
      <w:r/>
    </w:p>
    <w:p>
      <w:pPr>
        <w:shd w:val="clear" w:color="auto" w:fill="ffffff"/>
      </w:pPr>
      <w:r/>
      <w:r/>
    </w:p>
    <w:p>
      <w:pPr>
        <w:shd w:val="clear" w:color="auto" w:fill="ffffff"/>
      </w:pPr>
      <w:r/>
      <w:r/>
    </w:p>
    <w:p>
      <w:pPr>
        <w:shd w:val="clear" w:color="auto" w:fill="ffffff"/>
      </w:pPr>
      <w:r/>
      <w:r/>
    </w:p>
    <w:p>
      <w:pPr>
        <w:shd w:val="clear" w:color="auto" w:fill="ffffff"/>
      </w:pPr>
      <w:r/>
      <w:r/>
    </w:p>
    <w:p>
      <w:pPr>
        <w:shd w:val="clear" w:color="auto" w:fill="ffffff"/>
      </w:pPr>
      <w:r/>
      <w:r/>
    </w:p>
    <w:p>
      <w:pPr>
        <w:shd w:val="clear" w:color="auto" w:fill="ffffff"/>
      </w:pPr>
      <w:r/>
      <w:r/>
    </w:p>
    <w:p>
      <w:pPr>
        <w:shd w:val="clear" w:color="auto" w:fill="ffffff"/>
      </w:pPr>
      <w:r/>
      <w:r/>
    </w:p>
    <w:p>
      <w:pPr>
        <w:shd w:val="clear" w:color="auto" w:fill="ffffff"/>
      </w:pPr>
      <w:r/>
      <w:r/>
    </w:p>
    <w:p>
      <w:pPr>
        <w:shd w:val="clear" w:color="auto" w:fill="ffffff"/>
      </w:pPr>
      <w:r/>
      <w:r/>
    </w:p>
    <w:p>
      <w:pPr>
        <w:shd w:val="clear" w:color="auto" w:fill="ffffff"/>
      </w:pPr>
      <w:r/>
      <w:r/>
    </w:p>
    <w:p>
      <w:pPr>
        <w:shd w:val="clear" w:color="auto" w:fill="ffffff"/>
      </w:pPr>
      <w:r/>
      <w:r/>
    </w:p>
    <w:p>
      <w:pPr>
        <w:shd w:val="clear" w:color="auto" w:fill="ffffff"/>
      </w:pPr>
      <w:r/>
      <w:r/>
    </w:p>
    <w:p>
      <w:pPr>
        <w:shd w:val="clear" w:color="auto" w:fill="ffffff"/>
      </w:pPr>
      <w:r/>
      <w:r/>
    </w:p>
    <w:p>
      <w:pPr>
        <w:shd w:val="clear" w:color="auto" w:fill="ffffff"/>
      </w:pPr>
      <w:r/>
      <w:r/>
    </w:p>
    <w:p>
      <w:pPr>
        <w:shd w:val="clear" w:color="auto" w:fill="ffffff"/>
      </w:pPr>
      <w:r/>
      <w:r/>
    </w:p>
    <w:p>
      <w:pPr>
        <w:shd w:val="clear" w:color="auto" w:fill="ffffff"/>
      </w:pPr>
      <w:r/>
      <w:r/>
    </w:p>
    <w:p>
      <w:pPr>
        <w:shd w:val="clear" w:color="auto" w:fill="ffffff"/>
      </w:pPr>
      <w:r/>
      <w:r/>
    </w:p>
    <w:p>
      <w:pPr>
        <w:shd w:val="clear" w:color="auto" w:fill="ffffff"/>
      </w:pPr>
      <w:r>
        <w:t xml:space="preserve">Жулидова Н.Ю., 51291</w:t>
      </w:r>
      <w:r/>
    </w:p>
    <w:tbl>
      <w:tblPr>
        <w:tblW w:w="9501" w:type="dxa"/>
        <w:tblLook w:val="04A0" w:firstRow="1" w:lastRow="0" w:firstColumn="1" w:lastColumn="0" w:noHBand="0" w:noVBand="1"/>
      </w:tblPr>
      <w:tblGrid>
        <w:gridCol w:w="3177"/>
        <w:gridCol w:w="2258"/>
        <w:gridCol w:w="4066"/>
      </w:tblGrid>
      <w:tr>
        <w:tblPrEx/>
        <w:trPr>
          <w:trHeight w:val="1222"/>
        </w:trPr>
        <w:tc>
          <w:tcPr>
            <w:tcW w:w="3177" w:type="dxa"/>
            <w:textDirection w:val="lrTb"/>
            <w:noWrap w:val="false"/>
          </w:tcPr>
          <w:p>
            <w:r/>
            <w:r/>
          </w:p>
        </w:tc>
        <w:tc>
          <w:tcPr>
            <w:tcW w:w="2258" w:type="dxa"/>
            <w:textDirection w:val="lrTb"/>
            <w:noWrap w:val="false"/>
          </w:tcPr>
          <w:p>
            <w:r/>
            <w:r/>
          </w:p>
          <w:p>
            <w:r/>
            <w:r/>
          </w:p>
          <w:p>
            <w:r/>
            <w:r/>
          </w:p>
        </w:tc>
        <w:tc>
          <w:tcPr>
            <w:tcW w:w="4066" w:type="dxa"/>
            <w:textDirection w:val="lrTb"/>
            <w:noWrap w:val="false"/>
          </w:tcPr>
          <w:p>
            <w:pPr>
              <w:pStyle w:val="961"/>
              <w:rPr>
                <w:rFonts w:ascii="Times New Roman" w:hAnsi="Times New Roman" w:cs="Times New Roman"/>
              </w:rPr>
            </w:pPr>
            <w:r>
              <w:rPr>
                <w:rFonts w:ascii="Times New Roman" w:hAnsi="Times New Roman" w:cs="Times New Roman"/>
              </w:rPr>
              <w:t xml:space="preserve">Приложение </w:t>
            </w:r>
            <w:r>
              <w:rPr>
                <w:rFonts w:ascii="Times New Roman" w:hAnsi="Times New Roman" w:cs="Times New Roman"/>
              </w:rPr>
            </w:r>
            <w:r>
              <w:rPr>
                <w:rFonts w:ascii="Times New Roman" w:hAnsi="Times New Roman" w:cs="Times New Roman"/>
              </w:rPr>
            </w:r>
          </w:p>
          <w:p>
            <w:pPr>
              <w:pStyle w:val="961"/>
              <w:rPr>
                <w:rFonts w:ascii="Times New Roman" w:hAnsi="Times New Roman" w:cs="Times New Roman"/>
              </w:rPr>
            </w:pPr>
            <w:r>
              <w:rPr>
                <w:rFonts w:ascii="Times New Roman" w:hAnsi="Times New Roman" w:cs="Times New Roman"/>
              </w:rPr>
              <w:t xml:space="preserve">к постановлению администрации Печенгского муниципального округа</w:t>
            </w:r>
            <w:r>
              <w:rPr>
                <w:rFonts w:ascii="Times New Roman" w:hAnsi="Times New Roman" w:cs="Times New Roman"/>
              </w:rPr>
            </w:r>
            <w:r>
              <w:rPr>
                <w:rFonts w:ascii="Times New Roman" w:hAnsi="Times New Roman" w:cs="Times New Roman"/>
              </w:rPr>
            </w:r>
          </w:p>
          <w:p>
            <w:pPr>
              <w:pStyle w:val="961"/>
              <w:rPr>
                <w:rFonts w:ascii="Times New Roman" w:hAnsi="Times New Roman" w:cs="Times New Roman"/>
              </w:rPr>
            </w:pPr>
            <w:r>
              <w:rPr>
                <w:rFonts w:ascii="Times New Roman" w:hAnsi="Times New Roman" w:cs="Times New Roman"/>
              </w:rPr>
              <w:t xml:space="preserve">от 23.09.2024 № 1442</w:t>
            </w:r>
            <w:r>
              <w:rPr>
                <w:rFonts w:ascii="Times New Roman" w:hAnsi="Times New Roman" w:cs="Times New Roman"/>
              </w:rPr>
            </w:r>
            <w:r>
              <w:rPr>
                <w:rFonts w:ascii="Times New Roman" w:hAnsi="Times New Roman" w:cs="Times New Roman"/>
              </w:rPr>
            </w:r>
          </w:p>
        </w:tc>
      </w:tr>
    </w:tbl>
    <w:p>
      <w:pPr>
        <w:jc w:val="right"/>
        <w:spacing w:line="274" w:lineRule="exact"/>
        <w:shd w:val="clear" w:color="auto" w:fill="ffffff"/>
        <w:rPr>
          <w:b/>
          <w:sz w:val="24"/>
          <w:szCs w:val="24"/>
          <w:u w:val="single"/>
        </w:rPr>
      </w:pPr>
      <w:r>
        <w:rPr>
          <w:b/>
          <w:sz w:val="24"/>
          <w:szCs w:val="24"/>
          <w:u w:val="single"/>
        </w:rPr>
      </w:r>
      <w:r>
        <w:rPr>
          <w:b/>
          <w:sz w:val="24"/>
          <w:szCs w:val="24"/>
          <w:u w:val="single"/>
        </w:rPr>
      </w:r>
      <w:r>
        <w:rPr>
          <w:b/>
          <w:sz w:val="24"/>
          <w:szCs w:val="24"/>
          <w:u w:val="single"/>
        </w:rPr>
      </w:r>
    </w:p>
    <w:p>
      <w:pPr>
        <w:pStyle w:val="961"/>
        <w:ind w:firstLine="680"/>
        <w:jc w:val="both"/>
        <w:tabs>
          <w:tab w:val="left" w:pos="1766" w:leader="none"/>
        </w:tabs>
        <w:rPr>
          <w:rFonts w:ascii="Times New Roman" w:hAnsi="Times New Roman" w:cs="Times New Roman"/>
          <w:b/>
        </w:rPr>
      </w:pPr>
      <w:r>
        <w:rPr>
          <w:rFonts w:ascii="Times New Roman" w:hAnsi="Times New Roman" w:cs="Times New Roman"/>
          <w:b/>
        </w:rPr>
      </w:r>
      <w:r>
        <w:rPr>
          <w:rFonts w:ascii="Times New Roman" w:hAnsi="Times New Roman" w:cs="Times New Roman"/>
          <w:b/>
        </w:rPr>
      </w:r>
      <w:r>
        <w:rPr>
          <w:rFonts w:ascii="Times New Roman" w:hAnsi="Times New Roman" w:cs="Times New Roman"/>
          <w:b/>
        </w:rPr>
      </w:r>
    </w:p>
    <w:p>
      <w:pPr>
        <w:pStyle w:val="959"/>
        <w:ind w:firstLine="680"/>
        <w:jc w:val="center"/>
        <w:rPr>
          <w:rFonts w:ascii="Times New Roman" w:hAnsi="Times New Roman" w:cs="Times New Roman"/>
        </w:rPr>
      </w:pPr>
      <w:r>
        <w:rPr>
          <w:rStyle w:val="951"/>
          <w:rFonts w:ascii="Times New Roman" w:hAnsi="Times New Roman" w:cs="Times New Roman"/>
        </w:rPr>
        <w:t xml:space="preserve">КОНЦЕССИОННОЕ СОГЛАШЕНИЕ</w:t>
      </w:r>
      <w:r>
        <w:rPr>
          <w:rFonts w:ascii="Times New Roman" w:hAnsi="Times New Roman" w:cs="Times New Roman"/>
        </w:rPr>
      </w:r>
      <w:r>
        <w:rPr>
          <w:rFonts w:ascii="Times New Roman" w:hAnsi="Times New Roman" w:cs="Times New Roman"/>
        </w:rPr>
      </w:r>
    </w:p>
    <w:p>
      <w:pPr>
        <w:pStyle w:val="959"/>
        <w:ind w:firstLine="680"/>
        <w:jc w:val="center"/>
        <w:rPr>
          <w:rStyle w:val="951"/>
          <w:rFonts w:ascii="Times New Roman" w:hAnsi="Times New Roman" w:cs="Times New Roman"/>
          <w:b w:val="0"/>
          <w:bCs w:val="0"/>
        </w:rPr>
      </w:pPr>
      <w:r>
        <w:rPr>
          <w:rStyle w:val="951"/>
          <w:rFonts w:ascii="Times New Roman" w:hAnsi="Times New Roman" w:cs="Times New Roman"/>
          <w:b w:val="0"/>
          <w:bCs w:val="0"/>
        </w:rPr>
        <w:t xml:space="preserve">в отношении объектов по производству, передаче </w:t>
      </w:r>
      <w:r>
        <w:rPr>
          <w:rFonts w:ascii="Times New Roman" w:hAnsi="Times New Roman" w:cs="Times New Roman"/>
          <w:b w:val="0"/>
          <w:bCs w:val="0"/>
        </w:rPr>
      </w:r>
      <w:r>
        <w:rPr>
          <w:rStyle w:val="951"/>
          <w:rFonts w:ascii="Times New Roman" w:hAnsi="Times New Roman" w:cs="Times New Roman"/>
          <w:b w:val="0"/>
          <w:bCs w:val="0"/>
        </w:rPr>
      </w:r>
    </w:p>
    <w:p>
      <w:pPr>
        <w:pStyle w:val="959"/>
        <w:ind w:firstLine="680"/>
        <w:jc w:val="center"/>
        <w:rPr>
          <w:rFonts w:ascii="Times New Roman" w:hAnsi="Times New Roman" w:cs="Times New Roman"/>
          <w:b w:val="0"/>
          <w:bCs w:val="0"/>
        </w:rPr>
      </w:pPr>
      <w:r>
        <w:rPr>
          <w:rStyle w:val="951"/>
          <w:rFonts w:ascii="Times New Roman" w:hAnsi="Times New Roman" w:cs="Times New Roman"/>
          <w:b w:val="0"/>
          <w:bCs w:val="0"/>
        </w:rPr>
        <w:t xml:space="preserve">и</w:t>
      </w:r>
      <w:r>
        <w:rPr>
          <w:rFonts w:ascii="Times New Roman" w:hAnsi="Times New Roman" w:cs="Times New Roman"/>
          <w:b w:val="0"/>
          <w:bCs w:val="0"/>
        </w:rPr>
        <w:t xml:space="preserve"> </w:t>
      </w:r>
      <w:r>
        <w:rPr>
          <w:rStyle w:val="951"/>
          <w:rFonts w:ascii="Times New Roman" w:hAnsi="Times New Roman" w:cs="Times New Roman"/>
          <w:b w:val="0"/>
          <w:bCs w:val="0"/>
        </w:rPr>
        <w:t xml:space="preserve">распределению тепловой энергии и горячей воды</w:t>
      </w:r>
      <w:r>
        <w:rPr>
          <w:rFonts w:ascii="Times New Roman" w:hAnsi="Times New Roman" w:cs="Times New Roman"/>
          <w:b w:val="0"/>
          <w:bCs w:val="0"/>
        </w:rPr>
      </w:r>
      <w:r>
        <w:rPr>
          <w:rFonts w:ascii="Times New Roman" w:hAnsi="Times New Roman" w:cs="Times New Roman"/>
          <w:b w:val="0"/>
          <w:bCs w:val="0"/>
        </w:rPr>
      </w:r>
    </w:p>
    <w:p>
      <w:pPr>
        <w:pStyle w:val="959"/>
        <w:ind w:firstLine="680"/>
        <w:jc w:val="both"/>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p>
      <w:pPr>
        <w:pStyle w:val="959"/>
        <w:jc w:val="both"/>
        <w:rPr>
          <w:rFonts w:ascii="Times New Roman" w:hAnsi="Times New Roman" w:cs="Times New Roman"/>
        </w:rPr>
      </w:pPr>
      <w:r>
        <w:rPr>
          <w:rFonts w:ascii="Times New Roman" w:hAnsi="Times New Roman" w:cs="Times New Roman"/>
        </w:rPr>
        <w:t xml:space="preserve">Мурманская область, </w:t>
      </w:r>
      <w:r>
        <w:rPr>
          <w:rFonts w:ascii="Times New Roman" w:hAnsi="Times New Roman" w:cs="Times New Roman"/>
        </w:rPr>
      </w:r>
      <w:r>
        <w:rPr>
          <w:rFonts w:ascii="Times New Roman" w:hAnsi="Times New Roman" w:cs="Times New Roman"/>
        </w:rPr>
      </w:r>
    </w:p>
    <w:p>
      <w:pPr>
        <w:pStyle w:val="959"/>
        <w:jc w:val="both"/>
        <w:rPr>
          <w:rFonts w:ascii="Times New Roman" w:hAnsi="Times New Roman" w:cs="Times New Roman"/>
        </w:rPr>
      </w:pPr>
      <w:r>
        <w:rPr>
          <w:rFonts w:ascii="Times New Roman" w:hAnsi="Times New Roman" w:cs="Times New Roman"/>
        </w:rPr>
        <w:t xml:space="preserve">Печенгский муниципальный округ                                                       «___» _________2024 г.</w:t>
      </w:r>
      <w:r>
        <w:rPr>
          <w:rFonts w:ascii="Times New Roman" w:hAnsi="Times New Roman" w:cs="Times New Roman"/>
        </w:rPr>
      </w:r>
      <w:r>
        <w:rPr>
          <w:rFonts w:ascii="Times New Roman" w:hAnsi="Times New Roman" w:cs="Times New Roman"/>
        </w:rPr>
      </w:r>
    </w:p>
    <w:p>
      <w:pPr>
        <w:pStyle w:val="959"/>
        <w:ind w:firstLine="680"/>
        <w:jc w:val="both"/>
        <w:rPr>
          <w:rFonts w:ascii="Times New Roman" w:hAnsi="Times New Roman" w:cs="Times New Roman"/>
          <w:b/>
        </w:rPr>
      </w:pPr>
      <w:r>
        <w:rPr>
          <w:rFonts w:ascii="Times New Roman" w:hAnsi="Times New Roman" w:cs="Times New Roman"/>
          <w:b/>
        </w:rPr>
        <w:t xml:space="preserve"> </w:t>
      </w:r>
      <w:r>
        <w:rPr>
          <w:rFonts w:ascii="Times New Roman" w:hAnsi="Times New Roman" w:cs="Times New Roman"/>
          <w:b/>
        </w:rPr>
      </w:r>
      <w:r>
        <w:rPr>
          <w:rFonts w:ascii="Times New Roman" w:hAnsi="Times New Roman" w:cs="Times New Roman"/>
          <w:b/>
        </w:rPr>
      </w:r>
    </w:p>
    <w:p>
      <w:pPr>
        <w:pStyle w:val="959"/>
        <w:ind w:firstLine="680"/>
        <w:jc w:val="both"/>
        <w:rPr>
          <w:rFonts w:ascii="Times New Roman" w:hAnsi="Times New Roman" w:cs="Times New Roman"/>
        </w:rPr>
      </w:pPr>
      <w:r>
        <w:rPr>
          <w:rFonts w:ascii="Times New Roman" w:hAnsi="Times New Roman" w:cs="Times New Roman"/>
          <w:b/>
        </w:rPr>
        <w:t xml:space="preserve">Муниципальное образование Печенгский муниципальный округ Мурманской области</w:t>
      </w:r>
      <w:r>
        <w:rPr>
          <w:rFonts w:ascii="Times New Roman" w:hAnsi="Times New Roman" w:cs="Times New Roman"/>
        </w:rPr>
        <w:t xml:space="preserve">, именуемое в дальнейшем </w:t>
      </w:r>
      <w:r>
        <w:rPr>
          <w:rFonts w:ascii="Times New Roman" w:hAnsi="Times New Roman" w:cs="Times New Roman"/>
          <w:b/>
        </w:rPr>
        <w:t xml:space="preserve">«Концедент»</w:t>
      </w:r>
      <w:r>
        <w:rPr>
          <w:rFonts w:ascii="Times New Roman" w:hAnsi="Times New Roman" w:cs="Times New Roman"/>
        </w:rPr>
        <w:t xml:space="preserve">, от имени которого выступает </w:t>
      </w:r>
      <w:r>
        <w:rPr>
          <w:rFonts w:ascii="Times New Roman" w:hAnsi="Times New Roman" w:cs="Times New Roman"/>
          <w:b/>
        </w:rPr>
        <w:t xml:space="preserve">Глава Печенгского муниципального округа Мурманской области Кузнецов Андрей Валентинович</w:t>
      </w:r>
      <w:r>
        <w:rPr>
          <w:rFonts w:ascii="Times New Roman" w:hAnsi="Times New Roman" w:cs="Times New Roman"/>
        </w:rPr>
        <w:t xml:space="preserve">, действующей на основании Устава с одной стороны, </w:t>
      </w:r>
      <w:r>
        <w:rPr>
          <w:rFonts w:ascii="Times New Roman" w:hAnsi="Times New Roman" w:cs="Times New Roman"/>
        </w:rPr>
      </w:r>
      <w:r>
        <w:rPr>
          <w:rFonts w:ascii="Times New Roman" w:hAnsi="Times New Roman" w:cs="Times New Roman"/>
        </w:rPr>
      </w:r>
    </w:p>
    <w:p>
      <w:pPr>
        <w:pStyle w:val="959"/>
        <w:ind w:firstLine="680"/>
        <w:jc w:val="both"/>
        <w:rPr>
          <w:rFonts w:ascii="Times New Roman" w:hAnsi="Times New Roman" w:cs="Times New Roman"/>
        </w:rPr>
      </w:pPr>
      <w:r>
        <w:rPr>
          <w:rFonts w:ascii="Times New Roman" w:hAnsi="Times New Roman" w:cs="Times New Roman"/>
          <w:b/>
        </w:rPr>
        <w:t xml:space="preserve">Общество с ограниченной ответственностью «ПромВоенСтрой</w:t>
      </w:r>
      <w:r>
        <w:rPr>
          <w:rFonts w:ascii="Times New Roman" w:hAnsi="Times New Roman" w:cs="Times New Roman"/>
        </w:rPr>
        <w:t xml:space="preserve">», именуемое в дальнейшем </w:t>
      </w:r>
      <w:r>
        <w:rPr>
          <w:rFonts w:ascii="Times New Roman" w:hAnsi="Times New Roman" w:cs="Times New Roman"/>
          <w:b/>
        </w:rPr>
        <w:t xml:space="preserve">«Концессионер»</w:t>
      </w:r>
      <w:r>
        <w:rPr>
          <w:rFonts w:ascii="Times New Roman" w:hAnsi="Times New Roman" w:cs="Times New Roman"/>
        </w:rPr>
        <w:t xml:space="preserve">, в лице Генерального директора </w:t>
      </w:r>
      <w:r>
        <w:rPr>
          <w:rFonts w:ascii="Times New Roman" w:hAnsi="Times New Roman" w:cs="Times New Roman"/>
          <w:b/>
        </w:rPr>
        <w:t xml:space="preserve">Аршакяна Армена Рубеновича</w:t>
      </w:r>
      <w:r>
        <w:rPr>
          <w:rFonts w:ascii="Times New Roman" w:hAnsi="Times New Roman" w:cs="Times New Roman"/>
        </w:rPr>
        <w:t xml:space="preserve">, действующего на основании Устава, с другой стороны</w:t>
      </w:r>
      <w:r>
        <w:rPr>
          <w:rFonts w:ascii="Times New Roman" w:hAnsi="Times New Roman" w:cs="Times New Roman"/>
        </w:rPr>
      </w:r>
      <w:r>
        <w:rPr>
          <w:rFonts w:ascii="Times New Roman" w:hAnsi="Times New Roman" w:cs="Times New Roman"/>
        </w:rPr>
      </w:r>
    </w:p>
    <w:p>
      <w:pPr>
        <w:pStyle w:val="959"/>
        <w:ind w:firstLine="680"/>
        <w:jc w:val="both"/>
        <w:rPr>
          <w:rFonts w:ascii="Times New Roman" w:hAnsi="Times New Roman" w:cs="Times New Roman"/>
        </w:rPr>
      </w:pPr>
      <w:r>
        <w:rPr>
          <w:rFonts w:ascii="Times New Roman" w:hAnsi="Times New Roman" w:cs="Times New Roman"/>
          <w:b/>
        </w:rPr>
        <w:t xml:space="preserve">Мурманская область</w:t>
      </w:r>
      <w:r>
        <w:rPr>
          <w:rFonts w:ascii="Times New Roman" w:hAnsi="Times New Roman" w:cs="Times New Roman"/>
        </w:rPr>
        <w:t xml:space="preserve">, именуемая в дальнейшем </w:t>
      </w:r>
      <w:r>
        <w:rPr>
          <w:rFonts w:ascii="Times New Roman" w:hAnsi="Times New Roman" w:cs="Times New Roman"/>
          <w:b/>
        </w:rPr>
        <w:t xml:space="preserve">«Субъект»</w:t>
      </w:r>
      <w:r>
        <w:rPr>
          <w:rFonts w:ascii="Times New Roman" w:hAnsi="Times New Roman" w:cs="Times New Roman"/>
        </w:rPr>
        <w:t xml:space="preserve">, от имени которой выступает Губернатор Мурманской области </w:t>
      </w:r>
      <w:r>
        <w:rPr>
          <w:rFonts w:ascii="Times New Roman" w:hAnsi="Times New Roman" w:cs="Times New Roman"/>
          <w:b/>
        </w:rPr>
        <w:t xml:space="preserve">Чибис Андрей Владимирович</w:t>
      </w:r>
      <w:r>
        <w:rPr>
          <w:rFonts w:ascii="Times New Roman" w:hAnsi="Times New Roman" w:cs="Times New Roman"/>
        </w:rPr>
        <w:t xml:space="preserve">, действующий на основании Устава Мурманской области, с третьей стороны, </w:t>
      </w:r>
      <w:r>
        <w:rPr>
          <w:rFonts w:ascii="Times New Roman" w:hAnsi="Times New Roman" w:cs="Times New Roman"/>
        </w:rPr>
        <w:tab/>
      </w:r>
      <w:r>
        <w:rPr>
          <w:rFonts w:ascii="Times New Roman" w:hAnsi="Times New Roman" w:cs="Times New Roman"/>
        </w:rPr>
      </w:r>
      <w:r>
        <w:rPr>
          <w:rFonts w:ascii="Times New Roman" w:hAnsi="Times New Roman" w:cs="Times New Roman"/>
        </w:rPr>
      </w:r>
    </w:p>
    <w:p>
      <w:pPr>
        <w:pStyle w:val="959"/>
        <w:ind w:firstLine="680"/>
        <w:jc w:val="both"/>
        <w:rPr>
          <w:rFonts w:ascii="Times New Roman" w:hAnsi="Times New Roman" w:cs="Times New Roman"/>
        </w:rPr>
      </w:pPr>
      <w:r>
        <w:rPr>
          <w:rFonts w:ascii="Times New Roman" w:hAnsi="Times New Roman" w:cs="Times New Roman"/>
        </w:rPr>
        <w:t xml:space="preserve"> именуемые далее совместно </w:t>
      </w:r>
      <w:r>
        <w:rPr>
          <w:rFonts w:ascii="Times New Roman" w:hAnsi="Times New Roman" w:cs="Times New Roman"/>
          <w:b/>
        </w:rPr>
        <w:t xml:space="preserve">«Стороны»</w:t>
      </w:r>
      <w:r>
        <w:rPr>
          <w:rFonts w:ascii="Times New Roman" w:hAnsi="Times New Roman" w:cs="Times New Roman"/>
        </w:rPr>
        <w:t xml:space="preserve"> и по отдельности </w:t>
      </w:r>
      <w:r>
        <w:rPr>
          <w:rFonts w:ascii="Times New Roman" w:hAnsi="Times New Roman" w:cs="Times New Roman"/>
          <w:b/>
        </w:rPr>
        <w:t xml:space="preserve">«Сторона»</w:t>
      </w:r>
      <w:r>
        <w:rPr>
          <w:rFonts w:ascii="Times New Roman" w:hAnsi="Times New Roman" w:cs="Times New Roman"/>
        </w:rPr>
        <w:t xml:space="preserve">, </w:t>
      </w:r>
      <w:r>
        <w:rPr>
          <w:rFonts w:ascii="Times New Roman" w:hAnsi="Times New Roman" w:cs="Times New Roman"/>
        </w:rPr>
      </w:r>
      <w:r>
        <w:rPr>
          <w:rFonts w:ascii="Times New Roman" w:hAnsi="Times New Roman" w:cs="Times New Roman"/>
        </w:rPr>
      </w:r>
    </w:p>
    <w:p>
      <w:pPr>
        <w:pStyle w:val="959"/>
        <w:ind w:firstLine="680"/>
        <w:jc w:val="both"/>
        <w:rPr>
          <w:rFonts w:ascii="Times New Roman" w:hAnsi="Times New Roman" w:cs="Times New Roman"/>
        </w:rPr>
      </w:pPr>
      <w:r>
        <w:rPr>
          <w:rFonts w:ascii="Times New Roman" w:hAnsi="Times New Roman" w:cs="Times New Roman"/>
        </w:rPr>
        <w:t xml:space="preserve">в соответствии с Постановлением администрации муниципального образования Печенгского муниципального округа Мурманской области от _____ №</w:t>
      </w:r>
      <w:r>
        <w:rPr>
          <w:rFonts w:ascii="Times New Roman" w:hAnsi="Times New Roman" w:cs="Times New Roman"/>
        </w:rPr>
        <w:t xml:space="preserve"> ______ «О заключении концессионного соглашения», а также основываясь на порядке, установленном статьями 37, 52 Федерального закона № 115-ФЗ «О концессионных соглашениях», заключили настоящее концессионное соглашение (далее – «Соглашение») о нижеследующем:</w:t>
      </w:r>
      <w:r>
        <w:rPr>
          <w:rFonts w:ascii="Times New Roman" w:hAnsi="Times New Roman" w:cs="Times New Roman"/>
        </w:rPr>
      </w:r>
      <w:r>
        <w:rPr>
          <w:rFonts w:ascii="Times New Roman" w:hAnsi="Times New Roman" w:cs="Times New Roman"/>
        </w:rPr>
      </w:r>
    </w:p>
    <w:p>
      <w:pPr>
        <w:ind w:firstLine="680"/>
        <w:rPr>
          <w:sz w:val="24"/>
          <w:szCs w:val="24"/>
        </w:rPr>
      </w:pPr>
      <w:r>
        <w:rPr>
          <w:sz w:val="24"/>
          <w:szCs w:val="24"/>
        </w:rPr>
      </w:r>
      <w:r>
        <w:rPr>
          <w:sz w:val="24"/>
          <w:szCs w:val="24"/>
        </w:rPr>
      </w:r>
      <w:r>
        <w:rPr>
          <w:sz w:val="24"/>
          <w:szCs w:val="24"/>
        </w:rPr>
      </w:r>
    </w:p>
    <w:p>
      <w:pPr>
        <w:pStyle w:val="959"/>
        <w:ind w:firstLine="680"/>
        <w:jc w:val="center"/>
        <w:rPr>
          <w:rFonts w:ascii="Times New Roman" w:hAnsi="Times New Roman" w:cs="Times New Roman"/>
        </w:rPr>
      </w:pPr>
      <w:r/>
      <w:bookmarkStart w:id="1" w:name="sub_1100"/>
      <w:r>
        <w:rPr>
          <w:rStyle w:val="951"/>
          <w:rFonts w:ascii="Times New Roman" w:hAnsi="Times New Roman" w:cs="Times New Roman"/>
        </w:rPr>
        <w:t xml:space="preserve">I. Предмет Соглашения</w:t>
      </w:r>
      <w:bookmarkEnd w:id="1"/>
      <w:r>
        <w:rPr>
          <w:rFonts w:ascii="Times New Roman" w:hAnsi="Times New Roman" w:cs="Times New Roman"/>
        </w:rPr>
      </w:r>
      <w:r>
        <w:rPr>
          <w:rFonts w:ascii="Times New Roman" w:hAnsi="Times New Roman" w:cs="Times New Roman"/>
        </w:rPr>
      </w:r>
    </w:p>
    <w:p>
      <w:pPr>
        <w:ind w:firstLine="680"/>
        <w:rPr>
          <w:sz w:val="24"/>
          <w:szCs w:val="24"/>
        </w:rPr>
      </w:pPr>
      <w:r>
        <w:rPr>
          <w:sz w:val="24"/>
          <w:szCs w:val="24"/>
        </w:rPr>
      </w:r>
      <w:r>
        <w:rPr>
          <w:sz w:val="24"/>
          <w:szCs w:val="24"/>
        </w:rPr>
      </w:r>
      <w:r>
        <w:rPr>
          <w:sz w:val="24"/>
          <w:szCs w:val="24"/>
        </w:rPr>
      </w:r>
    </w:p>
    <w:p>
      <w:pPr>
        <w:pStyle w:val="959"/>
        <w:numPr>
          <w:ilvl w:val="0"/>
          <w:numId w:val="2"/>
        </w:numPr>
        <w:ind w:left="0" w:firstLine="680"/>
        <w:jc w:val="both"/>
        <w:rPr>
          <w:rFonts w:ascii="Times New Roman" w:hAnsi="Times New Roman" w:cs="Times New Roman"/>
        </w:rPr>
      </w:pPr>
      <w:r/>
      <w:bookmarkStart w:id="2" w:name="sub_1101"/>
      <w:r>
        <w:rPr>
          <w:rFonts w:ascii="Times New Roman" w:hAnsi="Times New Roman" w:cs="Times New Roman"/>
        </w:rPr>
        <w:t xml:space="preserve">Концессионер обязуется за свой счет</w:t>
      </w:r>
      <w:bookmarkEnd w:id="2"/>
      <w:r>
        <w:rPr>
          <w:rFonts w:ascii="Times New Roman" w:hAnsi="Times New Roman" w:cs="Times New Roman"/>
        </w:rPr>
        <w:t xml:space="preserve">, а также за счет средств Капитального гранта в порядке, в сроки и на условиях, предусмотренных настоящим Соглашением, реконструировать недвижимое имущество, состав и описание которого приведены в </w:t>
      </w:r>
      <w:hyperlink w:tooltip="#sub_1200" w:anchor="sub_1200" w:history="1">
        <w:r>
          <w:rPr>
            <w:rStyle w:val="952"/>
            <w:rFonts w:ascii="Times New Roman" w:hAnsi="Times New Roman"/>
          </w:rPr>
          <w:t xml:space="preserve">разделе </w:t>
        </w:r>
        <w:r>
          <w:rPr>
            <w:rStyle w:val="952"/>
            <w:rFonts w:ascii="Times New Roman" w:hAnsi="Times New Roman"/>
            <w:lang w:val="en-US"/>
          </w:rPr>
          <w:t xml:space="preserve">I</w:t>
        </w:r>
        <w:r>
          <w:rPr>
            <w:rStyle w:val="952"/>
            <w:rFonts w:ascii="Times New Roman" w:hAnsi="Times New Roman"/>
          </w:rPr>
          <w:t xml:space="preserve">I</w:t>
        </w:r>
      </w:hyperlink>
      <w:r>
        <w:rPr>
          <w:rFonts w:ascii="Times New Roman" w:hAnsi="Times New Roman" w:cs="Times New Roman"/>
        </w:rPr>
        <w:t xml:space="preserve"> настоящего Соглашения (далее - объект Соглашения), право собственности на которое на момент заключения Соглашения принадлежит Концеденту, и осуществлять деятельность по производству, передаче и распределени</w:t>
      </w:r>
      <w:r>
        <w:rPr>
          <w:rFonts w:ascii="Times New Roman" w:hAnsi="Times New Roman" w:cs="Times New Roman"/>
        </w:rPr>
        <w:t xml:space="preserve">ю тепловой энергии и горячей воды с использованием объекта Соглашения, а Концедент обязуется предоставить Концессионеру на срок, установленный настоящим Соглашением, права владения и пользования объектом Соглашения для осуществления указанной деятельности.</w:t>
      </w:r>
      <w:r>
        <w:rPr>
          <w:rFonts w:ascii="Times New Roman" w:hAnsi="Times New Roman" w:cs="Times New Roman"/>
        </w:rPr>
      </w:r>
      <w:r>
        <w:rPr>
          <w:rFonts w:ascii="Times New Roman" w:hAnsi="Times New Roman" w:cs="Times New Roman"/>
        </w:rPr>
      </w:r>
    </w:p>
    <w:p>
      <w:pPr>
        <w:ind w:firstLine="680"/>
        <w:rPr>
          <w:sz w:val="24"/>
          <w:szCs w:val="24"/>
        </w:rPr>
      </w:pPr>
      <w:r>
        <w:rPr>
          <w:sz w:val="24"/>
          <w:szCs w:val="24"/>
        </w:rPr>
      </w:r>
      <w:r>
        <w:rPr>
          <w:sz w:val="24"/>
          <w:szCs w:val="24"/>
        </w:rPr>
      </w:r>
      <w:r>
        <w:rPr>
          <w:sz w:val="24"/>
          <w:szCs w:val="24"/>
        </w:rPr>
      </w:r>
    </w:p>
    <w:p>
      <w:pPr>
        <w:pStyle w:val="959"/>
        <w:ind w:firstLine="680"/>
        <w:jc w:val="center"/>
        <w:rPr>
          <w:rFonts w:ascii="Times New Roman" w:hAnsi="Times New Roman" w:cs="Times New Roman"/>
        </w:rPr>
      </w:pPr>
      <w:r/>
      <w:bookmarkStart w:id="3" w:name="sub_1200"/>
      <w:r>
        <w:rPr>
          <w:rStyle w:val="951"/>
          <w:rFonts w:ascii="Times New Roman" w:hAnsi="Times New Roman" w:cs="Times New Roman"/>
        </w:rPr>
        <w:t xml:space="preserve">II. Объект Соглашения</w:t>
      </w:r>
      <w:bookmarkEnd w:id="3"/>
      <w:r>
        <w:rPr>
          <w:rFonts w:ascii="Times New Roman" w:hAnsi="Times New Roman" w:cs="Times New Roman"/>
        </w:rPr>
      </w:r>
      <w:r>
        <w:rPr>
          <w:rFonts w:ascii="Times New Roman" w:hAnsi="Times New Roman" w:cs="Times New Roman"/>
        </w:rPr>
      </w:r>
    </w:p>
    <w:p>
      <w:pPr>
        <w:ind w:firstLine="680"/>
        <w:rPr>
          <w:sz w:val="24"/>
          <w:szCs w:val="24"/>
        </w:rPr>
      </w:pPr>
      <w:r>
        <w:rPr>
          <w:sz w:val="24"/>
          <w:szCs w:val="24"/>
        </w:rPr>
      </w:r>
      <w:r>
        <w:rPr>
          <w:sz w:val="24"/>
          <w:szCs w:val="24"/>
        </w:rPr>
      </w:r>
      <w:r>
        <w:rPr>
          <w:sz w:val="24"/>
          <w:szCs w:val="24"/>
        </w:rPr>
      </w:r>
    </w:p>
    <w:p>
      <w:pPr>
        <w:pStyle w:val="959"/>
        <w:numPr>
          <w:ilvl w:val="0"/>
          <w:numId w:val="2"/>
        </w:numPr>
        <w:ind w:left="0" w:firstLine="680"/>
        <w:jc w:val="both"/>
        <w:rPr>
          <w:rFonts w:ascii="Times New Roman" w:hAnsi="Times New Roman" w:cs="Times New Roman"/>
        </w:rPr>
      </w:pPr>
      <w:r/>
      <w:bookmarkStart w:id="4" w:name="sub_1202"/>
      <w:r>
        <w:rPr>
          <w:rFonts w:ascii="Times New Roman" w:hAnsi="Times New Roman" w:cs="Times New Roman"/>
        </w:rPr>
        <w:t xml:space="preserve">Объектом Соглашения являются </w:t>
      </w:r>
      <w:bookmarkEnd w:id="4"/>
      <w:r>
        <w:rPr>
          <w:rFonts w:ascii="Times New Roman" w:hAnsi="Times New Roman" w:cs="Times New Roman"/>
        </w:rPr>
        <w:t xml:space="preserve">объекты системы коммунальной инфраструктуры (системы теплоснабжения и горячего водосна</w:t>
      </w:r>
      <w:r>
        <w:rPr>
          <w:rFonts w:ascii="Times New Roman" w:hAnsi="Times New Roman" w:cs="Times New Roman"/>
        </w:rPr>
        <w:t xml:space="preserve">бжения), перечисленные в Приложении № 1 к настоящему Соглашению и предназначенные для производства, передачи и распределения тепловой энергии и горячей воды потребителям Печенгского муниципального округа Мурманской области, которые подлежат реконструкции. </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Объект Соглашения, подлежащий реконструкции, принадлежит Концеденту на праве собственности на основании подтверждающих документов. Копии документов, </w:t>
      </w:r>
      <w:r>
        <w:rPr>
          <w:rFonts w:ascii="Times New Roman" w:hAnsi="Times New Roman" w:cs="Times New Roman"/>
        </w:rPr>
        <w:t xml:space="preserve">удостоверяющих право собственност</w:t>
      </w:r>
      <w:r>
        <w:rPr>
          <w:rFonts w:ascii="Times New Roman" w:hAnsi="Times New Roman" w:cs="Times New Roman"/>
        </w:rPr>
        <w:t xml:space="preserve">и Концедента на объект Соглашения, составляют Приложение № 12 к настоящему Соглашению. Концедент гарантирует, что объект Соглашения передается Концессионеру свободным от прав третьих лиц и иных ограничений прав собственности Концедента на указанный объект.</w:t>
      </w:r>
      <w:r>
        <w:rPr>
          <w:rFonts w:ascii="Times New Roman" w:hAnsi="Times New Roman" w:cs="Times New Roman"/>
        </w:rPr>
      </w:r>
      <w:r>
        <w:rPr>
          <w:rFonts w:ascii="Times New Roman" w:hAnsi="Times New Roman" w:cs="Times New Roman"/>
        </w:rPr>
      </w:r>
    </w:p>
    <w:p>
      <w:pPr>
        <w:ind w:firstLine="680"/>
        <w:rPr>
          <w:sz w:val="24"/>
          <w:szCs w:val="24"/>
        </w:rPr>
      </w:pPr>
      <w:r>
        <w:rPr>
          <w:sz w:val="24"/>
          <w:szCs w:val="24"/>
        </w:rPr>
      </w:r>
      <w:r>
        <w:rPr>
          <w:sz w:val="24"/>
          <w:szCs w:val="24"/>
        </w:rPr>
      </w:r>
      <w:r>
        <w:rPr>
          <w:sz w:val="24"/>
          <w:szCs w:val="24"/>
        </w:rPr>
      </w:r>
    </w:p>
    <w:p>
      <w:pPr>
        <w:ind w:firstLine="680"/>
        <w:jc w:val="center"/>
        <w:rPr>
          <w:b/>
          <w:sz w:val="24"/>
          <w:szCs w:val="24"/>
        </w:rPr>
      </w:pPr>
      <w:r>
        <w:rPr>
          <w:b/>
          <w:sz w:val="24"/>
          <w:szCs w:val="24"/>
          <w:lang w:val="en-US"/>
        </w:rPr>
        <w:t xml:space="preserve">III</w:t>
      </w:r>
      <w:r>
        <w:rPr>
          <w:b/>
          <w:sz w:val="24"/>
          <w:szCs w:val="24"/>
        </w:rPr>
        <w:t xml:space="preserve">. Порядок передачи Концедентом Концессионеру объектов имущества</w:t>
      </w:r>
      <w:r>
        <w:rPr>
          <w:b/>
          <w:sz w:val="24"/>
          <w:szCs w:val="24"/>
        </w:rPr>
      </w:r>
      <w:r>
        <w:rPr>
          <w:b/>
          <w:sz w:val="24"/>
          <w:szCs w:val="24"/>
        </w:rPr>
      </w:r>
    </w:p>
    <w:p>
      <w:pPr>
        <w:ind w:firstLine="680"/>
        <w:rPr>
          <w:sz w:val="24"/>
          <w:szCs w:val="24"/>
        </w:rPr>
      </w:pPr>
      <w:r>
        <w:rPr>
          <w:sz w:val="24"/>
          <w:szCs w:val="24"/>
        </w:rPr>
      </w:r>
      <w:r>
        <w:rPr>
          <w:sz w:val="24"/>
          <w:szCs w:val="24"/>
        </w:rPr>
      </w:r>
      <w:r>
        <w:rPr>
          <w:sz w:val="24"/>
          <w:szCs w:val="24"/>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Концедент обязуется передать Концессионеру, а Концессионер обязуется приня</w:t>
      </w:r>
      <w:r>
        <w:rPr>
          <w:rFonts w:ascii="Times New Roman" w:hAnsi="Times New Roman" w:cs="Times New Roman"/>
        </w:rPr>
        <w:t xml:space="preserve">ть объекты теплоснабжения и горячего водоснабжения, перечисленные в Приложении № 1, движимое имущество, указанное в приложении № 16, а также права владения и пользования указанным объектом не позднее 10 рабочих дней с даты подписания настоящего Соглашения.</w:t>
      </w:r>
      <w:bookmarkStart w:id="5" w:name="sub_1242"/>
      <w:r>
        <w:rPr>
          <w:rFonts w:ascii="Times New Roman" w:hAnsi="Times New Roman" w:cs="Times New Roman"/>
        </w:rPr>
        <w:t xml:space="preserve"> Передача Концедентом Концессионеру </w:t>
      </w:r>
      <w:bookmarkEnd w:id="5"/>
      <w:r>
        <w:rPr>
          <w:rFonts w:ascii="Times New Roman" w:hAnsi="Times New Roman" w:cs="Times New Roman"/>
        </w:rPr>
        <w:t xml:space="preserve">объектов теплоснабжения, перечисленных в Приложениях №№ 1; 16, осуществляется п</w:t>
      </w:r>
      <w:r>
        <w:rPr>
          <w:rFonts w:ascii="Times New Roman" w:hAnsi="Times New Roman" w:cs="Times New Roman"/>
        </w:rPr>
        <w:t xml:space="preserve">о Акту приема-передачи имущества, содержащему сведения о составе имущества, техническом состоянии, сроке службы, начальной, остаточной и восстановительной стоимости передаваемого объекта и подписываемому Сторонами (приложение № 11) к настоящему Соглашению.</w:t>
      </w:r>
      <w:r>
        <w:rPr>
          <w:rFonts w:ascii="Times New Roman" w:hAnsi="Times New Roman" w:cs="Times New Roman"/>
        </w:rPr>
      </w:r>
      <w:r>
        <w:rPr>
          <w:rFonts w:ascii="Times New Roman" w:hAnsi="Times New Roman" w:cs="Times New Roman"/>
        </w:rPr>
      </w:r>
    </w:p>
    <w:p>
      <w:pPr>
        <w:pStyle w:val="959"/>
        <w:ind w:firstLine="680"/>
        <w:jc w:val="both"/>
        <w:rPr>
          <w:rFonts w:ascii="Times New Roman" w:hAnsi="Times New Roman" w:cs="Times New Roman"/>
        </w:rPr>
      </w:pPr>
      <w:r>
        <w:rPr>
          <w:rFonts w:ascii="Times New Roman" w:hAnsi="Times New Roman" w:cs="Times New Roman"/>
        </w:rPr>
        <w:t xml:space="preserve">4.1. Концессионер обязуется за свой счет осуществить действия по подготовке территории, необходимой для реконструкции Объекта Соглашения, а также эксплуатации Объекта Сог</w:t>
      </w:r>
      <w:r>
        <w:rPr>
          <w:rFonts w:ascii="Times New Roman" w:hAnsi="Times New Roman" w:cs="Times New Roman"/>
        </w:rPr>
        <w:t xml:space="preserve">лашения. Концедент обязуется оказать содействие в устранении ограничений и запретов, связанных с использованием для целей реконструкции и эксплуатации Концессионером Объекта Соглашения земельных участков, указанных в Приложении № 5 к настоящему Соглашению.</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Обязанность Концедента по передаче объекта Соглашения, считается испо</w:t>
      </w:r>
      <w:r>
        <w:rPr>
          <w:rFonts w:ascii="Times New Roman" w:hAnsi="Times New Roman" w:cs="Times New Roman"/>
        </w:rPr>
        <w:t xml:space="preserve">лненной после принятия объекта Концессионером и подписания Сторонами Акта приема-передачи имущества. Уклонение одной из Сторон от подписания указанного документа признается нарушением этой Стороной обязанности, установленной пунктом 4 настоящего Соглашения</w:t>
      </w:r>
      <w:r>
        <w:rPr>
          <w:rFonts w:ascii="Times New Roman" w:hAnsi="Times New Roman" w:cs="Times New Roman"/>
        </w:rPr>
        <w:t xml:space="preserve">. </w:t>
      </w:r>
      <w:r>
        <w:rPr>
          <w:rFonts w:ascii="Times New Roman" w:hAnsi="Times New Roman" w:cs="Times New Roman"/>
        </w:rPr>
      </w:r>
      <w:r>
        <w:rPr>
          <w:rFonts w:ascii="Times New Roman" w:hAnsi="Times New Roman" w:cs="Times New Roman"/>
        </w:rPr>
      </w:r>
    </w:p>
    <w:p>
      <w:pPr>
        <w:pStyle w:val="959"/>
        <w:ind w:firstLine="680"/>
        <w:jc w:val="both"/>
        <w:rPr>
          <w:rFonts w:ascii="Times New Roman" w:hAnsi="Times New Roman" w:cs="Times New Roman"/>
        </w:rPr>
      </w:pPr>
      <w:r>
        <w:rPr>
          <w:rFonts w:ascii="Times New Roman" w:hAnsi="Times New Roman" w:cs="Times New Roman"/>
        </w:rPr>
        <w:t xml:space="preserve">Концедент передает Концессионеру документы, относящиеся к передаваемому объекту Соглашения, необходимые для исполнения настоящего Соглашения, одновременно с передачей соответствующего объекта. </w:t>
      </w:r>
      <w:r>
        <w:rPr>
          <w:rFonts w:ascii="Times New Roman" w:hAnsi="Times New Roman" w:cs="Times New Roman"/>
        </w:rPr>
      </w:r>
      <w:r>
        <w:rPr>
          <w:rFonts w:ascii="Times New Roman" w:hAnsi="Times New Roman" w:cs="Times New Roman"/>
        </w:rPr>
      </w:r>
    </w:p>
    <w:p>
      <w:pPr>
        <w:pStyle w:val="959"/>
        <w:ind w:firstLine="680"/>
        <w:jc w:val="both"/>
        <w:rPr>
          <w:rFonts w:ascii="Times New Roman" w:hAnsi="Times New Roman" w:cs="Times New Roman"/>
        </w:rPr>
      </w:pPr>
      <w:r>
        <w:rPr>
          <w:rFonts w:ascii="Times New Roman" w:hAnsi="Times New Roman" w:cs="Times New Roman"/>
        </w:rPr>
        <w:t xml:space="preserve">Обязанность Концедента по передаче Концессионеру прав владения и пользования объектом Соглашения, считается исполненной со дня государственной регистрации указанных прав Концессионера.</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Выявленное при передаче Концессионеру несоответствие показателей объекта Соглашения, объектов недвижимого имущества, входящих в с</w:t>
      </w:r>
      <w:r>
        <w:rPr>
          <w:rFonts w:ascii="Times New Roman" w:hAnsi="Times New Roman" w:cs="Times New Roman"/>
        </w:rPr>
        <w:t xml:space="preserve">остав объекта Соглашения, технико-экономическим показателям, установленным в решении Концедента о заключении настоящего Соглашения, является основанием для предъявления Концессионером Концеденту требования о безвозмездном устранении выявленных недостатков.</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bookmarkStart w:id="6" w:name="sub_1207"/>
      <w:r>
        <w:rPr>
          <w:rFonts w:ascii="Times New Roman" w:hAnsi="Times New Roman" w:cs="Times New Roman"/>
        </w:rPr>
        <w:t xml:space="preserve">Состав объекта Соглашения (включая перечень объектов движимого и недвижимого</w:t>
      </w:r>
      <w:bookmarkEnd w:id="6"/>
      <w:r>
        <w:rPr>
          <w:rFonts w:ascii="Times New Roman" w:hAnsi="Times New Roman" w:cs="Times New Roman"/>
        </w:rPr>
        <w:t xml:space="preserve"> имущества, входящих в состав объекта Соглашения), его описание, в том числе его технико-экономические показатели, приведены в приложениях №№ 1; 16. к настоящему Соглашению.</w:t>
      </w:r>
      <w:r>
        <w:rPr>
          <w:rFonts w:ascii="Times New Roman" w:hAnsi="Times New Roman" w:cs="Times New Roman"/>
        </w:rPr>
      </w:r>
      <w:r>
        <w:rPr>
          <w:rFonts w:ascii="Times New Roman" w:hAnsi="Times New Roman" w:cs="Times New Roman"/>
        </w:rPr>
      </w:r>
    </w:p>
    <w:p>
      <w:pPr>
        <w:pStyle w:val="959"/>
        <w:ind w:firstLine="680"/>
        <w:jc w:val="both"/>
        <w:rPr>
          <w:rFonts w:ascii="Times New Roman" w:hAnsi="Times New Roman" w:cs="Times New Roman"/>
        </w:rPr>
      </w:pPr>
      <w:r>
        <w:rPr>
          <w:rFonts w:ascii="Times New Roman" w:hAnsi="Times New Roman" w:cs="Times New Roman"/>
        </w:rPr>
        <w:t xml:space="preserve">7.1. При выявлении в ходе реализации настоящего Соглашения бесхозяйных объектов централизованных систем теплоснабжения, технологически связанных с Объектом Соглашения, </w:t>
      </w:r>
      <w:bookmarkStart w:id="7" w:name="sub_1208"/>
      <w:r>
        <w:rPr>
          <w:rFonts w:ascii="Times New Roman" w:hAnsi="Times New Roman" w:cs="Times New Roman"/>
        </w:rPr>
        <w:t xml:space="preserve">Концессионер обязан обеспечить государственную регистрацию права собственности Концедента на указанное имущество, в том числе обеспечить выполнение кадастровых работ и осуществление государственной ре</w:t>
      </w:r>
      <w:r>
        <w:rPr>
          <w:rFonts w:ascii="Times New Roman" w:hAnsi="Times New Roman" w:cs="Times New Roman"/>
        </w:rPr>
        <w:t xml:space="preserve">гистрации права собственности Концедента на имущество, а также государственной регистрации обременения данного права в соответствии с ч. 15 статьи 3 Федерального закона от 21.07.2005 № 115-ФЗ, в срок, равный одному году с даты вступления в силу настоящего </w:t>
      </w:r>
      <w:r>
        <w:rPr>
          <w:rFonts w:ascii="Times New Roman" w:hAnsi="Times New Roman" w:cs="Times New Roman"/>
        </w:rPr>
        <w:t xml:space="preserve">Соглашения.</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bookmarkStart w:id="8" w:name="sub_1209"/>
      <w:r/>
      <w:bookmarkEnd w:id="7"/>
      <w:r>
        <w:rPr>
          <w:rFonts w:ascii="Times New Roman" w:hAnsi="Times New Roman" w:cs="Times New Roman"/>
        </w:rPr>
        <w:t xml:space="preserve">Стороны обязуются осуществить действия, необходимые для государственной регистрации прав Концессионера на владение и пользование объектом Соглашения в качестве обременения права собственности Концедента на объект Соглашения, в том числе:</w:t>
      </w:r>
      <w:r>
        <w:rPr>
          <w:rFonts w:ascii="Times New Roman" w:hAnsi="Times New Roman" w:cs="Times New Roman"/>
        </w:rPr>
      </w:r>
      <w:r>
        <w:rPr>
          <w:rFonts w:ascii="Times New Roman" w:hAnsi="Times New Roman" w:cs="Times New Roman"/>
        </w:rPr>
      </w:r>
    </w:p>
    <w:p>
      <w:pPr>
        <w:rPr>
          <w:sz w:val="24"/>
          <w:szCs w:val="24"/>
        </w:rPr>
      </w:pPr>
      <w:r>
        <w:rPr>
          <w:sz w:val="24"/>
          <w:szCs w:val="24"/>
        </w:rPr>
        <w:t xml:space="preserve">• составить и подписать акт приема-передачи имущества;</w:t>
      </w:r>
      <w:r>
        <w:rPr>
          <w:sz w:val="24"/>
          <w:szCs w:val="24"/>
        </w:rPr>
      </w:r>
      <w:r>
        <w:rPr>
          <w:sz w:val="24"/>
          <w:szCs w:val="24"/>
        </w:rPr>
      </w:r>
    </w:p>
    <w:p>
      <w:pPr>
        <w:rPr>
          <w:sz w:val="24"/>
          <w:szCs w:val="24"/>
        </w:rPr>
      </w:pPr>
      <w:r>
        <w:rPr>
          <w:sz w:val="24"/>
          <w:szCs w:val="24"/>
        </w:rPr>
        <w:t xml:space="preserve">• совместно подать заявление в регистрирующий орган в течение 30 календарных дней с момента подписания настоящего Соглашения.</w:t>
      </w:r>
      <w:r>
        <w:rPr>
          <w:sz w:val="24"/>
          <w:szCs w:val="24"/>
        </w:rPr>
      </w:r>
      <w:r>
        <w:rPr>
          <w:sz w:val="24"/>
          <w:szCs w:val="24"/>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Государственная регистрация прав, указанных в </w:t>
      </w:r>
      <w:hyperlink w:tooltip="#sub_1204" w:anchor="sub_1204" w:history="1">
        <w:r>
          <w:rPr>
            <w:rStyle w:val="952"/>
            <w:rFonts w:ascii="Times New Roman" w:hAnsi="Times New Roman"/>
          </w:rPr>
          <w:t xml:space="preserve">пункте 4</w:t>
        </w:r>
      </w:hyperlink>
      <w:r>
        <w:rPr>
          <w:rFonts w:ascii="Times New Roman" w:hAnsi="Times New Roman" w:cs="Times New Roman"/>
        </w:rPr>
        <w:t xml:space="preserve"> настоящего</w:t>
      </w:r>
      <w:bookmarkEnd w:id="8"/>
      <w:r>
        <w:rPr>
          <w:rFonts w:ascii="Times New Roman" w:hAnsi="Times New Roman" w:cs="Times New Roman"/>
        </w:rPr>
        <w:t xml:space="preserve"> Соглашения, осуществляется за счет Концессионера.</w:t>
      </w:r>
      <w:bookmarkStart w:id="9" w:name="sub_1210"/>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Риск случайной гибели или случайного повреждения объекта</w:t>
      </w:r>
      <w:bookmarkEnd w:id="9"/>
      <w:r>
        <w:rPr>
          <w:rFonts w:ascii="Times New Roman" w:hAnsi="Times New Roman" w:cs="Times New Roman"/>
        </w:rPr>
        <w:t xml:space="preserve"> Соглашения несет Концессионер в период действия концессионного соглашения.</w:t>
      </w:r>
      <w:r>
        <w:rPr>
          <w:rFonts w:ascii="Times New Roman" w:hAnsi="Times New Roman" w:cs="Times New Roman"/>
        </w:rPr>
      </w:r>
      <w:r>
        <w:rPr>
          <w:rFonts w:ascii="Times New Roman" w:hAnsi="Times New Roman" w:cs="Times New Roman"/>
        </w:rPr>
      </w:r>
    </w:p>
    <w:p>
      <w:pPr>
        <w:ind w:firstLine="680"/>
        <w:rPr>
          <w:sz w:val="24"/>
          <w:szCs w:val="24"/>
        </w:rPr>
      </w:pPr>
      <w:r>
        <w:rPr>
          <w:sz w:val="24"/>
          <w:szCs w:val="24"/>
        </w:rPr>
      </w:r>
      <w:r>
        <w:rPr>
          <w:sz w:val="24"/>
          <w:szCs w:val="24"/>
        </w:rPr>
      </w:r>
      <w:r>
        <w:rPr>
          <w:sz w:val="24"/>
          <w:szCs w:val="24"/>
        </w:rPr>
      </w:r>
    </w:p>
    <w:p>
      <w:pPr>
        <w:pStyle w:val="959"/>
        <w:ind w:firstLine="680"/>
        <w:jc w:val="center"/>
        <w:rPr>
          <w:rFonts w:ascii="Times New Roman" w:hAnsi="Times New Roman" w:cs="Times New Roman"/>
        </w:rPr>
      </w:pPr>
      <w:r/>
      <w:bookmarkStart w:id="10" w:name="sub_1300"/>
      <w:r>
        <w:rPr>
          <w:rStyle w:val="951"/>
          <w:rFonts w:ascii="Times New Roman" w:hAnsi="Times New Roman" w:cs="Times New Roman"/>
        </w:rPr>
        <w:t xml:space="preserve">I</w:t>
      </w:r>
      <w:r>
        <w:rPr>
          <w:rStyle w:val="951"/>
          <w:rFonts w:ascii="Times New Roman" w:hAnsi="Times New Roman" w:cs="Times New Roman"/>
          <w:lang w:val="en-US"/>
        </w:rPr>
        <w:t xml:space="preserve">V</w:t>
      </w:r>
      <w:r>
        <w:rPr>
          <w:rStyle w:val="951"/>
          <w:rFonts w:ascii="Times New Roman" w:hAnsi="Times New Roman" w:cs="Times New Roman"/>
        </w:rPr>
        <w:t xml:space="preserve">. Реконструкция объекта Соглашения</w:t>
      </w:r>
      <w:bookmarkEnd w:id="10"/>
      <w:r>
        <w:rPr>
          <w:rFonts w:ascii="Times New Roman" w:hAnsi="Times New Roman" w:cs="Times New Roman"/>
        </w:rPr>
      </w:r>
      <w:r>
        <w:rPr>
          <w:rFonts w:ascii="Times New Roman" w:hAnsi="Times New Roman" w:cs="Times New Roman"/>
        </w:rPr>
      </w:r>
    </w:p>
    <w:p>
      <w:pPr>
        <w:ind w:firstLine="680"/>
        <w:rPr>
          <w:sz w:val="24"/>
          <w:szCs w:val="24"/>
        </w:rPr>
      </w:pPr>
      <w:r>
        <w:rPr>
          <w:sz w:val="24"/>
          <w:szCs w:val="24"/>
        </w:rPr>
      </w:r>
      <w:r>
        <w:rPr>
          <w:sz w:val="24"/>
          <w:szCs w:val="24"/>
        </w:rPr>
      </w:r>
      <w:r>
        <w:rPr>
          <w:sz w:val="24"/>
          <w:szCs w:val="24"/>
        </w:rPr>
      </w:r>
    </w:p>
    <w:p>
      <w:pPr>
        <w:pStyle w:val="959"/>
        <w:numPr>
          <w:ilvl w:val="0"/>
          <w:numId w:val="2"/>
        </w:numPr>
        <w:ind w:left="0" w:firstLine="680"/>
        <w:jc w:val="both"/>
        <w:rPr>
          <w:rFonts w:ascii="Times New Roman" w:hAnsi="Times New Roman" w:cs="Times New Roman"/>
        </w:rPr>
      </w:pPr>
      <w:r/>
      <w:bookmarkStart w:id="11" w:name="sub_1311"/>
      <w:r>
        <w:rPr>
          <w:rFonts w:ascii="Times New Roman" w:hAnsi="Times New Roman" w:cs="Times New Roman"/>
        </w:rPr>
        <w:t xml:space="preserve">Концессионер обязан</w:t>
      </w:r>
      <w:bookmarkEnd w:id="11"/>
      <w:r>
        <w:rPr>
          <w:rFonts w:ascii="Times New Roman" w:hAnsi="Times New Roman" w:cs="Times New Roman"/>
        </w:rPr>
        <w:t xml:space="preserve"> реконструировать объект Соглашения, з</w:t>
      </w:r>
      <w:r>
        <w:rPr>
          <w:rFonts w:ascii="Times New Roman" w:hAnsi="Times New Roman" w:cs="Times New Roman"/>
        </w:rPr>
        <w:t xml:space="preserve">адание и перечень основных мероприятий по реконструкции которого установлены в приложении № 2 к настоящему Соглашению, в срок, указанный в пункте  55 настоящего Соглашения. Изменение целевого назначения реконструируемого объекта Соглашения не допускается. </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bookmarkStart w:id="12" w:name="sub_1315"/>
      <w:r>
        <w:rPr>
          <w:rFonts w:ascii="Times New Roman" w:hAnsi="Times New Roman" w:cs="Times New Roman"/>
        </w:rPr>
        <w:t xml:space="preserve">Концессионер вправе привлекать к выполнению работ по</w:t>
      </w:r>
      <w:bookmarkEnd w:id="12"/>
      <w:r>
        <w:rPr>
          <w:rFonts w:ascii="Times New Roman" w:hAnsi="Times New Roman" w:cs="Times New Roman"/>
        </w:rPr>
        <w:t xml:space="preserve"> реконструкции объекта Соглашения третьих лиц, за действия которых он отвечает как за свои собственные.</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Концессионер обязан за свой счет не позднее 6 месяцев с д</w:t>
      </w:r>
      <w:r>
        <w:rPr>
          <w:rFonts w:ascii="Times New Roman" w:hAnsi="Times New Roman" w:cs="Times New Roman"/>
        </w:rPr>
        <w:t xml:space="preserve">аты подписания Соглашения разработать и согласовать проектную документацию, необходимую для реконструкции объекта Соглашения, а также получить положительное заключение государственной экспертизы в части проверки достоверности определения сметной стоимости.</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bookmarkStart w:id="13" w:name="sub_1317"/>
      <w:r>
        <w:rPr>
          <w:rFonts w:ascii="Times New Roman" w:hAnsi="Times New Roman" w:cs="Times New Roman"/>
        </w:rPr>
        <w:t xml:space="preserve">Концедент обязуется обеспечить Концессионеру необходимые условия</w:t>
      </w:r>
      <w:bookmarkEnd w:id="13"/>
      <w:r>
        <w:rPr>
          <w:rFonts w:ascii="Times New Roman" w:hAnsi="Times New Roman" w:cs="Times New Roman"/>
        </w:rPr>
        <w:t xml:space="preserve"> для выполнения работ по реконструкции объекта Соглашения, в том числе принять необходимые меры по обеспечению свободного доступа Концессионера и уполномоченных им лиц к объекту Соглашения.</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bookmarkStart w:id="14" w:name="sub_1321"/>
      <w:r>
        <w:rPr>
          <w:rFonts w:ascii="Times New Roman" w:hAnsi="Times New Roman" w:cs="Times New Roman"/>
        </w:rPr>
        <w:t xml:space="preserve">При обнаружении Концессионером несоответствия проектной</w:t>
      </w:r>
      <w:bookmarkEnd w:id="14"/>
      <w:r>
        <w:rPr>
          <w:rFonts w:ascii="Times New Roman" w:hAnsi="Times New Roman" w:cs="Times New Roman"/>
        </w:rPr>
        <w:t xml:space="preserve"> документации требованиям, установленным настоящим Соглашением, требованиям технических регламентов и иных нормативных правовых актов Российск</w:t>
      </w:r>
      <w:r>
        <w:rPr>
          <w:rFonts w:ascii="Times New Roman" w:hAnsi="Times New Roman" w:cs="Times New Roman"/>
        </w:rPr>
        <w:t xml:space="preserve">ой Федерации Концессионер обязуется в течении 30 календарных дней предупредить об этом Концедента и на основании решения Концедента до момента внесения необходимых изменений в проектную документацию приостановить работу по реконструкции объекта Соглашения.</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bookmarkStart w:id="15" w:name="sub_1322"/>
      <w:r>
        <w:rPr>
          <w:rFonts w:ascii="Times New Roman" w:hAnsi="Times New Roman" w:cs="Times New Roman"/>
        </w:rPr>
        <w:t xml:space="preserve"> При обнаружении Концессионером независящих от Сторон</w:t>
      </w:r>
      <w:bookmarkEnd w:id="15"/>
      <w:r>
        <w:rPr>
          <w:rFonts w:ascii="Times New Roman" w:hAnsi="Times New Roman" w:cs="Times New Roman"/>
        </w:rPr>
        <w:t xml:space="preserve"> обстоятельств, делающих невозможным реконструкцию объекта Соглашения в сроки, установленные настоящим Соглашением, и (или) использование (эксплуатацию) объекта Соглашения, Концессионер обязуется в течении 30 календарных дней</w:t>
      </w:r>
      <w:r>
        <w:rPr>
          <w:rFonts w:ascii="Times New Roman" w:hAnsi="Times New Roman" w:cs="Times New Roman"/>
        </w:rPr>
        <w:t xml:space="preserve"> </w:t>
      </w:r>
      <w:r>
        <w:rPr>
          <w:rFonts w:ascii="Times New Roman" w:hAnsi="Times New Roman" w:cs="Times New Roman"/>
        </w:rPr>
        <w:t xml:space="preserve"> уведомить Концедента об указанных обстоятельствах в целях согласования дальнейших действий Сторон по исполнению настоящего Соглашения.</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bookmarkStart w:id="16" w:name="sub_1323"/>
      <w:r>
        <w:rPr>
          <w:rFonts w:ascii="Times New Roman" w:hAnsi="Times New Roman" w:cs="Times New Roman"/>
        </w:rPr>
        <w:t xml:space="preserve">Концессионер обязан ввести объект Соглашения в эксплуатацию в</w:t>
      </w:r>
      <w:bookmarkEnd w:id="16"/>
      <w:r>
        <w:rPr>
          <w:rFonts w:ascii="Times New Roman" w:hAnsi="Times New Roman" w:cs="Times New Roman"/>
        </w:rPr>
        <w:t xml:space="preserve"> порядке, установленном законодательством Российской Федерации.</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bookmarkStart w:id="17" w:name="sub_1324"/>
      <w:r>
        <w:rPr>
          <w:rFonts w:ascii="Times New Roman" w:hAnsi="Times New Roman" w:cs="Times New Roman"/>
        </w:rPr>
        <w:t xml:space="preserve">Концессионер обязан приступить к использованию</w:t>
      </w:r>
      <w:bookmarkEnd w:id="17"/>
      <w:r>
        <w:rPr>
          <w:rFonts w:ascii="Times New Roman" w:hAnsi="Times New Roman" w:cs="Times New Roman"/>
        </w:rPr>
        <w:t xml:space="preserve"> (эксплуатации) объекта Соглашения в срок, указанный в </w:t>
      </w:r>
      <w:hyperlink w:tooltip="#sub_1868" w:anchor="sub_1868" w:history="1">
        <w:r>
          <w:rPr>
            <w:rStyle w:val="952"/>
            <w:rFonts w:ascii="Times New Roman" w:hAnsi="Times New Roman"/>
          </w:rPr>
          <w:t xml:space="preserve">пункте </w:t>
        </w:r>
      </w:hyperlink>
      <w:r>
        <w:rPr>
          <w:rStyle w:val="952"/>
          <w:rFonts w:ascii="Times New Roman" w:hAnsi="Times New Roman"/>
        </w:rPr>
        <w:t xml:space="preserve">57</w:t>
      </w:r>
      <w:r>
        <w:rPr>
          <w:rFonts w:ascii="Times New Roman" w:hAnsi="Times New Roman" w:cs="Times New Roman"/>
        </w:rPr>
        <w:t xml:space="preserve"> настоящего Соглашения.</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bookmarkStart w:id="18" w:name="sub_1325"/>
      <w:r>
        <w:rPr>
          <w:rFonts w:ascii="Times New Roman" w:hAnsi="Times New Roman" w:cs="Times New Roman"/>
        </w:rPr>
        <w:t xml:space="preserve">Концессионер обязан осуществить инвестиции в </w:t>
      </w:r>
      <w:bookmarkEnd w:id="18"/>
      <w:r>
        <w:rPr>
          <w:rFonts w:ascii="Times New Roman" w:hAnsi="Times New Roman" w:cs="Times New Roman"/>
        </w:rPr>
        <w:t xml:space="preserve">реконструкцию объекта Соглашения в объемах и формах, указанных в приложении № 3 к настоящему Соглашению.</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bookmarkStart w:id="19" w:name="sub_1326"/>
      <w:r>
        <w:rPr>
          <w:rFonts w:ascii="Times New Roman" w:hAnsi="Times New Roman" w:cs="Times New Roman"/>
        </w:rPr>
        <w:t xml:space="preserve">Концессионер обязан обеспечить сдачу в эксплуатацию объекта</w:t>
      </w:r>
      <w:bookmarkEnd w:id="19"/>
      <w:r>
        <w:rPr>
          <w:rFonts w:ascii="Times New Roman" w:hAnsi="Times New Roman" w:cs="Times New Roman"/>
        </w:rPr>
        <w:t xml:space="preserve"> Соглашения </w:t>
      </w:r>
      <w:r>
        <w:rPr>
          <w:rFonts w:ascii="Times New Roman" w:hAnsi="Times New Roman" w:cs="Times New Roman"/>
        </w:rPr>
        <w:t xml:space="preserve">с показателями надежности и энергетической эффективности, указанными в приложении № 7 к настоящему Соглашению, в срок, указанный в </w:t>
      </w:r>
      <w:hyperlink w:tooltip="#sub_1867" w:anchor="sub_1867" w:history="1">
        <w:r>
          <w:rPr>
            <w:rStyle w:val="952"/>
            <w:rFonts w:ascii="Times New Roman" w:hAnsi="Times New Roman"/>
          </w:rPr>
          <w:t xml:space="preserve">пункте </w:t>
        </w:r>
      </w:hyperlink>
      <w:r>
        <w:rPr>
          <w:rFonts w:ascii="Times New Roman" w:hAnsi="Times New Roman" w:cs="Times New Roman"/>
        </w:rPr>
        <w:t xml:space="preserve">56 настоящего Соглашения.</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bookmarkStart w:id="20" w:name="sub_1327"/>
      <w:r>
        <w:rPr>
          <w:rFonts w:ascii="Times New Roman" w:hAnsi="Times New Roman" w:cs="Times New Roman"/>
        </w:rPr>
        <w:t xml:space="preserve">Завершение Концессионером работ по </w:t>
      </w:r>
      <w:bookmarkEnd w:id="20"/>
      <w:r>
        <w:rPr>
          <w:rFonts w:ascii="Times New Roman" w:hAnsi="Times New Roman" w:cs="Times New Roman"/>
        </w:rPr>
        <w:t xml:space="preserve"> реконструкции объекта Соглашения оформляется подписываемым Сторонами документом об исп</w:t>
      </w:r>
      <w:r>
        <w:rPr>
          <w:rFonts w:ascii="Times New Roman" w:hAnsi="Times New Roman" w:cs="Times New Roman"/>
        </w:rPr>
        <w:t xml:space="preserve">олнении Концессионером своих обязательств по реконструкции объекта Соглашения. Кроме того, Стороны обязуются осуществить действия, необходимые для государственной регистрации права собственности Концедента на создаваемое недвижимое имущество в составе Объе</w:t>
      </w:r>
      <w:r>
        <w:rPr>
          <w:rFonts w:ascii="Times New Roman" w:hAnsi="Times New Roman" w:cs="Times New Roman"/>
        </w:rPr>
        <w:t xml:space="preserve">кта Соглашения в течении 30 календарных дней с даты ввода созданного недвижимого имущества в эксплуатацию. Оплата государственной регистрации права собственности осуществляется Концедентом. Государственная регистрация прав владения и пользования Концессион</w:t>
      </w:r>
      <w:r>
        <w:rPr>
          <w:rFonts w:ascii="Times New Roman" w:hAnsi="Times New Roman" w:cs="Times New Roman"/>
        </w:rPr>
        <w:t xml:space="preserve">ера вновь созданным недвижимым имуществом осуществляется одновременно с государственной регистрацией права собственности Концедента на такое недвижимое имущество. Оплата государственной регистрации прав владения и пользования осуществляется Концессионером.</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Движимое имущество, которое создано и (или) приобретено концессионером при осуществлении деятельности, предусмотренной Соглашением, и не входит в состав и</w:t>
      </w:r>
      <w:r>
        <w:rPr>
          <w:rFonts w:ascii="Times New Roman" w:hAnsi="Times New Roman" w:cs="Times New Roman"/>
        </w:rPr>
        <w:t xml:space="preserve">ного передаваемого Концедентом Концессионеру по Соглашению имущества, является собственностью Концессионера. Недвижимое имущество, которое создано Концессионером с согласия Концедента при осуществлении деятельности, предусмотренной Соглашением, и не относи</w:t>
      </w:r>
      <w:r>
        <w:rPr>
          <w:rFonts w:ascii="Times New Roman" w:hAnsi="Times New Roman" w:cs="Times New Roman"/>
        </w:rPr>
        <w:t xml:space="preserve">тся к объекту Соглашения, и не входит в состав иного передаваемого Концедентом Концессионеру по Соглашению имущества, является собственностью Концессионера. Недвижимое имущество, которое создано Концессионером без согласия Концедента при осуществлении деят</w:t>
      </w:r>
      <w:r>
        <w:rPr>
          <w:rFonts w:ascii="Times New Roman" w:hAnsi="Times New Roman" w:cs="Times New Roman"/>
        </w:rPr>
        <w:t xml:space="preserve">ельности, предусмотренной Соглашением, и не относится к объекту Соглашения, и не входит в состав иного передаваемого Концедентом Концессионеру по Соглашению имущества, является собственностью Концедента, и стоимость такого имущества возмещению не подлежит.</w:t>
      </w:r>
      <w:r>
        <w:rPr>
          <w:rFonts w:ascii="Times New Roman" w:hAnsi="Times New Roman" w:cs="Times New Roman"/>
        </w:rPr>
      </w:r>
      <w:r>
        <w:rPr>
          <w:rFonts w:ascii="Times New Roman" w:hAnsi="Times New Roman" w:cs="Times New Roman"/>
        </w:rPr>
      </w:r>
    </w:p>
    <w:p>
      <w:pPr>
        <w:pStyle w:val="959"/>
        <w:ind w:left="680"/>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r>
      <w:r>
        <w:rPr>
          <w:rFonts w:ascii="Times New Roman" w:hAnsi="Times New Roman" w:cs="Times New Roman"/>
        </w:rPr>
      </w:r>
    </w:p>
    <w:p>
      <w:pPr>
        <w:pStyle w:val="959"/>
        <w:ind w:firstLine="680"/>
        <w:jc w:val="center"/>
        <w:rPr>
          <w:rFonts w:ascii="Times New Roman" w:hAnsi="Times New Roman" w:cs="Times New Roman"/>
        </w:rPr>
      </w:pPr>
      <w:r/>
      <w:bookmarkStart w:id="21" w:name="sub_1400"/>
      <w:r>
        <w:rPr>
          <w:rStyle w:val="951"/>
          <w:rFonts w:ascii="Times New Roman" w:hAnsi="Times New Roman" w:cs="Times New Roman"/>
        </w:rPr>
        <w:t xml:space="preserve">V. Порядок предоставления</w:t>
      </w:r>
      <w:bookmarkEnd w:id="21"/>
      <w:r>
        <w:rPr>
          <w:rFonts w:ascii="Times New Roman" w:hAnsi="Times New Roman" w:cs="Times New Roman"/>
        </w:rPr>
      </w:r>
      <w:r>
        <w:rPr>
          <w:rFonts w:ascii="Times New Roman" w:hAnsi="Times New Roman" w:cs="Times New Roman"/>
        </w:rPr>
      </w:r>
    </w:p>
    <w:p>
      <w:pPr>
        <w:pStyle w:val="959"/>
        <w:ind w:firstLine="680"/>
        <w:jc w:val="center"/>
        <w:rPr>
          <w:rFonts w:ascii="Times New Roman" w:hAnsi="Times New Roman" w:cs="Times New Roman"/>
        </w:rPr>
      </w:pPr>
      <w:r>
        <w:rPr>
          <w:rStyle w:val="951"/>
          <w:rFonts w:ascii="Times New Roman" w:hAnsi="Times New Roman" w:cs="Times New Roman"/>
        </w:rPr>
        <w:t xml:space="preserve">Концессионеру земельных участков</w:t>
      </w:r>
      <w:r>
        <w:rPr>
          <w:rFonts w:ascii="Times New Roman" w:hAnsi="Times New Roman" w:cs="Times New Roman"/>
        </w:rPr>
      </w:r>
      <w:r>
        <w:rPr>
          <w:rFonts w:ascii="Times New Roman" w:hAnsi="Times New Roman" w:cs="Times New Roman"/>
        </w:rPr>
      </w:r>
    </w:p>
    <w:p>
      <w:pPr>
        <w:ind w:firstLine="680"/>
        <w:rPr>
          <w:sz w:val="24"/>
          <w:szCs w:val="24"/>
        </w:rPr>
      </w:pPr>
      <w:r>
        <w:rPr>
          <w:sz w:val="24"/>
          <w:szCs w:val="24"/>
        </w:rPr>
      </w:r>
      <w:r>
        <w:rPr>
          <w:sz w:val="24"/>
          <w:szCs w:val="24"/>
        </w:rPr>
      </w:r>
      <w:r>
        <w:rPr>
          <w:sz w:val="24"/>
          <w:szCs w:val="24"/>
        </w:rPr>
      </w:r>
    </w:p>
    <w:p>
      <w:pPr>
        <w:pStyle w:val="959"/>
        <w:numPr>
          <w:ilvl w:val="0"/>
          <w:numId w:val="2"/>
        </w:numPr>
        <w:ind w:left="0" w:firstLine="680"/>
        <w:jc w:val="both"/>
        <w:rPr>
          <w:rFonts w:ascii="Times New Roman" w:hAnsi="Times New Roman" w:cs="Times New Roman"/>
        </w:rPr>
      </w:pPr>
      <w:r/>
      <w:bookmarkStart w:id="22" w:name="sub_1428"/>
      <w:r>
        <w:rPr>
          <w:rFonts w:ascii="Times New Roman" w:hAnsi="Times New Roman" w:cs="Times New Roman"/>
        </w:rPr>
        <w:t xml:space="preserve">Концедент обязуется заключить с Концессионером договор </w:t>
      </w:r>
      <w:bookmarkEnd w:id="22"/>
      <w:r>
        <w:rPr>
          <w:rFonts w:ascii="Times New Roman" w:hAnsi="Times New Roman" w:cs="Times New Roman"/>
        </w:rPr>
        <w:t xml:space="preserve">аренды земельного участка, на котором расположен объект Соглашения в течение 60 календарных дней с даты подписания настоящего Соглашения. Указанный земельный участок принадлежат Концеденту на праве собственности</w:t>
      </w:r>
      <w:bookmarkStart w:id="23" w:name="sub_1429"/>
      <w:r>
        <w:rPr>
          <w:rFonts w:ascii="Times New Roman" w:hAnsi="Times New Roman" w:cs="Times New Roman"/>
        </w:rPr>
        <w:t xml:space="preserve">.</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Описание земельного участка, в том числе его кадастровый номер,</w:t>
      </w:r>
      <w:bookmarkEnd w:id="23"/>
      <w:r>
        <w:rPr>
          <w:rFonts w:ascii="Times New Roman" w:hAnsi="Times New Roman" w:cs="Times New Roman"/>
        </w:rPr>
        <w:t xml:space="preserve"> местоположение, площадь, приведено в приложении № 5 к настоящему Соглашению.</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bookmarkStart w:id="24" w:name="sub_1430"/>
      <w:r>
        <w:rPr>
          <w:rFonts w:ascii="Times New Roman" w:hAnsi="Times New Roman" w:cs="Times New Roman"/>
        </w:rPr>
        <w:t xml:space="preserve">Арендная плата за переданный земельный участок устанавливается</w:t>
      </w:r>
      <w:bookmarkEnd w:id="24"/>
      <w:r>
        <w:rPr>
          <w:rFonts w:ascii="Times New Roman" w:hAnsi="Times New Roman" w:cs="Times New Roman"/>
        </w:rPr>
        <w:t xml:space="preserve"> на основании Договора аренды земельного участка, заключенного по форме, указанной в приложении № 15 к настоящему Соглашению.</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bookmarkStart w:id="25" w:name="sub_1431"/>
      <w:r>
        <w:rPr>
          <w:rFonts w:ascii="Times New Roman" w:hAnsi="Times New Roman" w:cs="Times New Roman"/>
        </w:rPr>
        <w:t xml:space="preserve">Договор </w:t>
      </w:r>
      <w:bookmarkEnd w:id="25"/>
      <w:r>
        <w:rPr>
          <w:rFonts w:ascii="Times New Roman" w:hAnsi="Times New Roman" w:cs="Times New Roman"/>
        </w:rPr>
        <w:t xml:space="preserve">аренды земельного участка заключается на срок, указанный в пункте 54 настоящего Соглашения. Договор аренды </w:t>
      </w:r>
      <w:r>
        <w:rPr>
          <w:rFonts w:ascii="Times New Roman" w:hAnsi="Times New Roman" w:cs="Times New Roman"/>
        </w:rPr>
        <w:t xml:space="preserve">земельного участка подлежат государственной регистрации в установленном законодательством Российской Федерации порядке и вступает в силу с момента данной регистрации. Государственная регистрация указанного договора должна осуществляться за счет Концедента.</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bookmarkStart w:id="26" w:name="sub_1432"/>
      <w:r>
        <w:rPr>
          <w:rFonts w:ascii="Times New Roman" w:hAnsi="Times New Roman" w:cs="Times New Roman"/>
        </w:rPr>
        <w:t xml:space="preserve">Концессионер не вправе передавать свои права по договору</w:t>
      </w:r>
      <w:bookmarkEnd w:id="26"/>
      <w:r>
        <w:rPr>
          <w:rFonts w:ascii="Times New Roman" w:hAnsi="Times New Roman" w:cs="Times New Roman"/>
        </w:rPr>
        <w:t xml:space="preserve"> аренды земельного участка другим лицам и сдавать земельный участок в субаренду, если иное не предусмотрено договором аренды земельного участка.</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bookmarkStart w:id="27" w:name="sub_1433"/>
      <w:r>
        <w:rPr>
          <w:rFonts w:ascii="Times New Roman" w:hAnsi="Times New Roman" w:cs="Times New Roman"/>
        </w:rPr>
        <w:t xml:space="preserve">Прекращение настоящего Соглашения является основанием для</w:t>
      </w:r>
      <w:bookmarkEnd w:id="27"/>
      <w:r>
        <w:rPr>
          <w:rFonts w:ascii="Times New Roman" w:hAnsi="Times New Roman" w:cs="Times New Roman"/>
        </w:rPr>
        <w:t xml:space="preserve"> прекращения договора аренды земельного участка.</w:t>
      </w:r>
      <w:bookmarkStart w:id="28" w:name="sub_1434"/>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Копии документов, удостоверяющих право </w:t>
      </w:r>
      <w:bookmarkEnd w:id="28"/>
      <w:r>
        <w:rPr>
          <w:rFonts w:ascii="Times New Roman" w:hAnsi="Times New Roman" w:cs="Times New Roman"/>
        </w:rPr>
        <w:t xml:space="preserve">собственности Концедента в отношении земельных участков, предоставляемых Концессионеру по договорам аренды </w:t>
      </w:r>
      <w:r>
        <w:rPr>
          <w:rFonts w:ascii="Times New Roman" w:hAnsi="Times New Roman" w:cs="Times New Roman"/>
        </w:rPr>
        <w:t xml:space="preserve">указаны в приложении № 6 к настоящему Соглашению.</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bookmarkStart w:id="29" w:name="sub_1435"/>
      <w:r>
        <w:rPr>
          <w:rFonts w:ascii="Times New Roman" w:hAnsi="Times New Roman" w:cs="Times New Roman"/>
        </w:rPr>
        <w:t xml:space="preserve">Концессионер не вправе без согла</w:t>
      </w:r>
      <w:r>
        <w:rPr>
          <w:rFonts w:ascii="Times New Roman" w:hAnsi="Times New Roman" w:cs="Times New Roman"/>
        </w:rPr>
        <w:t xml:space="preserve">сия Концедента возводить на земельном участке, находящемся в собственности Концедента, объекты недвижимого имущества, а также размещать на земельном участке любое иное имущество, не входящие в состав объекта Соглашения, предназначенные для использования пр</w:t>
      </w:r>
      <w:r>
        <w:rPr>
          <w:rFonts w:ascii="Times New Roman" w:hAnsi="Times New Roman" w:cs="Times New Roman"/>
        </w:rPr>
        <w:t xml:space="preserve">и осуществлении Концессионером деятельности по настоящему Соглашению. Концессионер не вправе использовать земельные участки, находящиеся в собственности Концедента, в целях, не связанных с осуществлением Концессионером деятельности по настоящему Соглашению</w:t>
      </w:r>
      <w:bookmarkEnd w:id="29"/>
      <w:r>
        <w:rPr>
          <w:rFonts w:ascii="Times New Roman" w:hAnsi="Times New Roman" w:cs="Times New Roman"/>
        </w:rPr>
        <w:t xml:space="preserve">.</w:t>
      </w:r>
      <w:r>
        <w:rPr>
          <w:rFonts w:ascii="Times New Roman" w:hAnsi="Times New Roman" w:cs="Times New Roman"/>
        </w:rPr>
      </w:r>
      <w:r>
        <w:rPr>
          <w:rFonts w:ascii="Times New Roman" w:hAnsi="Times New Roman" w:cs="Times New Roman"/>
        </w:rPr>
      </w:r>
    </w:p>
    <w:p>
      <w:pPr>
        <w:ind w:firstLine="680"/>
        <w:rPr>
          <w:sz w:val="24"/>
          <w:szCs w:val="24"/>
        </w:rPr>
      </w:pPr>
      <w:r>
        <w:rPr>
          <w:sz w:val="24"/>
          <w:szCs w:val="24"/>
        </w:rPr>
      </w:r>
      <w:r>
        <w:rPr>
          <w:sz w:val="24"/>
          <w:szCs w:val="24"/>
        </w:rPr>
      </w:r>
      <w:r>
        <w:rPr>
          <w:sz w:val="24"/>
          <w:szCs w:val="24"/>
        </w:rPr>
      </w:r>
    </w:p>
    <w:p>
      <w:pPr>
        <w:pStyle w:val="959"/>
        <w:ind w:firstLine="680"/>
        <w:jc w:val="center"/>
        <w:rPr>
          <w:rFonts w:ascii="Times New Roman" w:hAnsi="Times New Roman" w:cs="Times New Roman"/>
        </w:rPr>
      </w:pPr>
      <w:r/>
      <w:bookmarkStart w:id="30" w:name="sub_1500"/>
      <w:r>
        <w:rPr>
          <w:rStyle w:val="951"/>
          <w:rFonts w:ascii="Times New Roman" w:hAnsi="Times New Roman" w:cs="Times New Roman"/>
        </w:rPr>
        <w:t xml:space="preserve">V</w:t>
      </w:r>
      <w:r>
        <w:rPr>
          <w:rStyle w:val="951"/>
          <w:rFonts w:ascii="Times New Roman" w:hAnsi="Times New Roman" w:cs="Times New Roman"/>
          <w:lang w:val="en-US"/>
        </w:rPr>
        <w:t xml:space="preserve">I</w:t>
      </w:r>
      <w:r>
        <w:rPr>
          <w:rStyle w:val="951"/>
          <w:rFonts w:ascii="Times New Roman" w:hAnsi="Times New Roman" w:cs="Times New Roman"/>
        </w:rPr>
        <w:t xml:space="preserve">. Владение, пользование и распоряжение объектами имущества,</w:t>
      </w:r>
      <w:bookmarkEnd w:id="30"/>
      <w:r>
        <w:rPr>
          <w:rFonts w:ascii="Times New Roman" w:hAnsi="Times New Roman" w:cs="Times New Roman"/>
        </w:rPr>
      </w:r>
      <w:r>
        <w:rPr>
          <w:rFonts w:ascii="Times New Roman" w:hAnsi="Times New Roman" w:cs="Times New Roman"/>
        </w:rPr>
      </w:r>
    </w:p>
    <w:p>
      <w:pPr>
        <w:pStyle w:val="959"/>
        <w:ind w:firstLine="680"/>
        <w:jc w:val="center"/>
        <w:rPr>
          <w:rFonts w:ascii="Times New Roman" w:hAnsi="Times New Roman" w:cs="Times New Roman"/>
        </w:rPr>
      </w:pPr>
      <w:r>
        <w:rPr>
          <w:rStyle w:val="951"/>
          <w:rFonts w:ascii="Times New Roman" w:hAnsi="Times New Roman" w:cs="Times New Roman"/>
        </w:rPr>
        <w:t xml:space="preserve">предоставляемыми Концессионеру</w:t>
      </w:r>
      <w:r>
        <w:rPr>
          <w:rFonts w:ascii="Times New Roman" w:hAnsi="Times New Roman" w:cs="Times New Roman"/>
        </w:rPr>
      </w:r>
      <w:r>
        <w:rPr>
          <w:rFonts w:ascii="Times New Roman" w:hAnsi="Times New Roman" w:cs="Times New Roman"/>
        </w:rPr>
      </w:r>
    </w:p>
    <w:p>
      <w:pPr>
        <w:ind w:firstLine="680"/>
        <w:rPr>
          <w:sz w:val="24"/>
          <w:szCs w:val="24"/>
        </w:rPr>
      </w:pPr>
      <w:r>
        <w:rPr>
          <w:sz w:val="24"/>
          <w:szCs w:val="24"/>
        </w:rPr>
      </w:r>
      <w:r>
        <w:rPr>
          <w:sz w:val="24"/>
          <w:szCs w:val="24"/>
        </w:rPr>
      </w:r>
      <w:r>
        <w:rPr>
          <w:sz w:val="24"/>
          <w:szCs w:val="24"/>
        </w:rPr>
      </w:r>
    </w:p>
    <w:p>
      <w:pPr>
        <w:pStyle w:val="959"/>
        <w:numPr>
          <w:ilvl w:val="0"/>
          <w:numId w:val="2"/>
        </w:numPr>
        <w:ind w:left="0" w:firstLine="680"/>
        <w:jc w:val="both"/>
        <w:rPr>
          <w:rFonts w:ascii="Times New Roman" w:hAnsi="Times New Roman" w:cs="Times New Roman"/>
        </w:rPr>
      </w:pPr>
      <w:r/>
      <w:bookmarkStart w:id="31" w:name="sub_1536"/>
      <w:r>
        <w:rPr>
          <w:rFonts w:ascii="Times New Roman" w:hAnsi="Times New Roman" w:cs="Times New Roman"/>
        </w:rPr>
        <w:t xml:space="preserve">Концедент обязан предоставить Концессионеру права владения и</w:t>
      </w:r>
      <w:bookmarkEnd w:id="31"/>
      <w:r>
        <w:rPr>
          <w:rFonts w:ascii="Times New Roman" w:hAnsi="Times New Roman" w:cs="Times New Roman"/>
        </w:rPr>
        <w:t xml:space="preserve"> пользования (эксплуатации) объекта Соглашения.</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bookmarkStart w:id="32" w:name="sub_1537"/>
      <w:r>
        <w:rPr>
          <w:rFonts w:ascii="Times New Roman" w:hAnsi="Times New Roman" w:cs="Times New Roman"/>
        </w:rPr>
        <w:t xml:space="preserve">Концессионер обязан использовать (эксплуатировать)</w:t>
      </w:r>
      <w:bookmarkEnd w:id="32"/>
      <w:r>
        <w:rPr>
          <w:rFonts w:ascii="Times New Roman" w:hAnsi="Times New Roman" w:cs="Times New Roman"/>
        </w:rPr>
        <w:t xml:space="preserve"> объект Соглашения, в установленном настоящим Соглашением порядке в целях осуществления деятельности, указанной в </w:t>
      </w:r>
      <w:hyperlink w:tooltip="#sub_1101" w:anchor="sub_1101" w:history="1">
        <w:r>
          <w:rPr>
            <w:rStyle w:val="952"/>
            <w:rFonts w:ascii="Times New Roman" w:hAnsi="Times New Roman"/>
          </w:rPr>
          <w:t xml:space="preserve">пункте 1</w:t>
        </w:r>
      </w:hyperlink>
      <w:r>
        <w:rPr>
          <w:rFonts w:ascii="Times New Roman" w:hAnsi="Times New Roman" w:cs="Times New Roman"/>
        </w:rPr>
        <w:t xml:space="preserve"> настоящего Соглашения.</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bookmarkStart w:id="33" w:name="sub_1538"/>
      <w:r>
        <w:rPr>
          <w:rFonts w:ascii="Times New Roman" w:hAnsi="Times New Roman" w:cs="Times New Roman"/>
        </w:rPr>
        <w:t xml:space="preserve"> </w:t>
      </w:r>
      <w:bookmarkStart w:id="34" w:name="sub_1539"/>
      <w:r/>
      <w:bookmarkEnd w:id="33"/>
      <w:r>
        <w:rPr>
          <w:rFonts w:ascii="Times New Roman" w:hAnsi="Times New Roman" w:cs="Times New Roman"/>
        </w:rPr>
        <w:t xml:space="preserve">Концессионер обязан поддерживать объект Соглашения в исправном</w:t>
      </w:r>
      <w:bookmarkEnd w:id="34"/>
      <w:r>
        <w:rPr>
          <w:rFonts w:ascii="Times New Roman" w:hAnsi="Times New Roman" w:cs="Times New Roman"/>
        </w:rPr>
        <w:t xml:space="preserve"> состоянии, производить за свой счет текущий и капитальный ремонт, нести расходы на содержание объекта Соглашения</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bookmarkStart w:id="35" w:name="sub_1541"/>
      <w:r>
        <w:rPr>
          <w:rFonts w:ascii="Times New Roman" w:hAnsi="Times New Roman" w:cs="Times New Roman"/>
        </w:rPr>
        <w:t xml:space="preserve">Концессионер не имеет права передавать объект</w:t>
      </w:r>
      <w:bookmarkEnd w:id="35"/>
      <w:r>
        <w:rPr>
          <w:rFonts w:ascii="Times New Roman" w:hAnsi="Times New Roman" w:cs="Times New Roman"/>
        </w:rPr>
        <w:t xml:space="preserve"> Соглашения в пользование третьим лицам.</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bookmarkStart w:id="36" w:name="sub_1542"/>
      <w:r>
        <w:rPr>
          <w:rFonts w:ascii="Times New Roman" w:hAnsi="Times New Roman" w:cs="Times New Roman"/>
        </w:rPr>
        <w:t xml:space="preserve">Передача Концессионером в залог или отчуждение объекта</w:t>
      </w:r>
      <w:bookmarkEnd w:id="36"/>
      <w:r>
        <w:rPr>
          <w:rFonts w:ascii="Times New Roman" w:hAnsi="Times New Roman" w:cs="Times New Roman"/>
        </w:rPr>
        <w:t xml:space="preserve"> Соглашения не допускается.</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bookmarkStart w:id="37" w:name="sub_1543"/>
      <w:r>
        <w:rPr>
          <w:rFonts w:ascii="Times New Roman" w:hAnsi="Times New Roman" w:cs="Times New Roman"/>
        </w:rPr>
        <w:t xml:space="preserve">Продукция и доходы, полученные Концессионером в результате</w:t>
      </w:r>
      <w:bookmarkEnd w:id="37"/>
      <w:r>
        <w:rPr>
          <w:rFonts w:ascii="Times New Roman" w:hAnsi="Times New Roman" w:cs="Times New Roman"/>
        </w:rPr>
        <w:t xml:space="preserve"> осуществления деятельности по настоящему Соглашению, являются собствен</w:t>
      </w:r>
      <w:bookmarkStart w:id="38" w:name="sub_1544"/>
      <w:r>
        <w:rPr>
          <w:rFonts w:ascii="Times New Roman" w:hAnsi="Times New Roman" w:cs="Times New Roman"/>
        </w:rPr>
        <w:t xml:space="preserve">ностью Концессионера.</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bookmarkStart w:id="39" w:name="sub_1545"/>
      <w:r/>
      <w:bookmarkEnd w:id="38"/>
      <w:r>
        <w:rPr>
          <w:rFonts w:ascii="Times New Roman" w:hAnsi="Times New Roman" w:cs="Times New Roman"/>
        </w:rPr>
        <w:t xml:space="preserve">Объект концессионного соглашения и иное передаваемое Концедентом Концессионеру по концессионному соглашению имущество отражаются на балансе Концессионера, обос</w:t>
      </w:r>
      <w:r>
        <w:rPr>
          <w:rFonts w:ascii="Times New Roman" w:hAnsi="Times New Roman" w:cs="Times New Roman"/>
        </w:rPr>
        <w:t xml:space="preserve">обляются от его имущества. В отношении таких объекта и имущества Концессионером ведется самостоятельный учет, осуществляемый им в связи с исполнением обязательств по концессионному соглашению, и производится начисление амортизации таких объекта и имущества</w:t>
      </w:r>
      <w:bookmarkEnd w:id="39"/>
      <w:r>
        <w:rPr>
          <w:rFonts w:ascii="Times New Roman" w:hAnsi="Times New Roman" w:cs="Times New Roman"/>
        </w:rPr>
        <w:t xml:space="preserve">.</w:t>
      </w:r>
      <w:r>
        <w:rPr>
          <w:rFonts w:ascii="Times New Roman" w:hAnsi="Times New Roman" w:cs="Times New Roman"/>
        </w:rPr>
      </w:r>
      <w:r>
        <w:rPr>
          <w:rFonts w:ascii="Times New Roman" w:hAnsi="Times New Roman" w:cs="Times New Roman"/>
        </w:rPr>
      </w:r>
    </w:p>
    <w:p>
      <w:pPr>
        <w:ind w:firstLine="680"/>
        <w:rPr>
          <w:sz w:val="24"/>
          <w:szCs w:val="24"/>
        </w:rPr>
      </w:pPr>
      <w:r>
        <w:rPr>
          <w:sz w:val="24"/>
          <w:szCs w:val="24"/>
        </w:rPr>
      </w:r>
      <w:r>
        <w:rPr>
          <w:sz w:val="24"/>
          <w:szCs w:val="24"/>
        </w:rPr>
      </w:r>
      <w:r>
        <w:rPr>
          <w:sz w:val="24"/>
          <w:szCs w:val="24"/>
        </w:rPr>
      </w:r>
    </w:p>
    <w:p>
      <w:pPr>
        <w:pStyle w:val="959"/>
        <w:ind w:firstLine="680"/>
        <w:jc w:val="center"/>
        <w:rPr>
          <w:rFonts w:ascii="Times New Roman" w:hAnsi="Times New Roman" w:cs="Times New Roman"/>
        </w:rPr>
      </w:pPr>
      <w:r/>
      <w:bookmarkStart w:id="40" w:name="sub_1600"/>
      <w:r>
        <w:rPr>
          <w:rStyle w:val="951"/>
          <w:rFonts w:ascii="Times New Roman" w:hAnsi="Times New Roman" w:cs="Times New Roman"/>
        </w:rPr>
        <w:t xml:space="preserve">VI</w:t>
      </w:r>
      <w:r>
        <w:rPr>
          <w:rStyle w:val="951"/>
          <w:rFonts w:ascii="Times New Roman" w:hAnsi="Times New Roman" w:cs="Times New Roman"/>
          <w:lang w:val="en-US"/>
        </w:rPr>
        <w:t xml:space="preserve">I</w:t>
      </w:r>
      <w:r>
        <w:rPr>
          <w:rStyle w:val="951"/>
          <w:rFonts w:ascii="Times New Roman" w:hAnsi="Times New Roman" w:cs="Times New Roman"/>
        </w:rPr>
        <w:t xml:space="preserve">. Порядок передачи Концессионером</w:t>
      </w:r>
      <w:bookmarkEnd w:id="40"/>
      <w:r>
        <w:rPr>
          <w:rFonts w:ascii="Times New Roman" w:hAnsi="Times New Roman" w:cs="Times New Roman"/>
        </w:rPr>
      </w:r>
      <w:r>
        <w:rPr>
          <w:rFonts w:ascii="Times New Roman" w:hAnsi="Times New Roman" w:cs="Times New Roman"/>
        </w:rPr>
      </w:r>
    </w:p>
    <w:p>
      <w:pPr>
        <w:pStyle w:val="959"/>
        <w:ind w:firstLine="680"/>
        <w:jc w:val="center"/>
        <w:rPr>
          <w:rFonts w:ascii="Times New Roman" w:hAnsi="Times New Roman" w:cs="Times New Roman"/>
        </w:rPr>
      </w:pPr>
      <w:r>
        <w:rPr>
          <w:rStyle w:val="951"/>
          <w:rFonts w:ascii="Times New Roman" w:hAnsi="Times New Roman" w:cs="Times New Roman"/>
        </w:rPr>
        <w:t xml:space="preserve">Концеденту объектов имущества</w:t>
      </w:r>
      <w:r>
        <w:rPr>
          <w:rFonts w:ascii="Times New Roman" w:hAnsi="Times New Roman" w:cs="Times New Roman"/>
        </w:rPr>
      </w:r>
      <w:r>
        <w:rPr>
          <w:rFonts w:ascii="Times New Roman" w:hAnsi="Times New Roman" w:cs="Times New Roman"/>
        </w:rPr>
      </w:r>
    </w:p>
    <w:p>
      <w:pPr>
        <w:ind w:firstLine="680"/>
        <w:jc w:val="center"/>
        <w:rPr>
          <w:sz w:val="24"/>
          <w:szCs w:val="24"/>
        </w:rPr>
      </w:pPr>
      <w:r>
        <w:rPr>
          <w:sz w:val="24"/>
          <w:szCs w:val="24"/>
        </w:rPr>
      </w:r>
      <w:r>
        <w:rPr>
          <w:sz w:val="24"/>
          <w:szCs w:val="24"/>
        </w:rPr>
      </w:r>
      <w:r>
        <w:rPr>
          <w:sz w:val="24"/>
          <w:szCs w:val="24"/>
        </w:rPr>
      </w:r>
    </w:p>
    <w:p>
      <w:pPr>
        <w:pStyle w:val="959"/>
        <w:numPr>
          <w:ilvl w:val="0"/>
          <w:numId w:val="2"/>
        </w:numPr>
        <w:ind w:left="0" w:firstLine="680"/>
        <w:jc w:val="both"/>
        <w:rPr>
          <w:rFonts w:ascii="Times New Roman" w:hAnsi="Times New Roman" w:cs="Times New Roman"/>
        </w:rPr>
      </w:pPr>
      <w:r/>
      <w:bookmarkStart w:id="41" w:name="sub_1646"/>
      <w:r>
        <w:rPr>
          <w:rFonts w:ascii="Times New Roman" w:hAnsi="Times New Roman" w:cs="Times New Roman"/>
        </w:rPr>
        <w:t xml:space="preserve">Концессионер обязан передать Концеденту, а Концедент обязан</w:t>
      </w:r>
      <w:bookmarkEnd w:id="41"/>
      <w:r>
        <w:rPr>
          <w:rFonts w:ascii="Times New Roman" w:hAnsi="Times New Roman" w:cs="Times New Roman"/>
        </w:rPr>
        <w:t xml:space="preserve"> принять объект Соглашения в течение 30 календарных дней по истечении срока действия настоящего Соглашения. Передаваемый Концессионером объект Соглашения должен быть пригодным для осуществления деятельности, указанной в </w:t>
      </w:r>
      <w:hyperlink w:tooltip="#sub_1101" w:anchor="sub_1101" w:history="1">
        <w:r>
          <w:rPr>
            <w:rStyle w:val="952"/>
            <w:rFonts w:ascii="Times New Roman" w:hAnsi="Times New Roman"/>
          </w:rPr>
          <w:t xml:space="preserve">пункте 1</w:t>
        </w:r>
      </w:hyperlink>
      <w:r>
        <w:rPr>
          <w:rFonts w:ascii="Times New Roman" w:hAnsi="Times New Roman" w:cs="Times New Roman"/>
        </w:rPr>
        <w:t xml:space="preserve"> настоящего Соглашения, и не должен быть обременен правами третьих лиц.</w:t>
      </w:r>
      <w:bookmarkStart w:id="42" w:name="sub_1647"/>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bookmarkStart w:id="43" w:name="sub_1648"/>
      <w:r/>
      <w:bookmarkEnd w:id="42"/>
      <w:r>
        <w:rPr>
          <w:rFonts w:ascii="Times New Roman" w:hAnsi="Times New Roman" w:cs="Times New Roman"/>
        </w:rPr>
        <w:t xml:space="preserve">Передача Концессионером Концеденту объектов, указанных в</w:t>
      </w:r>
      <w:bookmarkEnd w:id="43"/>
      <w:r>
        <w:rPr>
          <w:rFonts w:ascii="Times New Roman" w:hAnsi="Times New Roman" w:cs="Times New Roman"/>
        </w:rPr>
        <w:t xml:space="preserve"> </w:t>
      </w:r>
      <w:hyperlink w:tooltip="#sub_1646" w:anchor="sub_1646" w:history="1">
        <w:r>
          <w:rPr>
            <w:rStyle w:val="952"/>
            <w:rFonts w:ascii="Times New Roman" w:hAnsi="Times New Roman"/>
          </w:rPr>
          <w:t xml:space="preserve">пункте </w:t>
        </w:r>
      </w:hyperlink>
      <w:r>
        <w:rPr>
          <w:rStyle w:val="952"/>
          <w:rFonts w:ascii="Times New Roman" w:hAnsi="Times New Roman"/>
        </w:rPr>
        <w:t xml:space="preserve">38</w:t>
      </w:r>
      <w:r>
        <w:rPr>
          <w:rFonts w:ascii="Times New Roman" w:hAnsi="Times New Roman" w:cs="Times New Roman"/>
        </w:rPr>
        <w:t xml:space="preserve"> настоящего Соглашения, осуществляется по подписываемому Сторонами Акту приема-передачи имущества.</w:t>
      </w:r>
      <w:bookmarkStart w:id="44" w:name="sub_1649"/>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Концессионер передает Концеденту документы, относящиеся к</w:t>
      </w:r>
      <w:bookmarkEnd w:id="44"/>
      <w:r>
        <w:rPr>
          <w:rFonts w:ascii="Times New Roman" w:hAnsi="Times New Roman" w:cs="Times New Roman"/>
        </w:rPr>
        <w:t xml:space="preserve"> передаваемому объекту, одновременно с передачей этого объекта Концеденту.</w:t>
      </w:r>
      <w:bookmarkStart w:id="45" w:name="sub_1650"/>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Концедент вправе отказаться от подписания </w:t>
      </w:r>
      <w:bookmarkEnd w:id="45"/>
      <w:r>
        <w:rPr>
          <w:rFonts w:ascii="Times New Roman" w:hAnsi="Times New Roman" w:cs="Times New Roman"/>
        </w:rPr>
        <w:t xml:space="preserve">Акта приема-передачи имущества в случае существенного не исполнения условий проектных решений, влекущих угрозу не достижения целей Соглашения</w:t>
      </w:r>
      <w:bookmarkStart w:id="46" w:name="sub_1651"/>
      <w:r>
        <w:rPr>
          <w:rFonts w:ascii="Times New Roman" w:hAnsi="Times New Roman" w:cs="Times New Roman"/>
        </w:rPr>
        <w:t xml:space="preserve">.</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Обязанность Концессионера по передаче объекта Соглашения</w:t>
      </w:r>
      <w:bookmarkEnd w:id="46"/>
      <w:r>
        <w:rPr>
          <w:rFonts w:ascii="Times New Roman" w:hAnsi="Times New Roman" w:cs="Times New Roman"/>
        </w:rPr>
        <w:t xml:space="preserve"> считается </w:t>
      </w:r>
      <w:r>
        <w:rPr>
          <w:rFonts w:ascii="Times New Roman" w:hAnsi="Times New Roman" w:cs="Times New Roman"/>
        </w:rPr>
        <w:t xml:space="preserve">исполненной с момента подписания Сторонами Акта приема-передачи имущества и государственной регистрации прекращения прав Концессионера на владение и пользование указанными Объектами.</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bookmarkStart w:id="47" w:name="sub_1652"/>
      <w:r>
        <w:rPr>
          <w:rFonts w:ascii="Times New Roman" w:hAnsi="Times New Roman" w:cs="Times New Roman"/>
        </w:rPr>
        <w:t xml:space="preserve">Уклонение одной из Сторон от подписания </w:t>
      </w:r>
      <w:bookmarkEnd w:id="47"/>
      <w:r>
        <w:rPr>
          <w:rFonts w:ascii="Times New Roman" w:hAnsi="Times New Roman" w:cs="Times New Roman"/>
        </w:rPr>
        <w:t xml:space="preserve">Акта приема-передачи имущества признается отказом этой Стороны от исполнения ею обязанностей, установленных </w:t>
      </w:r>
      <w:hyperlink w:tooltip="#sub_1646" w:anchor="sub_1646" w:history="1">
        <w:r>
          <w:rPr>
            <w:rStyle w:val="952"/>
            <w:rFonts w:ascii="Times New Roman" w:hAnsi="Times New Roman"/>
          </w:rPr>
          <w:t xml:space="preserve">пунктом </w:t>
        </w:r>
      </w:hyperlink>
      <w:r>
        <w:rPr>
          <w:rStyle w:val="952"/>
          <w:rFonts w:ascii="Times New Roman" w:hAnsi="Times New Roman"/>
        </w:rPr>
        <w:t xml:space="preserve">38</w:t>
      </w:r>
      <w:r>
        <w:rPr>
          <w:rFonts w:ascii="Times New Roman" w:hAnsi="Times New Roman" w:cs="Times New Roman"/>
        </w:rPr>
        <w:t xml:space="preserve"> настоящего Соглашения.</w:t>
      </w:r>
      <w:bookmarkStart w:id="48" w:name="sub_1653"/>
      <w:r>
        <w:rPr>
          <w:rFonts w:ascii="Times New Roman" w:hAnsi="Times New Roman" w:cs="Times New Roman"/>
        </w:rPr>
        <w:t xml:space="preserve"> При уклонении Концедента от подписания акта приема-передачи имущества, Концессионер направляет Концеденту уведомление о готовности передать объекты Соглашения, иное имущество. П</w:t>
      </w:r>
      <w:r>
        <w:rPr>
          <w:rFonts w:ascii="Times New Roman" w:hAnsi="Times New Roman" w:cs="Times New Roman"/>
        </w:rPr>
        <w:t xml:space="preserve">о истечении 10 дней с момента направления такого уведомления и отсутствия мотивированного отказа Концедента от принятия объектов Соглашения, обязанность Концессионера по передаче объектов, указанных в пункте 38 настоящего Соглашения, считается исполненной.</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Прекращение прав Концессионера на владение и пользование</w:t>
      </w:r>
      <w:bookmarkEnd w:id="48"/>
      <w:r>
        <w:rPr>
          <w:rFonts w:ascii="Times New Roman" w:hAnsi="Times New Roman" w:cs="Times New Roman"/>
        </w:rPr>
        <w:t xml:space="preserve"> объектами недвижимого им</w:t>
      </w:r>
      <w:r>
        <w:rPr>
          <w:rFonts w:ascii="Times New Roman" w:hAnsi="Times New Roman" w:cs="Times New Roman"/>
        </w:rPr>
        <w:t xml:space="preserve">ущества, входящими в состав объекта Соглашения, подлежит государственной регистрации в установленном законодательством Российской Федерации порядке. Государственная регистрация прекращения указанных прав Концессионера осуществляется за счет Концессионера. </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Стороны обязуются осуществить действия, необходимые для государственной регистрации прекращения указанных прав Концессионера, в течение 30 календарных дней с даты прекращения настоящего Соглашения:</w:t>
      </w:r>
      <w:r>
        <w:rPr>
          <w:rFonts w:ascii="Times New Roman" w:hAnsi="Times New Roman" w:cs="Times New Roman"/>
        </w:rPr>
      </w:r>
      <w:r>
        <w:rPr>
          <w:rFonts w:ascii="Times New Roman" w:hAnsi="Times New Roman" w:cs="Times New Roman"/>
        </w:rPr>
      </w:r>
    </w:p>
    <w:p>
      <w:pPr>
        <w:pStyle w:val="943"/>
        <w:numPr>
          <w:ilvl w:val="0"/>
          <w:numId w:val="13"/>
        </w:numPr>
        <w:contextualSpacing w:val="0"/>
        <w:ind w:left="0" w:firstLine="680"/>
        <w:jc w:val="both"/>
        <w:widowControl w:val="off"/>
        <w:rPr>
          <w:sz w:val="24"/>
          <w:szCs w:val="24"/>
          <w:lang w:val="ru-RU"/>
        </w:rPr>
      </w:pPr>
      <w:r>
        <w:rPr>
          <w:sz w:val="24"/>
          <w:szCs w:val="24"/>
          <w:lang w:val="ru-RU"/>
        </w:rPr>
        <w:t xml:space="preserve">составить и подписать акт приема-передачи имущества;</w:t>
      </w:r>
      <w:r>
        <w:rPr>
          <w:sz w:val="24"/>
          <w:szCs w:val="24"/>
          <w:lang w:val="ru-RU"/>
        </w:rPr>
      </w:r>
      <w:r>
        <w:rPr>
          <w:sz w:val="24"/>
          <w:szCs w:val="24"/>
          <w:lang w:val="ru-RU"/>
        </w:rPr>
      </w:r>
    </w:p>
    <w:p>
      <w:pPr>
        <w:pStyle w:val="943"/>
        <w:numPr>
          <w:ilvl w:val="0"/>
          <w:numId w:val="13"/>
        </w:numPr>
        <w:contextualSpacing w:val="0"/>
        <w:ind w:left="0" w:firstLine="680"/>
        <w:jc w:val="both"/>
        <w:widowControl w:val="off"/>
        <w:rPr>
          <w:sz w:val="24"/>
          <w:szCs w:val="24"/>
          <w:lang w:val="ru-RU"/>
        </w:rPr>
      </w:pPr>
      <w:r>
        <w:rPr>
          <w:sz w:val="24"/>
          <w:szCs w:val="24"/>
          <w:lang w:val="ru-RU"/>
        </w:rPr>
        <w:t xml:space="preserve">совместно подать заявление в регистрирующий орган в течение 30 календарных дней с момента прекращения настоящего Соглашения.</w:t>
      </w:r>
      <w:r>
        <w:rPr>
          <w:sz w:val="24"/>
          <w:szCs w:val="24"/>
          <w:lang w:val="ru-RU"/>
        </w:rPr>
      </w:r>
      <w:r>
        <w:rPr>
          <w:sz w:val="24"/>
          <w:szCs w:val="24"/>
          <w:lang w:val="ru-RU"/>
        </w:rPr>
      </w:r>
    </w:p>
    <w:p>
      <w:pPr>
        <w:ind w:firstLine="680"/>
        <w:rPr>
          <w:sz w:val="24"/>
          <w:szCs w:val="24"/>
        </w:rPr>
      </w:pPr>
      <w:r>
        <w:rPr>
          <w:sz w:val="24"/>
          <w:szCs w:val="24"/>
        </w:rPr>
      </w:r>
      <w:r>
        <w:rPr>
          <w:sz w:val="24"/>
          <w:szCs w:val="24"/>
        </w:rPr>
      </w:r>
      <w:r>
        <w:rPr>
          <w:sz w:val="24"/>
          <w:szCs w:val="24"/>
        </w:rPr>
      </w:r>
    </w:p>
    <w:p>
      <w:pPr>
        <w:pStyle w:val="959"/>
        <w:ind w:firstLine="680"/>
        <w:jc w:val="center"/>
        <w:rPr>
          <w:rFonts w:ascii="Times New Roman" w:hAnsi="Times New Roman" w:cs="Times New Roman"/>
        </w:rPr>
      </w:pPr>
      <w:r/>
      <w:bookmarkStart w:id="49" w:name="sub_1700"/>
      <w:r>
        <w:rPr>
          <w:rStyle w:val="951"/>
          <w:rFonts w:ascii="Times New Roman" w:hAnsi="Times New Roman" w:cs="Times New Roman"/>
        </w:rPr>
        <w:t xml:space="preserve">VII</w:t>
      </w:r>
      <w:r>
        <w:rPr>
          <w:rStyle w:val="951"/>
          <w:rFonts w:ascii="Times New Roman" w:hAnsi="Times New Roman" w:cs="Times New Roman"/>
          <w:lang w:val="en-US"/>
        </w:rPr>
        <w:t xml:space="preserve">I</w:t>
      </w:r>
      <w:r>
        <w:rPr>
          <w:rStyle w:val="951"/>
          <w:rFonts w:ascii="Times New Roman" w:hAnsi="Times New Roman" w:cs="Times New Roman"/>
        </w:rPr>
        <w:t xml:space="preserve">. Порядок осуществления Концессионером деятельности по настоящему</w:t>
      </w:r>
      <w:bookmarkEnd w:id="49"/>
      <w:r>
        <w:rPr>
          <w:rFonts w:ascii="Times New Roman" w:hAnsi="Times New Roman" w:cs="Times New Roman"/>
        </w:rPr>
        <w:t xml:space="preserve"> </w:t>
      </w:r>
      <w:r>
        <w:rPr>
          <w:rStyle w:val="951"/>
          <w:rFonts w:ascii="Times New Roman" w:hAnsi="Times New Roman" w:cs="Times New Roman"/>
        </w:rPr>
        <w:t xml:space="preserve">Соглашению</w:t>
      </w:r>
      <w:r>
        <w:rPr>
          <w:rFonts w:ascii="Times New Roman" w:hAnsi="Times New Roman" w:cs="Times New Roman"/>
        </w:rPr>
      </w:r>
      <w:r>
        <w:rPr>
          <w:rFonts w:ascii="Times New Roman" w:hAnsi="Times New Roman" w:cs="Times New Roman"/>
        </w:rPr>
      </w:r>
    </w:p>
    <w:p>
      <w:pPr>
        <w:ind w:firstLine="680"/>
        <w:jc w:val="center"/>
        <w:rPr>
          <w:sz w:val="24"/>
          <w:szCs w:val="24"/>
        </w:rPr>
      </w:pPr>
      <w:r>
        <w:rPr>
          <w:sz w:val="24"/>
          <w:szCs w:val="24"/>
        </w:rPr>
      </w:r>
      <w:r>
        <w:rPr>
          <w:sz w:val="24"/>
          <w:szCs w:val="24"/>
        </w:rPr>
      </w:r>
      <w:r>
        <w:rPr>
          <w:sz w:val="24"/>
          <w:szCs w:val="24"/>
        </w:rPr>
      </w:r>
    </w:p>
    <w:p>
      <w:pPr>
        <w:pStyle w:val="959"/>
        <w:numPr>
          <w:ilvl w:val="0"/>
          <w:numId w:val="2"/>
        </w:numPr>
        <w:ind w:left="0" w:firstLine="680"/>
        <w:jc w:val="both"/>
        <w:rPr>
          <w:rFonts w:ascii="Times New Roman" w:hAnsi="Times New Roman" w:cs="Times New Roman"/>
        </w:rPr>
      </w:pPr>
      <w:r/>
      <w:bookmarkStart w:id="50" w:name="sub_1754"/>
      <w:r>
        <w:rPr>
          <w:rFonts w:ascii="Times New Roman" w:hAnsi="Times New Roman" w:cs="Times New Roman"/>
        </w:rPr>
        <w:t xml:space="preserve">По настоящему Соглашению Концессионер обязан на условиях,</w:t>
      </w:r>
      <w:bookmarkEnd w:id="50"/>
      <w:r>
        <w:rPr>
          <w:rFonts w:ascii="Times New Roman" w:hAnsi="Times New Roman" w:cs="Times New Roman"/>
        </w:rPr>
        <w:t xml:space="preserve"> предусмотренных настоящим Соглашением, осуществлять деятельность, указанную в </w:t>
      </w:r>
      <w:hyperlink w:tooltip="#sub_1101" w:anchor="sub_1101" w:history="1">
        <w:r>
          <w:rPr>
            <w:rStyle w:val="952"/>
            <w:rFonts w:ascii="Times New Roman" w:hAnsi="Times New Roman"/>
          </w:rPr>
          <w:t xml:space="preserve">пункте 1</w:t>
        </w:r>
      </w:hyperlink>
      <w:r>
        <w:rPr>
          <w:rFonts w:ascii="Times New Roman" w:hAnsi="Times New Roman" w:cs="Times New Roman"/>
        </w:rPr>
        <w:t xml:space="preserve"> настоящего Соглашения.</w:t>
      </w:r>
      <w:bookmarkStart w:id="51" w:name="sub_1755"/>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Концессионер обязан осуществлять связанную с использованием</w:t>
      </w:r>
      <w:bookmarkEnd w:id="51"/>
      <w:r>
        <w:rPr>
          <w:rFonts w:ascii="Times New Roman" w:hAnsi="Times New Roman" w:cs="Times New Roman"/>
        </w:rPr>
        <w:t xml:space="preserve"> объекта Соглашения деятельность, указанную в </w:t>
      </w:r>
      <w:hyperlink w:tooltip="#sub_1101" w:anchor="sub_1101" w:history="1">
        <w:r>
          <w:rPr>
            <w:rStyle w:val="952"/>
            <w:rFonts w:ascii="Times New Roman" w:hAnsi="Times New Roman"/>
          </w:rPr>
          <w:t xml:space="preserve">пункте 1</w:t>
        </w:r>
      </w:hyperlink>
      <w:r>
        <w:rPr>
          <w:rFonts w:ascii="Times New Roman" w:hAnsi="Times New Roman" w:cs="Times New Roman"/>
        </w:rPr>
        <w:t xml:space="preserve"> настоящего Соглашения, в пределах территории обслуживания   и не прекращать (не приостанавливать) эту деятельность без согласия Концедента.</w:t>
      </w:r>
      <w:bookmarkStart w:id="52" w:name="sub_1756"/>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Концессионер </w:t>
      </w:r>
      <w:bookmarkEnd w:id="52"/>
      <w:r>
        <w:rPr>
          <w:rFonts w:ascii="Times New Roman" w:hAnsi="Times New Roman" w:cs="Times New Roman"/>
        </w:rPr>
        <w:t xml:space="preserve">имеет право с согласия Концендента осуществлять деятельность, указанную в </w:t>
      </w:r>
      <w:hyperlink w:tooltip="#sub_1101" w:anchor="sub_1101" w:history="1">
        <w:r>
          <w:rPr>
            <w:rStyle w:val="952"/>
            <w:rFonts w:ascii="Times New Roman" w:hAnsi="Times New Roman"/>
          </w:rPr>
          <w:t xml:space="preserve">пункте 1</w:t>
        </w:r>
      </w:hyperlink>
      <w:r>
        <w:rPr>
          <w:rFonts w:ascii="Times New Roman" w:hAnsi="Times New Roman" w:cs="Times New Roman"/>
        </w:rPr>
        <w:t xml:space="preserve"> настоящего Соглашения, за пределами территории обслуживания. При этом Концессионер обязан осуществлять указанную деятельность на территории обслуживания в первоочередном порядке.</w:t>
      </w:r>
      <w:bookmarkStart w:id="53" w:name="sub_1757"/>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Концессионер обязан осуществлять деятельность, указанную в</w:t>
      </w:r>
      <w:bookmarkEnd w:id="53"/>
      <w:r>
        <w:rPr>
          <w:rFonts w:ascii="Times New Roman" w:hAnsi="Times New Roman" w:cs="Times New Roman"/>
        </w:rPr>
        <w:t xml:space="preserve"> </w:t>
      </w:r>
      <w:hyperlink w:tooltip="#sub_1101" w:anchor="sub_1101" w:history="1">
        <w:r>
          <w:rPr>
            <w:rStyle w:val="952"/>
            <w:rFonts w:ascii="Times New Roman" w:hAnsi="Times New Roman"/>
          </w:rPr>
          <w:t xml:space="preserve">пункте 1</w:t>
        </w:r>
      </w:hyperlink>
      <w:r>
        <w:rPr>
          <w:rFonts w:ascii="Times New Roman" w:hAnsi="Times New Roman" w:cs="Times New Roman"/>
        </w:rPr>
        <w:t xml:space="preserve"> настоящего Соглашения, в соответствии с требованиями, установленными законод</w:t>
      </w:r>
      <w:bookmarkStart w:id="54" w:name="sub_1758"/>
      <w:r>
        <w:rPr>
          <w:rFonts w:ascii="Times New Roman" w:hAnsi="Times New Roman" w:cs="Times New Roman"/>
        </w:rPr>
        <w:t xml:space="preserve">ательством Российской Федерации, включая:</w:t>
      </w:r>
      <w:r>
        <w:rPr>
          <w:rFonts w:ascii="Times New Roman" w:hAnsi="Times New Roman" w:cs="Times New Roman"/>
        </w:rPr>
      </w:r>
      <w:r>
        <w:rPr>
          <w:rFonts w:ascii="Times New Roman" w:hAnsi="Times New Roman" w:cs="Times New Roman"/>
        </w:rPr>
      </w:r>
    </w:p>
    <w:p>
      <w:pPr>
        <w:pStyle w:val="943"/>
        <w:numPr>
          <w:ilvl w:val="0"/>
          <w:numId w:val="14"/>
        </w:numPr>
        <w:contextualSpacing w:val="0"/>
        <w:ind w:left="0" w:firstLine="680"/>
        <w:jc w:val="both"/>
        <w:widowControl w:val="off"/>
        <w:rPr>
          <w:sz w:val="24"/>
          <w:szCs w:val="24"/>
          <w:lang w:val="ru-RU"/>
        </w:rPr>
      </w:pPr>
      <w:r>
        <w:rPr>
          <w:sz w:val="24"/>
          <w:szCs w:val="24"/>
          <w:lang w:val="ru-RU"/>
        </w:rPr>
        <w:t xml:space="preserve">требования к передаче имущественных прав, необходимых для реконструкции и эксплуатации объекта Соглашения;</w:t>
      </w:r>
      <w:r>
        <w:rPr>
          <w:sz w:val="24"/>
          <w:szCs w:val="24"/>
          <w:lang w:val="ru-RU"/>
        </w:rPr>
      </w:r>
      <w:r>
        <w:rPr>
          <w:sz w:val="24"/>
          <w:szCs w:val="24"/>
          <w:lang w:val="ru-RU"/>
        </w:rPr>
      </w:r>
    </w:p>
    <w:p>
      <w:pPr>
        <w:pStyle w:val="943"/>
        <w:numPr>
          <w:ilvl w:val="0"/>
          <w:numId w:val="14"/>
        </w:numPr>
        <w:contextualSpacing w:val="0"/>
        <w:ind w:left="0" w:firstLine="680"/>
        <w:jc w:val="both"/>
        <w:widowControl w:val="off"/>
        <w:rPr>
          <w:sz w:val="24"/>
          <w:szCs w:val="24"/>
          <w:lang w:val="ru-RU"/>
        </w:rPr>
      </w:pPr>
      <w:r>
        <w:rPr>
          <w:sz w:val="24"/>
          <w:szCs w:val="24"/>
          <w:lang w:val="ru-RU"/>
        </w:rPr>
        <w:t xml:space="preserve">требования к обеспечению аварийно-спасательных работ на объекте Соглашения;</w:t>
      </w:r>
      <w:r>
        <w:rPr>
          <w:sz w:val="24"/>
          <w:szCs w:val="24"/>
          <w:lang w:val="ru-RU"/>
        </w:rPr>
      </w:r>
      <w:r>
        <w:rPr>
          <w:sz w:val="24"/>
          <w:szCs w:val="24"/>
          <w:lang w:val="ru-RU"/>
        </w:rPr>
      </w:r>
    </w:p>
    <w:p>
      <w:pPr>
        <w:pStyle w:val="943"/>
        <w:numPr>
          <w:ilvl w:val="0"/>
          <w:numId w:val="14"/>
        </w:numPr>
        <w:contextualSpacing w:val="0"/>
        <w:ind w:left="0" w:firstLine="680"/>
        <w:jc w:val="both"/>
        <w:widowControl w:val="off"/>
        <w:rPr>
          <w:sz w:val="24"/>
          <w:szCs w:val="24"/>
          <w:lang w:val="ru-RU"/>
        </w:rPr>
      </w:pPr>
      <w:r>
        <w:rPr>
          <w:sz w:val="24"/>
          <w:szCs w:val="24"/>
          <w:lang w:val="ru-RU"/>
        </w:rPr>
        <w:t xml:space="preserve">гарантии беспрепятственного доступа на объекте Соглашения представителей органов, обеспечивающих надзор и контроль деятельности по реконструкции и эксплуатации объекта Соглашения.</w:t>
      </w:r>
      <w:r>
        <w:rPr>
          <w:sz w:val="24"/>
          <w:szCs w:val="24"/>
          <w:lang w:val="ru-RU"/>
        </w:rPr>
      </w:r>
      <w:r>
        <w:rPr>
          <w:sz w:val="24"/>
          <w:szCs w:val="24"/>
          <w:lang w:val="ru-RU"/>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Концессионер обязан осуществлять деятельность, указанную в пункте 1 настоящего Соглашения, с даты передачи Объекта соглашения в соответствии с пунктом 4 настоящего Соглашения, до окончания срока, указанного в пункте 54 настоящего Соглашения</w:t>
      </w:r>
      <w:bookmarkStart w:id="55" w:name="sub_1759"/>
      <w:r/>
      <w:bookmarkEnd w:id="54"/>
      <w:r>
        <w:rPr>
          <w:rFonts w:ascii="Times New Roman" w:hAnsi="Times New Roman" w:cs="Times New Roman"/>
        </w:rPr>
        <w:t xml:space="preserve">.</w:t>
      </w:r>
      <w:r>
        <w:rPr>
          <w:rFonts w:ascii="Times New Roman" w:hAnsi="Times New Roman" w:cs="Times New Roman"/>
        </w:rPr>
      </w:r>
      <w:r>
        <w:rPr>
          <w:rFonts w:ascii="Times New Roman" w:hAnsi="Times New Roman" w:cs="Times New Roman"/>
        </w:rPr>
      </w:r>
    </w:p>
    <w:p>
      <w:pPr>
        <w:pStyle w:val="959"/>
        <w:ind w:firstLine="680"/>
        <w:jc w:val="both"/>
        <w:rPr>
          <w:rFonts w:ascii="Times New Roman" w:hAnsi="Times New Roman" w:cs="Times New Roman"/>
        </w:rPr>
      </w:pPr>
      <w:r>
        <w:rPr>
          <w:rFonts w:ascii="Times New Roman" w:hAnsi="Times New Roman" w:cs="Times New Roman"/>
        </w:rPr>
        <w:t xml:space="preserve">52.1. В случае установления для потребителей федеральными законами, законами </w:t>
      </w:r>
      <w:r>
        <w:rPr>
          <w:rFonts w:ascii="Times New Roman" w:hAnsi="Times New Roman" w:cs="Times New Roman"/>
        </w:rPr>
        <w:t xml:space="preserve">субъекта Российской Федерации, нормативно-правовыми актами органов местного самоуправления льгот, в том числе по оплате </w:t>
      </w:r>
      <w:r>
        <w:rPr>
          <w:rFonts w:ascii="Times New Roman" w:hAnsi="Times New Roman" w:cs="Times New Roman"/>
        </w:rPr>
        <w:t xml:space="preserve">товаров, работ, услуг, Концессионер предоставляет их в порядке и случаях, определенных дополнительным соглашением к Концессионному Соглашению с указанием порядка и условий компенсации Концессионеру расходов, связанных с предоставлением установленных льгот.</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Помимо деятельности, указанной в </w:t>
      </w:r>
      <w:hyperlink w:tooltip="#sub_1101" w:anchor="sub_1101" w:history="1">
        <w:r>
          <w:rPr>
            <w:rStyle w:val="952"/>
            <w:rFonts w:ascii="Times New Roman" w:hAnsi="Times New Roman"/>
          </w:rPr>
          <w:t xml:space="preserve">пункте 1</w:t>
        </w:r>
      </w:hyperlink>
      <w:r>
        <w:rPr>
          <w:rFonts w:ascii="Times New Roman" w:hAnsi="Times New Roman" w:cs="Times New Roman"/>
        </w:rPr>
        <w:t xml:space="preserve"> настоящего Соглашения,</w:t>
      </w:r>
      <w:bookmarkEnd w:id="55"/>
      <w:r>
        <w:rPr>
          <w:rFonts w:ascii="Times New Roman" w:hAnsi="Times New Roman" w:cs="Times New Roman"/>
        </w:rPr>
        <w:t xml:space="preserve"> Концессионер не имеет права осуществлять иные виды деятельности с использованием объекта Соглашения</w:t>
      </w:r>
      <w:bookmarkStart w:id="56" w:name="sub_1760"/>
      <w:r>
        <w:rPr>
          <w:rFonts w:ascii="Times New Roman" w:hAnsi="Times New Roman" w:cs="Times New Roman"/>
        </w:rPr>
        <w:t xml:space="preserve">.</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Концессионер имеет право исполнять настоящее Соглашение, включая</w:t>
      </w:r>
      <w:bookmarkEnd w:id="56"/>
      <w:r>
        <w:rPr>
          <w:rFonts w:ascii="Times New Roman" w:hAnsi="Times New Roman" w:cs="Times New Roman"/>
        </w:rPr>
        <w:t xml:space="preserve"> осуществление деятельности, предусмотренной </w:t>
      </w:r>
      <w:hyperlink w:tooltip="#sub_1101" w:anchor="sub_1101" w:history="1">
        <w:r>
          <w:rPr>
            <w:rStyle w:val="952"/>
            <w:rFonts w:ascii="Times New Roman" w:hAnsi="Times New Roman"/>
          </w:rPr>
          <w:t xml:space="preserve">пунктом 1</w:t>
        </w:r>
      </w:hyperlink>
      <w:r>
        <w:rPr>
          <w:rFonts w:ascii="Times New Roman" w:hAnsi="Times New Roman" w:cs="Times New Roman"/>
        </w:rPr>
        <w:t xml:space="preserve"> настоящего Соглашения, своими силами и (или) с привлечением других лиц. При этом Концессионер несет ответственность за действия других лиц как за свои собственные. </w:t>
      </w:r>
      <w:bookmarkStart w:id="57" w:name="sub_1762"/>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Концессионер обязан при осуществлении деятельности, указанной в</w:t>
      </w:r>
      <w:bookmarkEnd w:id="57"/>
      <w:r>
        <w:rPr>
          <w:rFonts w:ascii="Times New Roman" w:hAnsi="Times New Roman" w:cs="Times New Roman"/>
        </w:rPr>
        <w:t xml:space="preserve"> </w:t>
      </w:r>
      <w:hyperlink w:tooltip="#sub_1101" w:anchor="sub_1101" w:history="1">
        <w:r>
          <w:rPr>
            <w:rStyle w:val="952"/>
            <w:rFonts w:ascii="Times New Roman" w:hAnsi="Times New Roman"/>
          </w:rPr>
          <w:t xml:space="preserve">пункте 1</w:t>
        </w:r>
      </w:hyperlink>
      <w:r>
        <w:rPr>
          <w:rFonts w:ascii="Times New Roman" w:hAnsi="Times New Roman" w:cs="Times New Roman"/>
        </w:rPr>
        <w:t xml:space="preserve"> настоящего Соглашения, осуществлять реализацию производимых работ и услуг по регулируемым ценам (тарифам) и в соответствии с установленными надбавками к ценам (тарифам).</w:t>
      </w:r>
      <w:r>
        <w:rPr>
          <w:rFonts w:ascii="Times New Roman" w:hAnsi="Times New Roman" w:cs="Times New Roman"/>
        </w:rPr>
      </w:r>
      <w:r>
        <w:rPr>
          <w:rFonts w:ascii="Times New Roman" w:hAnsi="Times New Roman" w:cs="Times New Roman"/>
        </w:rPr>
      </w:r>
    </w:p>
    <w:p>
      <w:pPr>
        <w:ind w:firstLine="680"/>
        <w:rPr>
          <w:sz w:val="24"/>
          <w:szCs w:val="24"/>
        </w:rPr>
      </w:pPr>
      <w:r>
        <w:rPr>
          <w:sz w:val="24"/>
          <w:szCs w:val="24"/>
        </w:rPr>
      </w:r>
      <w:r>
        <w:rPr>
          <w:sz w:val="24"/>
          <w:szCs w:val="24"/>
        </w:rPr>
      </w:r>
      <w:r>
        <w:rPr>
          <w:sz w:val="24"/>
          <w:szCs w:val="24"/>
        </w:rPr>
      </w:r>
    </w:p>
    <w:p>
      <w:pPr>
        <w:pStyle w:val="959"/>
        <w:ind w:firstLine="680"/>
        <w:jc w:val="center"/>
        <w:rPr>
          <w:rFonts w:ascii="Times New Roman" w:hAnsi="Times New Roman" w:cs="Times New Roman"/>
        </w:rPr>
      </w:pPr>
      <w:r/>
      <w:bookmarkStart w:id="58" w:name="sub_1800"/>
      <w:r>
        <w:rPr>
          <w:rStyle w:val="951"/>
          <w:rFonts w:ascii="Times New Roman" w:hAnsi="Times New Roman" w:cs="Times New Roman"/>
          <w:lang w:val="en-US"/>
        </w:rPr>
        <w:t xml:space="preserve">IX</w:t>
      </w:r>
      <w:r>
        <w:rPr>
          <w:rStyle w:val="951"/>
          <w:rFonts w:ascii="Times New Roman" w:hAnsi="Times New Roman" w:cs="Times New Roman"/>
        </w:rPr>
        <w:t xml:space="preserve">. Сроки по настоящему Соглашению</w:t>
      </w:r>
      <w:bookmarkEnd w:id="58"/>
      <w:r>
        <w:rPr>
          <w:rFonts w:ascii="Times New Roman" w:hAnsi="Times New Roman" w:cs="Times New Roman"/>
        </w:rPr>
      </w:r>
      <w:r>
        <w:rPr>
          <w:rFonts w:ascii="Times New Roman" w:hAnsi="Times New Roman" w:cs="Times New Roman"/>
        </w:rPr>
      </w:r>
    </w:p>
    <w:p>
      <w:pPr>
        <w:ind w:firstLine="680"/>
        <w:rPr>
          <w:sz w:val="24"/>
          <w:szCs w:val="24"/>
        </w:rPr>
      </w:pPr>
      <w:r>
        <w:rPr>
          <w:sz w:val="24"/>
          <w:szCs w:val="24"/>
        </w:rPr>
      </w:r>
      <w:r>
        <w:rPr>
          <w:sz w:val="24"/>
          <w:szCs w:val="24"/>
        </w:rPr>
      </w:r>
      <w:r>
        <w:rPr>
          <w:sz w:val="24"/>
          <w:szCs w:val="24"/>
        </w:rPr>
      </w:r>
    </w:p>
    <w:p>
      <w:pPr>
        <w:pStyle w:val="959"/>
        <w:numPr>
          <w:ilvl w:val="0"/>
          <w:numId w:val="2"/>
        </w:numPr>
        <w:ind w:left="0" w:firstLine="680"/>
        <w:jc w:val="both"/>
        <w:rPr>
          <w:rFonts w:ascii="Times New Roman" w:hAnsi="Times New Roman" w:cs="Times New Roman"/>
        </w:rPr>
      </w:pPr>
      <w:r/>
      <w:bookmarkStart w:id="59" w:name="sub_1863"/>
      <w:r>
        <w:rPr>
          <w:rFonts w:ascii="Times New Roman" w:hAnsi="Times New Roman" w:cs="Times New Roman"/>
        </w:rPr>
        <w:t xml:space="preserve">Настоящее Соглашение вступает в силу со дня его подписания</w:t>
      </w:r>
      <w:bookmarkEnd w:id="59"/>
      <w:r>
        <w:rPr>
          <w:rFonts w:ascii="Times New Roman" w:hAnsi="Times New Roman" w:cs="Times New Roman"/>
        </w:rPr>
        <w:t xml:space="preserve"> и действует </w:t>
      </w:r>
      <w:r>
        <w:rPr>
          <w:rFonts w:ascii="Times New Roman" w:hAnsi="Times New Roman" w:cs="Times New Roman"/>
          <w:b/>
          <w:u w:val="single"/>
        </w:rPr>
        <w:t xml:space="preserve">до 31.12.2033 </w:t>
      </w:r>
      <w:bookmarkStart w:id="60" w:name="sub_1864"/>
      <w:r>
        <w:rPr>
          <w:rFonts w:ascii="Times New Roman" w:hAnsi="Times New Roman" w:cs="Times New Roman"/>
          <w:b/>
          <w:u w:val="single"/>
        </w:rPr>
        <w:t xml:space="preserve">  года</w:t>
      </w:r>
      <w:r>
        <w:rPr>
          <w:rFonts w:ascii="Times New Roman" w:hAnsi="Times New Roman" w:cs="Times New Roman"/>
        </w:rPr>
        <w:t xml:space="preserve">.</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Срок</w:t>
      </w:r>
      <w:bookmarkEnd w:id="60"/>
      <w:r>
        <w:rPr>
          <w:rFonts w:ascii="Times New Roman" w:hAnsi="Times New Roman" w:cs="Times New Roman"/>
        </w:rPr>
        <w:t xml:space="preserve">  реконструкции объекта Соглашения – </w:t>
      </w:r>
      <w:r>
        <w:rPr>
          <w:rFonts w:ascii="Times New Roman" w:hAnsi="Times New Roman" w:cs="Times New Roman"/>
          <w:b/>
          <w:u w:val="single"/>
        </w:rPr>
        <w:t xml:space="preserve">до 31.12.2025 г.</w:t>
      </w:r>
      <w:bookmarkStart w:id="61" w:name="sub_1865"/>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bookmarkStart w:id="62" w:name="sub_1867"/>
      <w:r/>
      <w:bookmarkEnd w:id="61"/>
      <w:r>
        <w:rPr>
          <w:rFonts w:ascii="Times New Roman" w:hAnsi="Times New Roman" w:cs="Times New Roman"/>
        </w:rPr>
        <w:t xml:space="preserve">Срок ввода в эксплуатацию реконструируемых объектов Соглашения – </w:t>
      </w:r>
      <w:r>
        <w:rPr>
          <w:rFonts w:ascii="Times New Roman" w:hAnsi="Times New Roman" w:cs="Times New Roman"/>
          <w:b/>
          <w:u w:val="single"/>
        </w:rPr>
        <w:t xml:space="preserve">до 31.12.2025 г</w:t>
      </w:r>
      <w:bookmarkStart w:id="63" w:name="sub_1868"/>
      <w:r/>
      <w:bookmarkEnd w:id="62"/>
      <w:r>
        <w:rPr>
          <w:rFonts w:ascii="Times New Roman" w:hAnsi="Times New Roman" w:cs="Times New Roman"/>
        </w:rPr>
        <w:t xml:space="preserve">.</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Срок использования (эксплуатации) Концессионером объекта</w:t>
      </w:r>
      <w:bookmarkEnd w:id="63"/>
      <w:r>
        <w:rPr>
          <w:rFonts w:ascii="Times New Roman" w:hAnsi="Times New Roman" w:cs="Times New Roman"/>
        </w:rPr>
        <w:t xml:space="preserve"> Соглашения – с даты подписания акта приема-передачи имущества в соответствии с пунк</w:t>
      </w:r>
      <w:r>
        <w:rPr>
          <w:rFonts w:ascii="Times New Roman" w:hAnsi="Times New Roman" w:cs="Times New Roman"/>
        </w:rPr>
        <w:t xml:space="preserve">том 4 настоящего Соглашения до окончания срока  действия Соглашения, указанного в пункте 54. Срок использования Концессионером принадлежащих Концеденту исключительных прав на результаты интеллектуальной деятельности в соответствии с договором, указанным в </w:t>
      </w:r>
      <w:hyperlink w:tooltip="#sub_11077" w:anchor="sub_11077" w:history="1">
        <w:r>
          <w:rPr>
            <w:rStyle w:val="952"/>
            <w:rFonts w:ascii="Times New Roman" w:hAnsi="Times New Roman"/>
          </w:rPr>
          <w:t xml:space="preserve">пункте </w:t>
        </w:r>
      </w:hyperlink>
      <w:r>
        <w:rPr>
          <w:rFonts w:ascii="Times New Roman" w:hAnsi="Times New Roman" w:cs="Times New Roman"/>
        </w:rPr>
        <w:t xml:space="preserve">62 настоящего Соглашения, - в период действия концессионного соглашения.</w:t>
      </w:r>
      <w:bookmarkStart w:id="64" w:name="sub_1869"/>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Срок передачи Концессионером Концеденту объекта Соглашения –</w:t>
      </w:r>
      <w:bookmarkEnd w:id="64"/>
      <w:r>
        <w:rPr>
          <w:rFonts w:ascii="Times New Roman" w:hAnsi="Times New Roman" w:cs="Times New Roman"/>
        </w:rPr>
        <w:t xml:space="preserve"> день, следующий за истечением срока действия Концессионного соглашения.</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bookmarkStart w:id="65" w:name="sub_1871"/>
      <w:r>
        <w:rPr>
          <w:rFonts w:ascii="Times New Roman" w:hAnsi="Times New Roman" w:cs="Times New Roman"/>
        </w:rPr>
        <w:t xml:space="preserve">Срок осуществления Концессионером деятельности, указанной в пункте 1 настоящего Соглашения, -  с даты передачи Объекта соглашения в соответствии с пунктом 4 настоящего Соглашения, до окончания срока, указанного в пункте 54 настоящего Соглашения</w:t>
      </w:r>
      <w:bookmarkEnd w:id="65"/>
      <w:r>
        <w:rPr>
          <w:rFonts w:ascii="Times New Roman" w:hAnsi="Times New Roman" w:cs="Times New Roman"/>
        </w:rPr>
        <w:t xml:space="preserve">.</w:t>
      </w:r>
      <w:r>
        <w:rPr>
          <w:rFonts w:ascii="Times New Roman" w:hAnsi="Times New Roman" w:cs="Times New Roman"/>
        </w:rPr>
      </w:r>
      <w:r>
        <w:rPr>
          <w:rFonts w:ascii="Times New Roman" w:hAnsi="Times New Roman" w:cs="Times New Roman"/>
        </w:rPr>
      </w:r>
    </w:p>
    <w:p>
      <w:pPr>
        <w:pStyle w:val="959"/>
        <w:ind w:firstLine="680"/>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r>
      <w:r>
        <w:rPr>
          <w:rFonts w:ascii="Times New Roman" w:hAnsi="Times New Roman" w:cs="Times New Roman"/>
        </w:rPr>
      </w:r>
    </w:p>
    <w:p>
      <w:pPr>
        <w:pStyle w:val="959"/>
        <w:ind w:firstLine="680"/>
        <w:jc w:val="center"/>
        <w:rPr>
          <w:rFonts w:ascii="Times New Roman" w:hAnsi="Times New Roman" w:cs="Times New Roman"/>
        </w:rPr>
      </w:pPr>
      <w:r/>
      <w:bookmarkStart w:id="66" w:name="sub_1900"/>
      <w:r>
        <w:rPr>
          <w:rStyle w:val="951"/>
          <w:rFonts w:ascii="Times New Roman" w:hAnsi="Times New Roman" w:cs="Times New Roman"/>
        </w:rPr>
        <w:t xml:space="preserve">X. Плата по Соглашению</w:t>
      </w:r>
      <w:bookmarkEnd w:id="66"/>
      <w:r>
        <w:rPr>
          <w:rFonts w:ascii="Times New Roman" w:hAnsi="Times New Roman" w:cs="Times New Roman"/>
        </w:rPr>
      </w:r>
      <w:r>
        <w:rPr>
          <w:rFonts w:ascii="Times New Roman" w:hAnsi="Times New Roman" w:cs="Times New Roman"/>
        </w:rPr>
      </w:r>
    </w:p>
    <w:p>
      <w:pPr>
        <w:ind w:firstLine="680"/>
        <w:rPr>
          <w:sz w:val="24"/>
          <w:szCs w:val="24"/>
        </w:rPr>
      </w:pPr>
      <w:r>
        <w:rPr>
          <w:sz w:val="24"/>
          <w:szCs w:val="24"/>
        </w:rPr>
      </w:r>
      <w:r>
        <w:rPr>
          <w:sz w:val="24"/>
          <w:szCs w:val="24"/>
        </w:rPr>
      </w:r>
      <w:r>
        <w:rPr>
          <w:sz w:val="24"/>
          <w:szCs w:val="24"/>
        </w:rPr>
      </w:r>
    </w:p>
    <w:p>
      <w:pPr>
        <w:pStyle w:val="959"/>
        <w:numPr>
          <w:ilvl w:val="0"/>
          <w:numId w:val="2"/>
        </w:numPr>
        <w:ind w:left="0" w:firstLine="680"/>
        <w:jc w:val="both"/>
        <w:rPr>
          <w:rFonts w:ascii="Times New Roman" w:hAnsi="Times New Roman" w:cs="Times New Roman"/>
        </w:rPr>
      </w:pPr>
      <w:r/>
      <w:bookmarkStart w:id="67" w:name="sub_1972"/>
      <w:r>
        <w:rPr>
          <w:rFonts w:ascii="Times New Roman" w:hAnsi="Times New Roman" w:cs="Times New Roman"/>
        </w:rPr>
        <w:t xml:space="preserve">Концессионная плата по настоящему Соглашению не предусматривается</w:t>
      </w:r>
      <w:bookmarkEnd w:id="67"/>
      <w:r>
        <w:rPr>
          <w:rFonts w:ascii="Times New Roman" w:hAnsi="Times New Roman" w:cs="Times New Roman"/>
        </w:rPr>
        <w:t xml:space="preserve">.</w:t>
      </w:r>
      <w:r>
        <w:rPr>
          <w:rFonts w:ascii="Times New Roman" w:hAnsi="Times New Roman" w:cs="Times New Roman"/>
        </w:rPr>
      </w:r>
      <w:r>
        <w:rPr>
          <w:rFonts w:ascii="Times New Roman" w:hAnsi="Times New Roman" w:cs="Times New Roman"/>
        </w:rPr>
      </w:r>
    </w:p>
    <w:p>
      <w:pPr>
        <w:pStyle w:val="959"/>
        <w:ind w:firstLine="680"/>
        <w:jc w:val="both"/>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p>
      <w:pPr>
        <w:ind w:firstLine="680"/>
        <w:jc w:val="center"/>
        <w:rPr>
          <w:b/>
          <w:bCs/>
          <w:sz w:val="24"/>
          <w:szCs w:val="24"/>
        </w:rPr>
      </w:pPr>
      <w:r/>
      <w:bookmarkStart w:id="68" w:name="sub_11000"/>
      <w:r>
        <w:rPr>
          <w:b/>
          <w:bCs/>
          <w:sz w:val="24"/>
          <w:szCs w:val="24"/>
        </w:rPr>
        <w:t xml:space="preserve">X</w:t>
      </w:r>
      <w:r>
        <w:rPr>
          <w:b/>
          <w:bCs/>
          <w:sz w:val="24"/>
          <w:szCs w:val="24"/>
          <w:lang w:val="en-US"/>
        </w:rPr>
        <w:t xml:space="preserve">I</w:t>
      </w:r>
      <w:r>
        <w:rPr>
          <w:b/>
          <w:bCs/>
          <w:sz w:val="24"/>
          <w:szCs w:val="24"/>
        </w:rPr>
        <w:t xml:space="preserve">. Исключительные права на результаты</w:t>
      </w:r>
      <w:r>
        <w:rPr>
          <w:b/>
          <w:bCs/>
          <w:sz w:val="24"/>
          <w:szCs w:val="24"/>
        </w:rPr>
      </w:r>
      <w:r>
        <w:rPr>
          <w:b/>
          <w:bCs/>
          <w:sz w:val="24"/>
          <w:szCs w:val="24"/>
        </w:rPr>
      </w:r>
    </w:p>
    <w:p>
      <w:pPr>
        <w:ind w:firstLine="680"/>
        <w:jc w:val="center"/>
        <w:rPr>
          <w:sz w:val="24"/>
          <w:szCs w:val="24"/>
        </w:rPr>
      </w:pPr>
      <w:r>
        <w:rPr>
          <w:b/>
          <w:bCs/>
          <w:sz w:val="24"/>
          <w:szCs w:val="24"/>
        </w:rPr>
        <w:t xml:space="preserve">интеллектуальной деятельности</w:t>
      </w:r>
      <w:bookmarkEnd w:id="68"/>
      <w:r>
        <w:rPr>
          <w:sz w:val="24"/>
          <w:szCs w:val="24"/>
        </w:rPr>
      </w:r>
      <w:r>
        <w:rPr>
          <w:sz w:val="24"/>
          <w:szCs w:val="24"/>
        </w:rPr>
      </w:r>
    </w:p>
    <w:p>
      <w:pPr>
        <w:ind w:firstLine="680"/>
        <w:rPr>
          <w:sz w:val="24"/>
          <w:szCs w:val="24"/>
        </w:rPr>
      </w:pPr>
      <w:r>
        <w:rPr>
          <w:sz w:val="24"/>
          <w:szCs w:val="24"/>
        </w:rPr>
      </w:r>
      <w:r>
        <w:rPr>
          <w:sz w:val="24"/>
          <w:szCs w:val="24"/>
        </w:rPr>
      </w:r>
      <w:r>
        <w:rPr>
          <w:sz w:val="24"/>
          <w:szCs w:val="24"/>
        </w:rPr>
      </w:r>
    </w:p>
    <w:p>
      <w:pPr>
        <w:numPr>
          <w:ilvl w:val="0"/>
          <w:numId w:val="2"/>
        </w:numPr>
        <w:ind w:left="0" w:firstLine="680"/>
        <w:jc w:val="both"/>
        <w:widowControl w:val="off"/>
        <w:rPr>
          <w:sz w:val="24"/>
          <w:szCs w:val="24"/>
        </w:rPr>
      </w:pPr>
      <w:r>
        <w:rPr>
          <w:sz w:val="24"/>
          <w:szCs w:val="24"/>
        </w:rPr>
        <w:t xml:space="preserve">Концеденту принадлежат исключительные права на следующие результаты интеллектуальной деятельности, полученные Концессионером за свой счет при исполнении настоящего Соглашения, – документация на реконструкцию объекта Соглашения.</w:t>
      </w:r>
      <w:r>
        <w:rPr>
          <w:sz w:val="24"/>
          <w:szCs w:val="24"/>
        </w:rPr>
      </w:r>
      <w:r>
        <w:rPr>
          <w:sz w:val="24"/>
          <w:szCs w:val="24"/>
        </w:rPr>
      </w:r>
    </w:p>
    <w:p>
      <w:pPr>
        <w:numPr>
          <w:ilvl w:val="0"/>
          <w:numId w:val="2"/>
        </w:numPr>
        <w:ind w:left="0" w:firstLine="680"/>
        <w:jc w:val="both"/>
        <w:widowControl w:val="off"/>
        <w:rPr>
          <w:sz w:val="24"/>
          <w:szCs w:val="24"/>
        </w:rPr>
      </w:pPr>
      <w:r>
        <w:rPr>
          <w:sz w:val="24"/>
          <w:szCs w:val="24"/>
        </w:rPr>
        <w:t xml:space="preserve">Концессионеру принадлежат исключительные права на все иные результаты интеллектуальной деятельности, полученные Концессионером за свой счет при исполнении настоящего Соглашения за исключением указанных в пункте 61.</w:t>
      </w:r>
      <w:r>
        <w:rPr>
          <w:sz w:val="24"/>
          <w:szCs w:val="24"/>
        </w:rPr>
      </w:r>
      <w:r>
        <w:rPr>
          <w:sz w:val="24"/>
          <w:szCs w:val="24"/>
        </w:rPr>
      </w:r>
    </w:p>
    <w:p>
      <w:pPr>
        <w:numPr>
          <w:ilvl w:val="0"/>
          <w:numId w:val="2"/>
        </w:numPr>
        <w:ind w:left="0" w:firstLine="680"/>
        <w:jc w:val="both"/>
        <w:widowControl w:val="off"/>
        <w:rPr>
          <w:sz w:val="24"/>
          <w:szCs w:val="24"/>
        </w:rPr>
      </w:pPr>
      <w:r>
        <w:rPr>
          <w:sz w:val="24"/>
          <w:szCs w:val="24"/>
        </w:rPr>
        <w:t xml:space="preserve">В целях исполнения Концессионером обязательств, предусмотренных настоящим Соглашением, в течение срока действия настоящего Соглашения Концедент безвозмездно предоставляет Концессионеру право использован</w:t>
      </w:r>
      <w:r>
        <w:rPr>
          <w:sz w:val="24"/>
          <w:szCs w:val="24"/>
        </w:rPr>
        <w:t xml:space="preserve">ия (воспроизведения, применения, публичного использования, переработки) на безвозмездной основе на территории Российской Федерации результатами интеллектуальной деятельности, принадлежащими Концеденту (при наличии таковых). В целях использования результато</w:t>
      </w:r>
      <w:r>
        <w:rPr>
          <w:sz w:val="24"/>
          <w:szCs w:val="24"/>
        </w:rPr>
        <w:t xml:space="preserve">в интеллектуальной деятельности Стороны не позднее 60 календарных дней с даты заключения настоящего Соглашения заключат на условиях, указанных в настоящем пункте, лицензионные договоры и совершат все необходимые действия для их государственной регистрации.</w:t>
      </w:r>
      <w:r>
        <w:rPr>
          <w:sz w:val="24"/>
          <w:szCs w:val="24"/>
        </w:rPr>
      </w:r>
      <w:r>
        <w:rPr>
          <w:sz w:val="24"/>
          <w:szCs w:val="24"/>
        </w:rPr>
      </w:r>
    </w:p>
    <w:p>
      <w:pPr>
        <w:numPr>
          <w:ilvl w:val="0"/>
          <w:numId w:val="2"/>
        </w:numPr>
        <w:ind w:left="0" w:firstLine="680"/>
        <w:jc w:val="both"/>
        <w:widowControl w:val="off"/>
        <w:rPr>
          <w:sz w:val="24"/>
          <w:szCs w:val="24"/>
        </w:rPr>
      </w:pPr>
      <w:r>
        <w:rPr>
          <w:sz w:val="24"/>
          <w:szCs w:val="24"/>
        </w:rPr>
        <w:t xml:space="preserve">Концессионер по окончанию срока действия настоящего Соглашения обязан передать базы данных, собранные им в процессе исполнения деятельности, предусмотренной настоящим Соглашением, в том </w:t>
      </w:r>
      <w:r>
        <w:rPr>
          <w:sz w:val="24"/>
          <w:szCs w:val="24"/>
        </w:rPr>
        <w:t xml:space="preserve">числе базы данных, содержащих сведения о расчетах с абонентами (потребителями) услуг Концессионера, с поставщиками и подрядчиками. Концессионер имеет право пользоваться указанными базами данных после передачи до полного погашения дебиторской задолженности.</w:t>
      </w:r>
      <w:r>
        <w:rPr>
          <w:sz w:val="24"/>
          <w:szCs w:val="24"/>
        </w:rPr>
      </w:r>
      <w:r>
        <w:rPr>
          <w:sz w:val="24"/>
          <w:szCs w:val="24"/>
        </w:rPr>
      </w:r>
    </w:p>
    <w:p>
      <w:pPr>
        <w:ind w:firstLine="680"/>
        <w:rPr>
          <w:sz w:val="24"/>
          <w:szCs w:val="24"/>
        </w:rPr>
      </w:pPr>
      <w:r>
        <w:rPr>
          <w:sz w:val="24"/>
          <w:szCs w:val="24"/>
        </w:rPr>
      </w:r>
      <w:r>
        <w:rPr>
          <w:sz w:val="24"/>
          <w:szCs w:val="24"/>
        </w:rPr>
      </w:r>
      <w:r>
        <w:rPr>
          <w:sz w:val="24"/>
          <w:szCs w:val="24"/>
        </w:rPr>
      </w:r>
    </w:p>
    <w:p>
      <w:pPr>
        <w:pStyle w:val="959"/>
        <w:ind w:firstLine="680"/>
        <w:jc w:val="center"/>
        <w:rPr>
          <w:rFonts w:ascii="Times New Roman" w:hAnsi="Times New Roman" w:cs="Times New Roman"/>
        </w:rPr>
      </w:pPr>
      <w:r/>
      <w:bookmarkStart w:id="69" w:name="sub_11100"/>
      <w:r>
        <w:rPr>
          <w:rStyle w:val="951"/>
          <w:rFonts w:ascii="Times New Roman" w:hAnsi="Times New Roman" w:cs="Times New Roman"/>
        </w:rPr>
        <w:t xml:space="preserve">XI</w:t>
      </w:r>
      <w:r>
        <w:rPr>
          <w:rStyle w:val="951"/>
          <w:rFonts w:ascii="Times New Roman" w:hAnsi="Times New Roman" w:cs="Times New Roman"/>
          <w:lang w:val="en-US"/>
        </w:rPr>
        <w:t xml:space="preserve">I</w:t>
      </w:r>
      <w:r>
        <w:rPr>
          <w:rStyle w:val="951"/>
          <w:rFonts w:ascii="Times New Roman" w:hAnsi="Times New Roman" w:cs="Times New Roman"/>
        </w:rPr>
        <w:t xml:space="preserve">. Порядок осуществления Концедентом, Субъектом контроля за соблюдением</w:t>
      </w:r>
      <w:bookmarkEnd w:id="69"/>
      <w:r>
        <w:rPr>
          <w:rStyle w:val="951"/>
          <w:rFonts w:ascii="Times New Roman" w:hAnsi="Times New Roman" w:cs="Times New Roman"/>
        </w:rPr>
        <w:t xml:space="preserve"> Концессионером условий настоящего Соглашения</w:t>
      </w:r>
      <w:r>
        <w:rPr>
          <w:rFonts w:ascii="Times New Roman" w:hAnsi="Times New Roman" w:cs="Times New Roman"/>
        </w:rPr>
      </w:r>
      <w:r>
        <w:rPr>
          <w:rFonts w:ascii="Times New Roman" w:hAnsi="Times New Roman" w:cs="Times New Roman"/>
        </w:rPr>
      </w:r>
    </w:p>
    <w:p>
      <w:pPr>
        <w:ind w:firstLine="680"/>
        <w:rPr>
          <w:sz w:val="24"/>
          <w:szCs w:val="24"/>
        </w:rPr>
      </w:pPr>
      <w:r>
        <w:rPr>
          <w:sz w:val="24"/>
          <w:szCs w:val="24"/>
        </w:rPr>
      </w:r>
      <w:r>
        <w:rPr>
          <w:sz w:val="24"/>
          <w:szCs w:val="24"/>
        </w:rPr>
      </w:r>
      <w:r>
        <w:rPr>
          <w:sz w:val="24"/>
          <w:szCs w:val="24"/>
        </w:rPr>
      </w:r>
    </w:p>
    <w:p>
      <w:pPr>
        <w:pStyle w:val="959"/>
        <w:numPr>
          <w:ilvl w:val="0"/>
          <w:numId w:val="2"/>
        </w:numPr>
        <w:ind w:left="0" w:firstLine="680"/>
        <w:jc w:val="both"/>
        <w:rPr>
          <w:rFonts w:ascii="Times New Roman" w:hAnsi="Times New Roman" w:cs="Times New Roman"/>
        </w:rPr>
      </w:pPr>
      <w:r/>
      <w:bookmarkStart w:id="70" w:name="sub_11179"/>
      <w:r>
        <w:rPr>
          <w:rFonts w:ascii="Times New Roman" w:hAnsi="Times New Roman" w:cs="Times New Roman"/>
        </w:rPr>
        <w:t xml:space="preserve">Права и обязанности Концедента и Субъекта осуществляются уполномоченными им</w:t>
      </w:r>
      <w:bookmarkEnd w:id="70"/>
      <w:r>
        <w:rPr>
          <w:rFonts w:ascii="Times New Roman" w:hAnsi="Times New Roman" w:cs="Times New Roman"/>
        </w:rPr>
        <w:t xml:space="preserve"> органами в соответствии с законодательством Российской Федерации, законодательством субъектов Российской Федерации, нормативными правовыми актами органов местного самоуправления. Конц</w:t>
      </w:r>
      <w:r>
        <w:rPr>
          <w:rFonts w:ascii="Times New Roman" w:hAnsi="Times New Roman" w:cs="Times New Roman"/>
        </w:rPr>
        <w:t xml:space="preserve">едент и Субъект уведомляет Концессионера об органах, уполномоченных осуществлять от его имени права и обязанности по настоящему Соглашению, в разумный срок до начала осуществления указанными органами, возложенных на них полномочий по настоящему Соглашению.</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bookmarkStart w:id="71" w:name="sub_11180"/>
      <w:r>
        <w:rPr>
          <w:rFonts w:ascii="Times New Roman" w:hAnsi="Times New Roman" w:cs="Times New Roman"/>
        </w:rPr>
        <w:t xml:space="preserve">Концедент и Субъект вправе осуществлять контроль за соблюдением Концессионером</w:t>
      </w:r>
      <w:bookmarkEnd w:id="71"/>
      <w:r>
        <w:rPr>
          <w:rFonts w:ascii="Times New Roman" w:hAnsi="Times New Roman" w:cs="Times New Roman"/>
        </w:rPr>
        <w:t xml:space="preserve"> условий настоящего Соглашения, в том числе обязательств по осуществлению деятельности, указанной в </w:t>
      </w:r>
      <w:hyperlink w:tooltip="#sub_1101" w:anchor="sub_1101" w:history="1">
        <w:r>
          <w:rPr>
            <w:rStyle w:val="952"/>
            <w:rFonts w:ascii="Times New Roman" w:hAnsi="Times New Roman"/>
          </w:rPr>
          <w:t xml:space="preserve">пункте 1</w:t>
        </w:r>
      </w:hyperlink>
      <w:r>
        <w:rPr>
          <w:rFonts w:ascii="Times New Roman" w:hAnsi="Times New Roman" w:cs="Times New Roman"/>
        </w:rPr>
        <w:t xml:space="preserve"> настоящего Соглашения, обязательств по использованию (эксплуатации) объекта Соглашения в соответствии с целями, установленными настоящим Соглашением, сроков исполнения обязательств, указанных в </w:t>
      </w:r>
      <w:hyperlink w:tooltip="#sub_1800" w:anchor="sub_1800" w:history="1">
        <w:r>
          <w:rPr>
            <w:rStyle w:val="952"/>
            <w:rFonts w:ascii="Times New Roman" w:hAnsi="Times New Roman"/>
          </w:rPr>
          <w:t xml:space="preserve">разделе </w:t>
        </w:r>
        <w:r>
          <w:rPr>
            <w:rStyle w:val="952"/>
            <w:rFonts w:ascii="Times New Roman" w:hAnsi="Times New Roman"/>
            <w:lang w:val="en-US"/>
          </w:rPr>
          <w:t xml:space="preserve">IX</w:t>
        </w:r>
      </w:hyperlink>
      <w:r>
        <w:rPr>
          <w:rFonts w:ascii="Times New Roman" w:hAnsi="Times New Roman" w:cs="Times New Roman"/>
        </w:rPr>
        <w:t xml:space="preserve"> настоящего Соглашения,  за исполнением Концессионером обязательств по обеспечению соответствия технико-экономических показателей Объекта Соглашения, установленных в приложениях № 13 и № 4. </w:t>
      </w:r>
      <w:r>
        <w:rPr>
          <w:rFonts w:ascii="Times New Roman" w:hAnsi="Times New Roman" w:cs="Times New Roman"/>
        </w:rPr>
      </w:r>
      <w:r>
        <w:rPr>
          <w:rFonts w:ascii="Times New Roman" w:hAnsi="Times New Roman" w:cs="Times New Roman"/>
        </w:rPr>
      </w:r>
    </w:p>
    <w:p>
      <w:pPr>
        <w:ind w:firstLine="680"/>
        <w:jc w:val="both"/>
        <w:rPr>
          <w:sz w:val="24"/>
          <w:szCs w:val="24"/>
        </w:rPr>
      </w:pPr>
      <w:r>
        <w:rPr>
          <w:sz w:val="24"/>
          <w:szCs w:val="24"/>
        </w:rPr>
        <w:t xml:space="preserve">Контроль за исполнением условий Концессионного соглашения может осуществляться иными органами в соответствии с законодательством.</w:t>
      </w:r>
      <w:r>
        <w:rPr>
          <w:sz w:val="24"/>
          <w:szCs w:val="24"/>
        </w:rPr>
      </w:r>
      <w:r>
        <w:rPr>
          <w:sz w:val="24"/>
          <w:szCs w:val="24"/>
        </w:rPr>
      </w:r>
    </w:p>
    <w:p>
      <w:pPr>
        <w:ind w:firstLine="680"/>
        <w:jc w:val="both"/>
        <w:rPr>
          <w:sz w:val="24"/>
          <w:szCs w:val="24"/>
        </w:rPr>
      </w:pPr>
      <w:r>
        <w:rPr>
          <w:sz w:val="24"/>
          <w:szCs w:val="24"/>
        </w:rPr>
        <w:t xml:space="preserve">Строительный контроль в отношении о</w:t>
      </w:r>
      <w:r>
        <w:rPr>
          <w:sz w:val="24"/>
          <w:szCs w:val="24"/>
        </w:rPr>
        <w:t xml:space="preserve">бъектов капитального строительства, создаваемых и реконструируемых за счет средств специального казначейского кредита, в соответствии с подпунктом «м» пункта 10 Правил предоставления Федеральным казначейством бюджетам субъектов Российской Федерации бюджетн</w:t>
      </w:r>
      <w:r>
        <w:rPr>
          <w:sz w:val="24"/>
          <w:szCs w:val="24"/>
        </w:rPr>
        <w:t xml:space="preserve">ых кредитов за счет временно свободных средств единого счета федерального бюджета, утвержденных постановлением Правительства Российской Федерации от 31.03.2023 № 525, осуществляет Федеральное бюджетное учреждение «Федеральный центр строительного контроля».</w:t>
      </w:r>
      <w:r>
        <w:rPr>
          <w:sz w:val="24"/>
          <w:szCs w:val="24"/>
        </w:rPr>
      </w:r>
      <w:r>
        <w:rPr>
          <w:sz w:val="24"/>
          <w:szCs w:val="24"/>
        </w:rPr>
      </w:r>
    </w:p>
    <w:p>
      <w:pPr>
        <w:pStyle w:val="959"/>
        <w:numPr>
          <w:ilvl w:val="0"/>
          <w:numId w:val="2"/>
        </w:numPr>
        <w:ind w:left="0" w:firstLine="680"/>
        <w:jc w:val="both"/>
        <w:rPr>
          <w:rFonts w:ascii="Times New Roman" w:hAnsi="Times New Roman" w:cs="Times New Roman"/>
        </w:rPr>
      </w:pPr>
      <w:r/>
      <w:bookmarkStart w:id="72" w:name="sub_11181"/>
      <w:r>
        <w:rPr>
          <w:rFonts w:ascii="Times New Roman" w:hAnsi="Times New Roman" w:cs="Times New Roman"/>
        </w:rPr>
        <w:t xml:space="preserve">Концессионер обязан обеспечить представителям уполномоченных</w:t>
      </w:r>
      <w:bookmarkEnd w:id="72"/>
      <w:r>
        <w:rPr>
          <w:rFonts w:ascii="Times New Roman" w:hAnsi="Times New Roman" w:cs="Times New Roman"/>
        </w:rPr>
        <w:t xml:space="preserve"> органов Концедента, Субъекта осуществляющим контроль за исполнением Концессионером условий настоящего Соглашения, беспрепятственный доступ на объект Соглашения, а также к документации, относящейся к осуществлению деятельности, указанной в </w:t>
      </w:r>
      <w:hyperlink w:tooltip="#sub_1101" w:anchor="sub_1101" w:history="1">
        <w:r>
          <w:rPr>
            <w:rStyle w:val="952"/>
            <w:rFonts w:ascii="Times New Roman" w:hAnsi="Times New Roman"/>
          </w:rPr>
          <w:t xml:space="preserve">пункте 1</w:t>
        </w:r>
      </w:hyperlink>
      <w:r>
        <w:rPr>
          <w:rFonts w:ascii="Times New Roman" w:hAnsi="Times New Roman" w:cs="Times New Roman"/>
        </w:rPr>
        <w:t xml:space="preserve"> настоящего Соглашения.</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bookmarkStart w:id="73" w:name="sub_11182"/>
      <w:r>
        <w:rPr>
          <w:rFonts w:ascii="Times New Roman" w:hAnsi="Times New Roman" w:cs="Times New Roman"/>
        </w:rPr>
        <w:t xml:space="preserve">Концедент с целью контроля соблюдения Концессионером своих </w:t>
      </w:r>
      <w:r>
        <w:rPr>
          <w:rFonts w:ascii="Times New Roman" w:hAnsi="Times New Roman" w:cs="Times New Roman"/>
        </w:rPr>
        <w:t xml:space="preserve">обязательств по настоящему Соглашению и выполнению им мероприятий по реализации настоящего Соглашения, вправе:</w:t>
      </w:r>
      <w:r>
        <w:rPr>
          <w:rFonts w:ascii="Times New Roman" w:hAnsi="Times New Roman" w:cs="Times New Roman"/>
        </w:rPr>
      </w:r>
      <w:r>
        <w:rPr>
          <w:rFonts w:ascii="Times New Roman" w:hAnsi="Times New Roman" w:cs="Times New Roman"/>
        </w:rPr>
      </w:r>
    </w:p>
    <w:p>
      <w:pPr>
        <w:pStyle w:val="959"/>
        <w:numPr>
          <w:ilvl w:val="0"/>
          <w:numId w:val="5"/>
        </w:numPr>
        <w:ind w:left="0" w:firstLine="680"/>
        <w:jc w:val="both"/>
        <w:rPr>
          <w:rFonts w:ascii="Times New Roman" w:hAnsi="Times New Roman" w:cs="Times New Roman"/>
        </w:rPr>
      </w:pPr>
      <w:r>
        <w:rPr>
          <w:rFonts w:ascii="Times New Roman" w:hAnsi="Times New Roman" w:cs="Times New Roman"/>
        </w:rPr>
        <w:t xml:space="preserve">осуществлять проверку и подтверждение наличия фактически выполненных объемов работ, их качества и устранение брака и выявленных несоответствий;</w:t>
      </w:r>
      <w:r>
        <w:rPr>
          <w:rFonts w:ascii="Times New Roman" w:hAnsi="Times New Roman" w:cs="Times New Roman"/>
        </w:rPr>
      </w:r>
      <w:r>
        <w:rPr>
          <w:rFonts w:ascii="Times New Roman" w:hAnsi="Times New Roman" w:cs="Times New Roman"/>
        </w:rPr>
      </w:r>
    </w:p>
    <w:p>
      <w:pPr>
        <w:pStyle w:val="959"/>
        <w:numPr>
          <w:ilvl w:val="0"/>
          <w:numId w:val="5"/>
        </w:numPr>
        <w:ind w:left="0" w:firstLine="680"/>
        <w:jc w:val="both"/>
        <w:rPr>
          <w:rFonts w:ascii="Times New Roman" w:hAnsi="Times New Roman" w:cs="Times New Roman"/>
        </w:rPr>
      </w:pPr>
      <w:r>
        <w:rPr>
          <w:rFonts w:ascii="Times New Roman" w:hAnsi="Times New Roman" w:cs="Times New Roman"/>
        </w:rPr>
        <w:t xml:space="preserve">осуществлять проверку наличия у исполнителя работ документов о качестве (сертификатов в установленных случаях) на применяемые им материалы, изделия и оборудование, документированных результатов входного контроля и лабораторных испытаний;</w:t>
      </w:r>
      <w:r>
        <w:rPr>
          <w:rFonts w:ascii="Times New Roman" w:hAnsi="Times New Roman" w:cs="Times New Roman"/>
        </w:rPr>
      </w:r>
      <w:r>
        <w:rPr>
          <w:rFonts w:ascii="Times New Roman" w:hAnsi="Times New Roman" w:cs="Times New Roman"/>
        </w:rPr>
      </w:r>
    </w:p>
    <w:p>
      <w:pPr>
        <w:pStyle w:val="959"/>
        <w:numPr>
          <w:ilvl w:val="0"/>
          <w:numId w:val="5"/>
        </w:numPr>
        <w:ind w:left="0" w:firstLine="680"/>
        <w:jc w:val="both"/>
        <w:rPr>
          <w:rFonts w:ascii="Times New Roman" w:hAnsi="Times New Roman" w:cs="Times New Roman"/>
        </w:rPr>
      </w:pPr>
      <w:r>
        <w:rPr>
          <w:rFonts w:ascii="Times New Roman" w:hAnsi="Times New Roman" w:cs="Times New Roman"/>
        </w:rPr>
        <w:t xml:space="preserve">осуществлять контроль соблюдения исполнителем работ правил складирования и хранения применяемых материалов, изделий и оборудования; при выявлении нарушений этих правил может быть запрещено применение неправильно складированных и хранящихся материалов;</w:t>
      </w:r>
      <w:r>
        <w:rPr>
          <w:rFonts w:ascii="Times New Roman" w:hAnsi="Times New Roman" w:cs="Times New Roman"/>
        </w:rPr>
      </w:r>
      <w:r>
        <w:rPr>
          <w:rFonts w:ascii="Times New Roman" w:hAnsi="Times New Roman" w:cs="Times New Roman"/>
        </w:rPr>
      </w:r>
    </w:p>
    <w:p>
      <w:pPr>
        <w:pStyle w:val="959"/>
        <w:numPr>
          <w:ilvl w:val="0"/>
          <w:numId w:val="5"/>
        </w:numPr>
        <w:ind w:left="0" w:firstLine="680"/>
        <w:jc w:val="both"/>
        <w:rPr>
          <w:rFonts w:ascii="Times New Roman" w:hAnsi="Times New Roman" w:cs="Times New Roman"/>
        </w:rPr>
      </w:pPr>
      <w:r>
        <w:rPr>
          <w:rFonts w:ascii="Times New Roman" w:hAnsi="Times New Roman" w:cs="Times New Roman"/>
        </w:rPr>
        <w:t xml:space="preserve">осуществлять контроль наличия и правильности ведения исполнителем работ исполнительной документации;</w:t>
      </w:r>
      <w:r>
        <w:rPr>
          <w:rFonts w:ascii="Times New Roman" w:hAnsi="Times New Roman" w:cs="Times New Roman"/>
        </w:rPr>
      </w:r>
      <w:r>
        <w:rPr>
          <w:rFonts w:ascii="Times New Roman" w:hAnsi="Times New Roman" w:cs="Times New Roman"/>
        </w:rPr>
      </w:r>
    </w:p>
    <w:p>
      <w:pPr>
        <w:pStyle w:val="959"/>
        <w:numPr>
          <w:ilvl w:val="0"/>
          <w:numId w:val="5"/>
        </w:numPr>
        <w:ind w:left="0" w:firstLine="680"/>
        <w:jc w:val="both"/>
        <w:rPr>
          <w:rFonts w:ascii="Times New Roman" w:hAnsi="Times New Roman" w:cs="Times New Roman"/>
        </w:rPr>
      </w:pPr>
      <w:r>
        <w:rPr>
          <w:rFonts w:ascii="Times New Roman" w:hAnsi="Times New Roman" w:cs="Times New Roman"/>
        </w:rPr>
        <w:t xml:space="preserve">осуществлять контроль соответствия объемов и сроков выполнения работ условиям договора и графику производства работ;</w:t>
      </w:r>
      <w:r>
        <w:rPr>
          <w:rFonts w:ascii="Times New Roman" w:hAnsi="Times New Roman" w:cs="Times New Roman"/>
        </w:rPr>
      </w:r>
      <w:r>
        <w:rPr>
          <w:rFonts w:ascii="Times New Roman" w:hAnsi="Times New Roman" w:cs="Times New Roman"/>
        </w:rPr>
      </w:r>
    </w:p>
    <w:p>
      <w:pPr>
        <w:pStyle w:val="959"/>
        <w:numPr>
          <w:ilvl w:val="0"/>
          <w:numId w:val="5"/>
        </w:numPr>
        <w:ind w:left="0" w:firstLine="680"/>
        <w:jc w:val="both"/>
        <w:rPr>
          <w:rFonts w:ascii="Times New Roman" w:hAnsi="Times New Roman" w:cs="Times New Roman"/>
        </w:rPr>
      </w:pPr>
      <w:r>
        <w:rPr>
          <w:rFonts w:ascii="Times New Roman" w:hAnsi="Times New Roman" w:cs="Times New Roman"/>
        </w:rPr>
        <w:t xml:space="preserve">проводить оценку (совместно с исполнителем работ) соответствия выполненных работ, конструкций, участков инженерных сетей; </w:t>
      </w:r>
      <w:r>
        <w:rPr>
          <w:rFonts w:ascii="Times New Roman" w:hAnsi="Times New Roman" w:cs="Times New Roman"/>
        </w:rPr>
      </w:r>
      <w:r>
        <w:rPr>
          <w:rFonts w:ascii="Times New Roman" w:hAnsi="Times New Roman" w:cs="Times New Roman"/>
        </w:rPr>
      </w:r>
    </w:p>
    <w:p>
      <w:pPr>
        <w:pStyle w:val="959"/>
        <w:numPr>
          <w:ilvl w:val="0"/>
          <w:numId w:val="5"/>
        </w:numPr>
        <w:ind w:left="0" w:firstLine="680"/>
        <w:jc w:val="both"/>
        <w:rPr>
          <w:rFonts w:ascii="Times New Roman" w:hAnsi="Times New Roman" w:cs="Times New Roman"/>
        </w:rPr>
      </w:pPr>
      <w:r>
        <w:rPr>
          <w:rFonts w:ascii="Times New Roman" w:hAnsi="Times New Roman" w:cs="Times New Roman"/>
        </w:rPr>
        <w:t xml:space="preserve">участвовать в работе комиссии по приемке выполненных работ.</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Концедент и Субъект вправе осуществлять</w:t>
      </w:r>
      <w:r>
        <w:rPr>
          <w:rFonts w:ascii="Times New Roman" w:hAnsi="Times New Roman" w:cs="Times New Roman"/>
        </w:rPr>
        <w:t xml:space="preserve"> независимый контроль в процессе реконструкции Объекта Соглашения, в том числе путем привлечения для осуществления такого контроля юридического лица или индивидуального предпринимателя, которое не является аффилированным лицом Концессионера, и которое имее</w:t>
      </w:r>
      <w:r>
        <w:rPr>
          <w:rFonts w:ascii="Times New Roman" w:hAnsi="Times New Roman" w:cs="Times New Roman"/>
        </w:rPr>
        <w:t xml:space="preserve">т выданное саморегулируемой организацией свидетельство о допуске к соответствующим работам. В случае принятия Концедентом/Субъектом решения о проведении указанного контроля Концедент/Субъект обеспечивает его проведение с периодичностью, не чаще, чем один р</w:t>
      </w:r>
      <w:r>
        <w:rPr>
          <w:rFonts w:ascii="Times New Roman" w:hAnsi="Times New Roman" w:cs="Times New Roman"/>
        </w:rPr>
        <w:t xml:space="preserve">аз в квартал. Контроль за достижением плановых значений показателей деятельности Концессионера, указанных в Приложении № 7 к настоящему Соглашению, осуществляется Концедентом и Субъектом по состоянию на 31 декабря соответствующего года действия Соглашения.</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Концедент и Субъект имеет право запрашивать у Концессионера информацию и документы об</w:t>
      </w:r>
      <w:bookmarkEnd w:id="73"/>
      <w:r>
        <w:rPr>
          <w:rFonts w:ascii="Times New Roman" w:hAnsi="Times New Roman" w:cs="Times New Roman"/>
        </w:rPr>
        <w:t xml:space="preserve"> исполнении Концессионером обязательств по настоящему Соглашению. Порядок представления Концессионером и рассмотрения Концедентом указанной информации установлен в приложении № 14 к настоящему Соглашению.</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bookmarkStart w:id="74" w:name="sub_11183"/>
      <w:r>
        <w:rPr>
          <w:rFonts w:ascii="Times New Roman" w:hAnsi="Times New Roman" w:cs="Times New Roman"/>
        </w:rPr>
        <w:t xml:space="preserve">В случае поступления в адрес Концедента либо Субъекта жалобы от лиц (не считая анонимных жалоб</w:t>
      </w:r>
      <w:r>
        <w:rPr>
          <w:rFonts w:ascii="Times New Roman" w:hAnsi="Times New Roman" w:cs="Times New Roman"/>
        </w:rPr>
        <w:t xml:space="preserve">) на деятельность Концессионера, Концессионер обязан в течение 20 (двадцати) дней с момента поступления от Концедента/Субъекта указанной жалобы подготовить ответ по существу жалобы и переслать Концеденту/Субъекту. В случае если Концессионер не осуществил у</w:t>
      </w:r>
      <w:r>
        <w:rPr>
          <w:rFonts w:ascii="Times New Roman" w:hAnsi="Times New Roman" w:cs="Times New Roman"/>
        </w:rPr>
        <w:t xml:space="preserve">казанные действия, то Концедент/Субъект имеет право организовать внеплановую проверку осуществления деятельности по настоящему Соглашению Концессионером. В этом случае Концессионер не имеет права отказать в доступе Концеденту/Субъекту на Объект Соглашения.</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Концедент и Субъект обязаны предоставить Концессионеру возможность присутствия его представителей при провед</w:t>
      </w:r>
      <w:r>
        <w:rPr>
          <w:rFonts w:ascii="Times New Roman" w:hAnsi="Times New Roman" w:cs="Times New Roman"/>
        </w:rPr>
        <w:t xml:space="preserve">ении проверки путем направления Концессионеру предварительного уведомления (содержащего информацию о времени, месте, сроках проведения проверки, а также лицах, осуществляющих проверку) не позднее, чем за 15 (пятнадцать) календарных дней до начала проверки.</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Концедент и Субъект не вправе вмешиваться в осуществление хозяйственной</w:t>
      </w:r>
      <w:bookmarkEnd w:id="74"/>
      <w:r>
        <w:rPr>
          <w:rFonts w:ascii="Times New Roman" w:hAnsi="Times New Roman" w:cs="Times New Roman"/>
        </w:rPr>
        <w:t xml:space="preserve"> деятельности Концессионера.</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bookmarkStart w:id="75" w:name="sub_11184"/>
      <w:r>
        <w:rPr>
          <w:rFonts w:ascii="Times New Roman" w:hAnsi="Times New Roman" w:cs="Times New Roman"/>
        </w:rPr>
        <w:t xml:space="preserve">Представители уполномоченных Концедентом и Субъектом органов не вправе</w:t>
      </w:r>
      <w:bookmarkEnd w:id="75"/>
      <w:r>
        <w:rPr>
          <w:rFonts w:ascii="Times New Roman" w:hAnsi="Times New Roman" w:cs="Times New Roman"/>
        </w:rPr>
        <w:t xml:space="preserve"> разглашать сведения, отнесенные настоящим Соглашением к сведениям конфиденциального характера или являющиеся коммерческой тайной.</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bookmarkStart w:id="76" w:name="sub_11185"/>
      <w:r>
        <w:rPr>
          <w:rFonts w:ascii="Times New Roman" w:hAnsi="Times New Roman" w:cs="Times New Roman"/>
        </w:rPr>
        <w:t xml:space="preserve">При обнаружении Концедентом и Субъектом в ходе осуществления контроля за</w:t>
      </w:r>
      <w:bookmarkEnd w:id="76"/>
      <w:r>
        <w:rPr>
          <w:rFonts w:ascii="Times New Roman" w:hAnsi="Times New Roman" w:cs="Times New Roman"/>
        </w:rPr>
        <w:t xml:space="preserve"> деятельностью Концессионера нарушений, которые могут существенно повлиять на соблюдение Концессионером условий настоящего Соглашения, а именно привести к аварии на Объекте либо к невозможности (пр</w:t>
      </w:r>
      <w:r>
        <w:rPr>
          <w:rFonts w:ascii="Times New Roman" w:hAnsi="Times New Roman" w:cs="Times New Roman"/>
        </w:rPr>
        <w:t xml:space="preserve">екращению) в поставке ресурсов с использованием Объекта более 24 часов с момента обнаружения неисправности на объекте Соглашения, Концедент, Субъект обязан сообщить об этом Концессионеру в течение 10 календарных дней с даты обнаружения указанных нарушений.</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bookmarkStart w:id="77" w:name="sub_11186"/>
      <w:r>
        <w:rPr>
          <w:rFonts w:ascii="Times New Roman" w:hAnsi="Times New Roman" w:cs="Times New Roman"/>
        </w:rPr>
        <w:t xml:space="preserve">Результаты осуществления контроля за соблюдением Концессионером условий настоящего Соглашения оформляются актом о результатах контроля. Концессионер подписывает акт о результатах контроля с во</w:t>
      </w:r>
      <w:r>
        <w:rPr>
          <w:rFonts w:ascii="Times New Roman" w:hAnsi="Times New Roman" w:cs="Times New Roman"/>
        </w:rPr>
        <w:t xml:space="preserve">зражениями и направляет указанные возражения в письменной форме Концеденту и/или Субъекту в течение 30 (тридцати) календарных дней с даты подписания акта о результата контроля. Концедент и/или Субъект обязан(ы) рассмотреть возражения Концессионера и при не</w:t>
      </w:r>
      <w:r>
        <w:rPr>
          <w:rFonts w:ascii="Times New Roman" w:hAnsi="Times New Roman" w:cs="Times New Roman"/>
        </w:rPr>
        <w:t xml:space="preserve">согласии с заявленными возражениями указать в акте о результатах контроля соответствующие доводы. В случае непредставления возражений акт о результатах контроля подписывается Концедентом и/или Субъектом с указанием причин составления одностороннего акта о </w:t>
      </w:r>
      <w:r>
        <w:rPr>
          <w:rFonts w:ascii="Times New Roman" w:hAnsi="Times New Roman" w:cs="Times New Roman"/>
        </w:rPr>
        <w:t xml:space="preserve">результатах контроля. Указанный односторонний акт о результатах контроля должен быть незамедлительно предоставлен Концессионеру для устранения им выявленных нарушений. Акт о результатах контроля подлежит размещению Концедентом и Субъектом в течение 5 (пяти</w:t>
      </w:r>
      <w:r>
        <w:rPr>
          <w:rFonts w:ascii="Times New Roman" w:hAnsi="Times New Roman" w:cs="Times New Roman"/>
        </w:rPr>
        <w:t xml:space="preserve">) рабочих дней со дня составления указанного акта на официальном сайте Концедента и Субъекта в сети Интернет. Доступ к указанному акту обеспечивается в течение срока действия настоящего Соглашения и после дня окончания его срока действия в течение 3 (трех)</w:t>
      </w:r>
      <w:r>
        <w:rPr>
          <w:rFonts w:ascii="Times New Roman" w:hAnsi="Times New Roman" w:cs="Times New Roman"/>
        </w:rPr>
        <w:t xml:space="preserve"> лет. Акт о результатах контроля не размещается в сети Интернет в случае, если сведения об Объекте Соглашения составляют государственную тайну или указанный объект имеет стратегическое значение для обеспечения обороноспособности и безопасности государства.</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Если Концессионер не оспаривает результаты проверки, проведенной Концедентом, он обязан устранить все нарушения, выявленные в результате проверки, в разумный срок и уведомить Концедента и Субъекта об окончании работ по устранению нарушений.</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Если причиной нарушений, указанны</w:t>
      </w:r>
      <w:r>
        <w:rPr>
          <w:rFonts w:ascii="Times New Roman" w:hAnsi="Times New Roman" w:cs="Times New Roman"/>
        </w:rPr>
        <w:t xml:space="preserve">х в акте о результатах контроля, являются действия (бездействие) Концедента, либо действия (бездействие) Субъекта, либо обстоятельства непреодолимой силы, либо особые обстоятельства, как они предусмотрены настоящим Соглашением, Концессионер не несет ответс</w:t>
      </w:r>
      <w:r>
        <w:rPr>
          <w:rFonts w:ascii="Times New Roman" w:hAnsi="Times New Roman" w:cs="Times New Roman"/>
        </w:rPr>
        <w:t xml:space="preserve">твенности за указанные нарушения в части, в которой они обусловлены действием (бездействием) Концедента, действиями (бездействием) Субъекта, обстоятельствами непреодолимой силы, либо особыми обстоятельствами. Стороны в течение 10 (десяти) рабочих дней со д</w:t>
      </w:r>
      <w:r>
        <w:rPr>
          <w:rFonts w:ascii="Times New Roman" w:hAnsi="Times New Roman" w:cs="Times New Roman"/>
        </w:rPr>
        <w:t xml:space="preserve">ня составления акта о результатах контроля подписывают двусторонний акт, в котором подлежат согласованию мероприятия и плановые значения показателей деятельности Концессионера, скорректированные с учетом имеющихся на момент составления указанного акта несо</w:t>
      </w:r>
      <w:r>
        <w:rPr>
          <w:rFonts w:ascii="Times New Roman" w:hAnsi="Times New Roman" w:cs="Times New Roman"/>
        </w:rPr>
        <w:t xml:space="preserve">ответствий. Последующие действия Концедента и Субъекта, осуществляемые в целях контроля выполнения задания и достижения плановых показателей деятельности Концессионером осуществляются с учетом положений, закрепленных в последнем подписанном Сторонами акте.</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Стороны обязаны в течение 30 календарных дней после</w:t>
      </w:r>
      <w:bookmarkEnd w:id="77"/>
      <w:r>
        <w:rPr>
          <w:rFonts w:ascii="Times New Roman" w:hAnsi="Times New Roman" w:cs="Times New Roman"/>
        </w:rPr>
        <w:t xml:space="preserve"> наступления сроков исполнения обязательств, установленных пунктами 55, 56, 58 настоящего Соглашения, подписать документ об исполнении указанных обязательств.</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bookmarkStart w:id="78" w:name="sub_11187"/>
      <w:r>
        <w:rPr>
          <w:rFonts w:ascii="Times New Roman" w:hAnsi="Times New Roman" w:cs="Times New Roman"/>
        </w:rPr>
        <w:t xml:space="preserve">Стороны обязаны своевременно предоставлять друг другу информацию, не</w:t>
      </w:r>
      <w:r>
        <w:rPr>
          <w:rFonts w:ascii="Times New Roman" w:hAnsi="Times New Roman" w:cs="Times New Roman"/>
        </w:rPr>
        <w:t xml:space="preserve">обходимую для исполнения обязанностей по настоящему Соглашению, и уведомлять друг друга о наступлении существенных событий, способных повлиять на надлежащее исполнение указанных обязанностей, но не позднее 5 (пяти) календарных дней с момента их наступления</w:t>
      </w:r>
      <w:bookmarkEnd w:id="78"/>
      <w:r>
        <w:rPr>
          <w:rFonts w:ascii="Times New Roman" w:hAnsi="Times New Roman" w:cs="Times New Roman"/>
        </w:rPr>
        <w:t xml:space="preserve">.</w:t>
      </w:r>
      <w:r>
        <w:rPr>
          <w:rFonts w:ascii="Times New Roman" w:hAnsi="Times New Roman" w:cs="Times New Roman"/>
        </w:rPr>
      </w:r>
      <w:r>
        <w:rPr>
          <w:rFonts w:ascii="Times New Roman" w:hAnsi="Times New Roman" w:cs="Times New Roman"/>
        </w:rPr>
      </w:r>
    </w:p>
    <w:p>
      <w:pPr>
        <w:pStyle w:val="959"/>
        <w:ind w:firstLine="680"/>
        <w:jc w:val="center"/>
        <w:rPr>
          <w:rStyle w:val="951"/>
          <w:rFonts w:ascii="Times New Roman" w:hAnsi="Times New Roman" w:cs="Times New Roman"/>
        </w:rPr>
      </w:pPr>
      <w:r>
        <w:rPr>
          <w:rStyle w:val="951"/>
          <w:rFonts w:ascii="Times New Roman" w:hAnsi="Times New Roman" w:cs="Times New Roman"/>
        </w:rPr>
      </w:r>
      <w:r>
        <w:rPr>
          <w:rStyle w:val="951"/>
          <w:rFonts w:ascii="Times New Roman" w:hAnsi="Times New Roman" w:cs="Times New Roman"/>
        </w:rPr>
      </w:r>
      <w:r>
        <w:rPr>
          <w:rStyle w:val="951"/>
          <w:rFonts w:ascii="Times New Roman" w:hAnsi="Times New Roman" w:cs="Times New Roman"/>
        </w:rPr>
      </w:r>
    </w:p>
    <w:p>
      <w:pPr>
        <w:pStyle w:val="959"/>
        <w:ind w:firstLine="680"/>
        <w:jc w:val="center"/>
        <w:rPr>
          <w:rStyle w:val="951"/>
          <w:rFonts w:ascii="Times New Roman" w:hAnsi="Times New Roman" w:cs="Times New Roman"/>
        </w:rPr>
      </w:pPr>
      <w:r>
        <w:rPr>
          <w:rFonts w:ascii="Times New Roman" w:hAnsi="Times New Roman" w:cs="Times New Roman"/>
        </w:rPr>
      </w:r>
      <w:r>
        <w:rPr>
          <w:rStyle w:val="951"/>
          <w:rFonts w:ascii="Times New Roman" w:hAnsi="Times New Roman" w:cs="Times New Roman"/>
        </w:rPr>
      </w:r>
      <w:r>
        <w:rPr>
          <w:rStyle w:val="951"/>
          <w:rFonts w:ascii="Times New Roman" w:hAnsi="Times New Roman" w:cs="Times New Roman"/>
        </w:rPr>
      </w:r>
    </w:p>
    <w:p>
      <w:pPr>
        <w:pStyle w:val="959"/>
        <w:ind w:firstLine="680"/>
        <w:jc w:val="center"/>
        <w:rPr>
          <w:rStyle w:val="951"/>
          <w:rFonts w:ascii="Times New Roman" w:hAnsi="Times New Roman" w:cs="Times New Roman"/>
        </w:rPr>
      </w:pPr>
      <w:r>
        <w:rPr>
          <w:rStyle w:val="951"/>
          <w:rFonts w:ascii="Times New Roman" w:hAnsi="Times New Roman" w:cs="Times New Roman"/>
          <w:lang w:val="en-US"/>
        </w:rPr>
        <w:t xml:space="preserve">XIII</w:t>
      </w:r>
      <w:r>
        <w:rPr>
          <w:rStyle w:val="951"/>
          <w:rFonts w:ascii="Times New Roman" w:hAnsi="Times New Roman" w:cs="Times New Roman"/>
          <w:bCs/>
        </w:rPr>
        <w:t xml:space="preserve">. </w:t>
      </w:r>
      <w:r>
        <w:rPr>
          <w:rStyle w:val="951"/>
          <w:rFonts w:ascii="Times New Roman" w:hAnsi="Times New Roman" w:cs="Times New Roman"/>
          <w:bCs/>
        </w:rPr>
        <w:t xml:space="preserve">Права и обязанность Субъекта</w:t>
      </w:r>
      <w:r>
        <w:rPr>
          <w:rStyle w:val="951"/>
          <w:rFonts w:ascii="Times New Roman" w:hAnsi="Times New Roman" w:cs="Times New Roman"/>
        </w:rPr>
      </w:r>
      <w:r>
        <w:rPr>
          <w:rStyle w:val="951"/>
          <w:rFonts w:ascii="Times New Roman" w:hAnsi="Times New Roman" w:cs="Times New Roman"/>
        </w:rPr>
      </w:r>
    </w:p>
    <w:p>
      <w:pPr>
        <w:ind w:firstLine="680"/>
        <w:jc w:val="both"/>
        <w:rPr>
          <w:sz w:val="24"/>
          <w:szCs w:val="24"/>
        </w:rPr>
      </w:pPr>
      <w:r>
        <w:rPr>
          <w:sz w:val="24"/>
          <w:szCs w:val="24"/>
        </w:rPr>
      </w:r>
      <w:r>
        <w:rPr>
          <w:sz w:val="24"/>
          <w:szCs w:val="24"/>
        </w:rPr>
      </w:r>
      <w:r>
        <w:rPr>
          <w:sz w:val="24"/>
          <w:szCs w:val="24"/>
        </w:rPr>
      </w:r>
    </w:p>
    <w:p>
      <w:pPr>
        <w:pStyle w:val="943"/>
        <w:numPr>
          <w:ilvl w:val="0"/>
          <w:numId w:val="2"/>
        </w:numPr>
        <w:contextualSpacing w:val="0"/>
        <w:ind w:left="0" w:firstLine="680"/>
        <w:jc w:val="both"/>
        <w:widowControl w:val="off"/>
        <w:rPr>
          <w:sz w:val="24"/>
          <w:szCs w:val="24"/>
          <w:lang w:val="ru-RU"/>
        </w:rPr>
      </w:pPr>
      <w:r>
        <w:rPr>
          <w:sz w:val="24"/>
          <w:szCs w:val="24"/>
          <w:lang w:val="ru-RU"/>
        </w:rPr>
        <w:t xml:space="preserve">Субъект вправе осуществлять контроль за исполнением Концессионером и Концедентом условий Концессионного соглашения в порядке, предусмотренном настоящим Соглашением.</w:t>
      </w:r>
      <w:r>
        <w:rPr>
          <w:sz w:val="24"/>
          <w:szCs w:val="24"/>
          <w:lang w:val="ru-RU"/>
        </w:rPr>
      </w:r>
      <w:r>
        <w:rPr>
          <w:sz w:val="24"/>
          <w:szCs w:val="24"/>
          <w:lang w:val="ru-RU"/>
        </w:rPr>
      </w:r>
    </w:p>
    <w:p>
      <w:pPr>
        <w:pStyle w:val="943"/>
        <w:numPr>
          <w:ilvl w:val="0"/>
          <w:numId w:val="2"/>
        </w:numPr>
        <w:contextualSpacing w:val="0"/>
        <w:ind w:left="0" w:firstLine="680"/>
        <w:jc w:val="both"/>
        <w:widowControl w:val="off"/>
        <w:rPr>
          <w:bCs/>
          <w:sz w:val="24"/>
          <w:szCs w:val="24"/>
        </w:rPr>
      </w:pPr>
      <w:r>
        <w:rPr>
          <w:bCs/>
          <w:sz w:val="24"/>
          <w:szCs w:val="24"/>
        </w:rPr>
        <w:t xml:space="preserve">Субъект обязан:</w:t>
      </w:r>
      <w:r>
        <w:rPr>
          <w:bCs/>
          <w:sz w:val="24"/>
          <w:szCs w:val="24"/>
        </w:rPr>
      </w:r>
      <w:r>
        <w:rPr>
          <w:bCs/>
          <w:sz w:val="24"/>
          <w:szCs w:val="24"/>
        </w:rPr>
      </w:r>
    </w:p>
    <w:p>
      <w:pPr>
        <w:ind w:firstLine="680"/>
        <w:jc w:val="both"/>
        <w:rPr>
          <w:sz w:val="24"/>
          <w:szCs w:val="24"/>
        </w:rPr>
      </w:pPr>
      <w:r>
        <w:rPr>
          <w:sz w:val="24"/>
          <w:szCs w:val="24"/>
        </w:rPr>
        <w:t xml:space="preserve">а) устанавливать тарифы в соответствии с Долгосрочными параметрами регулирования, указанными в Приложении № 4, с применением метода индексации установленных тарифов;</w:t>
      </w:r>
      <w:r>
        <w:rPr>
          <w:sz w:val="24"/>
          <w:szCs w:val="24"/>
        </w:rPr>
      </w:r>
      <w:r>
        <w:rPr>
          <w:sz w:val="24"/>
          <w:szCs w:val="24"/>
        </w:rPr>
      </w:r>
    </w:p>
    <w:p>
      <w:pPr>
        <w:pStyle w:val="943"/>
        <w:ind w:left="0" w:firstLine="680"/>
        <w:jc w:val="both"/>
        <w:rPr>
          <w:sz w:val="24"/>
          <w:szCs w:val="24"/>
          <w:lang w:val="ru-RU"/>
        </w:rPr>
      </w:pPr>
      <w:r>
        <w:rPr>
          <w:sz w:val="24"/>
          <w:szCs w:val="24"/>
          <w:lang w:val="ru-RU"/>
        </w:rPr>
        <w:t xml:space="preserve">б) утверждать инвестиционные программы Концессионера в соответствии с заданием и основными мероприятиями, приведенными в Приложении № 2, объемом инвестиций для реконструкции Объекта Соглашения, приведенного в Приложении № 3.</w:t>
      </w:r>
      <w:r>
        <w:rPr>
          <w:sz w:val="24"/>
          <w:szCs w:val="24"/>
          <w:lang w:val="ru-RU"/>
        </w:rPr>
      </w:r>
      <w:r>
        <w:rPr>
          <w:sz w:val="24"/>
          <w:szCs w:val="24"/>
          <w:lang w:val="ru-RU"/>
        </w:rPr>
      </w:r>
    </w:p>
    <w:p>
      <w:pPr>
        <w:pStyle w:val="971"/>
        <w:ind w:left="0" w:firstLine="680"/>
        <w:spacing w:before="0" w:after="0"/>
        <w:widowControl w:val="off"/>
        <w:rPr>
          <w:rFonts w:eastAsiaTheme="minorEastAsia"/>
          <w:lang w:eastAsia="ru-RU"/>
        </w:rPr>
        <w:outlineLvl w:val="9"/>
      </w:pPr>
      <w:r>
        <w:rPr>
          <w:rFonts w:eastAsiaTheme="minorEastAsia"/>
          <w:lang w:eastAsia="ru-RU"/>
        </w:rPr>
        <w:t xml:space="preserve">в) возмещать недо</w:t>
      </w:r>
      <w:r>
        <w:rPr>
          <w:rFonts w:eastAsiaTheme="minorEastAsia"/>
          <w:lang w:eastAsia="ru-RU"/>
        </w:rPr>
        <w:t xml:space="preserve">полученные доходы Концессионера, подлежащие возмещению за счет средств бюджета Мурманской области в соответствии с законодательством, а также обеспечить учет экономически обоснованных расходов, выпадающих доходов при установлении тарифов для Концессионера.</w:t>
      </w:r>
      <w:r>
        <w:rPr>
          <w:rFonts w:eastAsiaTheme="minorEastAsia"/>
          <w:lang w:eastAsia="ru-RU"/>
        </w:rPr>
      </w:r>
      <w:r>
        <w:rPr>
          <w:rFonts w:eastAsiaTheme="minorEastAsia"/>
          <w:lang w:eastAsia="ru-RU"/>
        </w:rPr>
      </w:r>
    </w:p>
    <w:p>
      <w:pPr>
        <w:pStyle w:val="971"/>
        <w:ind w:left="0" w:firstLine="680"/>
        <w:spacing w:before="0" w:after="0"/>
        <w:widowControl w:val="off"/>
        <w:rPr>
          <w:rFonts w:eastAsiaTheme="minorEastAsia"/>
          <w:lang w:eastAsia="ru-RU"/>
        </w:rPr>
        <w:outlineLvl w:val="9"/>
      </w:pPr>
      <w:r/>
      <w:bookmarkStart w:id="79" w:name="_Toc521054427"/>
      <w:r/>
      <w:bookmarkEnd w:id="79"/>
      <w:r>
        <w:rPr>
          <w:rFonts w:eastAsiaTheme="minorEastAsia"/>
          <w:lang w:eastAsia="ru-RU"/>
        </w:rPr>
        <w:t xml:space="preserve">г) в соответствии с Соглашением осуществлять действия, необходимые для осуществления замены Концессионера по Концессионному соглашению, в том числе предоставлять необходимые согласования и подписывать необходимые документы в пределах своей компетенции;</w:t>
      </w:r>
      <w:r>
        <w:rPr>
          <w:rFonts w:eastAsiaTheme="minorEastAsia"/>
          <w:lang w:eastAsia="ru-RU"/>
        </w:rPr>
      </w:r>
      <w:r>
        <w:rPr>
          <w:rFonts w:eastAsiaTheme="minorEastAsia"/>
          <w:lang w:eastAsia="ru-RU"/>
        </w:rPr>
      </w:r>
    </w:p>
    <w:p>
      <w:pPr>
        <w:pStyle w:val="971"/>
        <w:ind w:left="0" w:firstLine="680"/>
        <w:spacing w:before="0" w:after="0"/>
        <w:widowControl w:val="off"/>
        <w:rPr>
          <w:rFonts w:eastAsiaTheme="minorEastAsia"/>
          <w:lang w:eastAsia="ru-RU"/>
        </w:rPr>
        <w:outlineLvl w:val="9"/>
      </w:pPr>
      <w:r>
        <w:t xml:space="preserve">д) заключить дополнительное соглашение об изменении условий настоящего Соглашения в случаях, когда в соответствии с Соглашением и (или) законодательством Концедент обязан изменить условия Соглашения по требованию Концессионера.</w:t>
      </w:r>
      <w:r>
        <w:rPr>
          <w:rFonts w:eastAsiaTheme="minorEastAsia"/>
          <w:lang w:eastAsia="ru-RU"/>
        </w:rPr>
      </w:r>
      <w:r>
        <w:rPr>
          <w:rFonts w:eastAsiaTheme="minorEastAsia"/>
          <w:lang w:eastAsia="ru-RU"/>
        </w:rPr>
      </w:r>
    </w:p>
    <w:p>
      <w:pPr>
        <w:pStyle w:val="971"/>
        <w:numPr>
          <w:ilvl w:val="0"/>
          <w:numId w:val="2"/>
        </w:numPr>
        <w:ind w:left="0" w:firstLine="680"/>
        <w:spacing w:before="0" w:after="0"/>
        <w:widowControl w:val="off"/>
        <w:rPr>
          <w:rFonts w:eastAsiaTheme="minorEastAsia"/>
          <w:lang w:eastAsia="ru-RU"/>
        </w:rPr>
        <w:outlineLvl w:val="9"/>
      </w:pPr>
      <w:r>
        <w:rPr>
          <w:rFonts w:eastAsiaTheme="minorEastAsia"/>
          <w:lang w:eastAsia="ru-RU"/>
        </w:rPr>
        <w:t xml:space="preserve">В части контроля исполнения Соглашения Субъект вправе осуществлять следующие действия:</w:t>
      </w:r>
      <w:r>
        <w:rPr>
          <w:rFonts w:eastAsiaTheme="minorEastAsia"/>
          <w:lang w:eastAsia="ru-RU"/>
        </w:rPr>
      </w:r>
      <w:r>
        <w:rPr>
          <w:rFonts w:eastAsiaTheme="minorEastAsia"/>
          <w:lang w:eastAsia="ru-RU"/>
        </w:rPr>
      </w:r>
    </w:p>
    <w:p>
      <w:pPr>
        <w:pStyle w:val="971"/>
        <w:ind w:left="0" w:firstLine="680"/>
        <w:spacing w:before="0" w:after="0"/>
        <w:widowControl w:val="off"/>
        <w:rPr>
          <w:rFonts w:eastAsiaTheme="minorEastAsia"/>
          <w:lang w:eastAsia="ru-RU"/>
        </w:rPr>
        <w:outlineLvl w:val="9"/>
      </w:pPr>
      <w:r>
        <w:rPr>
          <w:rFonts w:eastAsiaTheme="minorEastAsia"/>
          <w:lang w:eastAsia="ru-RU"/>
        </w:rPr>
        <w:t xml:space="preserve">а) контролировать исполнение Концессионером и Концедентом обязательств по Соглашению.</w:t>
      </w:r>
      <w:r>
        <w:rPr>
          <w:rFonts w:eastAsiaTheme="minorEastAsia"/>
          <w:lang w:eastAsia="ru-RU"/>
        </w:rPr>
      </w:r>
      <w:r>
        <w:rPr>
          <w:rFonts w:eastAsiaTheme="minorEastAsia"/>
          <w:lang w:eastAsia="ru-RU"/>
        </w:rPr>
      </w:r>
    </w:p>
    <w:p>
      <w:pPr>
        <w:pStyle w:val="971"/>
        <w:ind w:left="0" w:firstLine="680"/>
        <w:spacing w:before="0" w:after="0"/>
        <w:widowControl w:val="off"/>
        <w:rPr>
          <w:rFonts w:eastAsiaTheme="minorEastAsia"/>
          <w:lang w:eastAsia="ru-RU"/>
        </w:rPr>
        <w:outlineLvl w:val="9"/>
      </w:pPr>
      <w:r>
        <w:rPr>
          <w:rFonts w:eastAsiaTheme="minorEastAsia"/>
          <w:lang w:eastAsia="ru-RU"/>
        </w:rPr>
        <w:t xml:space="preserve">б) запрашивать у Концедента информацию и документы, связанные с исполнением Концед</w:t>
      </w:r>
      <w:r>
        <w:rPr>
          <w:rFonts w:eastAsiaTheme="minorEastAsia"/>
          <w:lang w:eastAsia="ru-RU"/>
        </w:rPr>
        <w:t xml:space="preserve">ентом своих обязательств по Соглашению, в том числе отчетность, определенную Соглашением между Министерством строительства Мурманской области и Печенгским муниципальным округом от 25.01.2024 г. № 807-2740297040-24-2, в установленные этим Соглашением сроки.</w:t>
      </w:r>
      <w:r>
        <w:rPr>
          <w:rFonts w:eastAsiaTheme="minorEastAsia"/>
          <w:lang w:eastAsia="ru-RU"/>
        </w:rPr>
      </w:r>
      <w:r>
        <w:rPr>
          <w:rFonts w:eastAsiaTheme="minorEastAsia"/>
          <w:lang w:eastAsia="ru-RU"/>
        </w:rPr>
      </w:r>
    </w:p>
    <w:p>
      <w:pPr>
        <w:pStyle w:val="972"/>
        <w:numPr>
          <w:ilvl w:val="0"/>
          <w:numId w:val="2"/>
        </w:numPr>
        <w:ind w:left="0" w:firstLine="680"/>
        <w:spacing w:before="0" w:after="0"/>
        <w:widowControl w:val="off"/>
        <w:rPr>
          <w:rFonts w:eastAsiaTheme="minorEastAsia"/>
          <w:lang w:eastAsia="ru-RU"/>
        </w:rPr>
        <w:outlineLvl w:val="9"/>
      </w:pPr>
      <w:r/>
      <w:bookmarkStart w:id="80" w:name="_Ref472602722"/>
      <w:r>
        <w:rPr>
          <w:rFonts w:eastAsiaTheme="minorEastAsia"/>
          <w:lang w:eastAsia="ru-RU"/>
        </w:rPr>
        <w:t xml:space="preserve">В целях проверки правильности расчета компенсации при прекращении в случае досрочного прекращения Соглашения Субъект вправе в письменном виде запросить у Концессионера копии документов, подтверждающих:</w:t>
      </w:r>
      <w:bookmarkEnd w:id="80"/>
      <w:r>
        <w:rPr>
          <w:rFonts w:eastAsiaTheme="minorEastAsia"/>
          <w:lang w:eastAsia="ru-RU"/>
        </w:rPr>
      </w:r>
      <w:r>
        <w:rPr>
          <w:rFonts w:eastAsiaTheme="minorEastAsia"/>
          <w:lang w:eastAsia="ru-RU"/>
        </w:rPr>
      </w:r>
    </w:p>
    <w:p>
      <w:pPr>
        <w:pStyle w:val="971"/>
        <w:numPr>
          <w:ilvl w:val="0"/>
          <w:numId w:val="15"/>
        </w:numPr>
        <w:ind w:left="0" w:firstLine="680"/>
        <w:spacing w:before="0" w:after="0"/>
        <w:widowControl w:val="off"/>
        <w:rPr>
          <w:rFonts w:eastAsiaTheme="minorEastAsia"/>
          <w:lang w:eastAsia="ru-RU"/>
        </w:rPr>
        <w:outlineLvl w:val="9"/>
      </w:pPr>
      <w:r>
        <w:rPr>
          <w:rFonts w:eastAsiaTheme="minorEastAsia"/>
          <w:lang w:eastAsia="ru-RU"/>
        </w:rPr>
        <w:t xml:space="preserve">размер расходов на проектно-изыскательские работы для целей реконструкции Объекта Соглашения (договоры, акты приемки выполненных работ, акты сверки расчетов);</w:t>
      </w:r>
      <w:r>
        <w:rPr>
          <w:rFonts w:eastAsiaTheme="minorEastAsia"/>
          <w:lang w:eastAsia="ru-RU"/>
        </w:rPr>
      </w:r>
      <w:r>
        <w:rPr>
          <w:rFonts w:eastAsiaTheme="minorEastAsia"/>
          <w:lang w:eastAsia="ru-RU"/>
        </w:rPr>
      </w:r>
    </w:p>
    <w:p>
      <w:pPr>
        <w:pStyle w:val="971"/>
        <w:numPr>
          <w:ilvl w:val="0"/>
          <w:numId w:val="15"/>
        </w:numPr>
        <w:ind w:left="0" w:firstLine="680"/>
        <w:spacing w:before="0" w:after="0"/>
        <w:widowControl w:val="off"/>
        <w:rPr>
          <w:rFonts w:eastAsiaTheme="minorEastAsia"/>
          <w:lang w:eastAsia="ru-RU"/>
        </w:rPr>
        <w:outlineLvl w:val="9"/>
      </w:pPr>
      <w:r>
        <w:rPr>
          <w:rFonts w:eastAsiaTheme="minorEastAsia"/>
          <w:lang w:eastAsia="ru-RU"/>
        </w:rPr>
        <w:t xml:space="preserve">размер расходов на строительно-монтажные р</w:t>
      </w:r>
      <w:r>
        <w:rPr>
          <w:rFonts w:eastAsiaTheme="minorEastAsia"/>
          <w:lang w:eastAsia="ru-RU"/>
        </w:rPr>
        <w:t xml:space="preserve">аботы, выполненные при реконструкции Объекта Соглашения (договоры подряда, договоры о приобретении оборудования и материалов, акты о приемке выполненных работ (форма КС-2), справки о стоимости выполненных работ и затрат (форма КС-3), акты сверки расчетов);</w:t>
      </w:r>
      <w:r>
        <w:rPr>
          <w:rFonts w:eastAsiaTheme="minorEastAsia"/>
          <w:lang w:eastAsia="ru-RU"/>
        </w:rPr>
      </w:r>
      <w:r>
        <w:rPr>
          <w:rFonts w:eastAsiaTheme="minorEastAsia"/>
          <w:lang w:eastAsia="ru-RU"/>
        </w:rPr>
      </w:r>
    </w:p>
    <w:p>
      <w:pPr>
        <w:pStyle w:val="971"/>
        <w:numPr>
          <w:ilvl w:val="0"/>
          <w:numId w:val="15"/>
        </w:numPr>
        <w:ind w:left="0" w:firstLine="680"/>
        <w:spacing w:before="0" w:after="0"/>
        <w:widowControl w:val="off"/>
        <w:rPr>
          <w:rFonts w:eastAsiaTheme="minorEastAsia"/>
          <w:lang w:eastAsia="ru-RU"/>
        </w:rPr>
        <w:outlineLvl w:val="9"/>
      </w:pPr>
      <w:r>
        <w:rPr>
          <w:rFonts w:eastAsiaTheme="minorEastAsia"/>
          <w:lang w:eastAsia="ru-RU"/>
        </w:rPr>
        <w:t xml:space="preserve">размер собственных инвестиций и условия их предоставления (соглашения о предоставлении акционерных займов, бухгалтерская и финансовая отчетность, корпоративные решения, акты сверки расчетов);</w:t>
      </w:r>
      <w:r>
        <w:rPr>
          <w:rFonts w:eastAsiaTheme="minorEastAsia"/>
          <w:lang w:eastAsia="ru-RU"/>
        </w:rPr>
      </w:r>
      <w:r>
        <w:rPr>
          <w:rFonts w:eastAsiaTheme="minorEastAsia"/>
          <w:lang w:eastAsia="ru-RU"/>
        </w:rPr>
      </w:r>
    </w:p>
    <w:p>
      <w:pPr>
        <w:pStyle w:val="971"/>
        <w:numPr>
          <w:ilvl w:val="0"/>
          <w:numId w:val="15"/>
        </w:numPr>
        <w:ind w:left="0" w:firstLine="680"/>
        <w:spacing w:before="0" w:after="0"/>
        <w:widowControl w:val="off"/>
        <w:rPr>
          <w:rFonts w:eastAsiaTheme="minorEastAsia"/>
          <w:lang w:eastAsia="ru-RU"/>
        </w:rPr>
        <w:outlineLvl w:val="9"/>
      </w:pPr>
      <w:r>
        <w:rPr>
          <w:rFonts w:eastAsiaTheme="minorEastAsia"/>
          <w:lang w:eastAsia="ru-RU"/>
        </w:rPr>
        <w:t xml:space="preserve">размер предоставленного Концессион</w:t>
      </w:r>
      <w:r>
        <w:rPr>
          <w:rFonts w:eastAsiaTheme="minorEastAsia"/>
          <w:lang w:eastAsia="ru-RU"/>
        </w:rPr>
        <w:t xml:space="preserve">еру финансирования в соответствии с Соглашениями о финансировании (документы, не относящиеся к коммерческой и банковской тайне, о получении денежных средств от финансирующей организации, документы о погашении задолженности по Соглашениям о финансировании);</w:t>
      </w:r>
      <w:r>
        <w:rPr>
          <w:rFonts w:eastAsiaTheme="minorEastAsia"/>
          <w:lang w:eastAsia="ru-RU"/>
        </w:rPr>
      </w:r>
      <w:r>
        <w:rPr>
          <w:rFonts w:eastAsiaTheme="minorEastAsia"/>
          <w:lang w:eastAsia="ru-RU"/>
        </w:rPr>
      </w:r>
    </w:p>
    <w:p>
      <w:pPr>
        <w:pStyle w:val="971"/>
        <w:numPr>
          <w:ilvl w:val="0"/>
          <w:numId w:val="15"/>
        </w:numPr>
        <w:ind w:left="0" w:firstLine="680"/>
        <w:spacing w:before="0" w:after="0"/>
        <w:widowControl w:val="off"/>
        <w:rPr>
          <w:rFonts w:eastAsiaTheme="minorEastAsia"/>
          <w:lang w:eastAsia="ru-RU"/>
        </w:rPr>
        <w:outlineLvl w:val="9"/>
      </w:pPr>
      <w:r>
        <w:rPr>
          <w:rFonts w:eastAsiaTheme="minorEastAsia"/>
          <w:lang w:eastAsia="ru-RU"/>
        </w:rPr>
        <w:t xml:space="preserve">объем тарифной выручки, полученной Концессионером за период с даты заключения Соглашения до даты расчета компенсации при прекращении.</w:t>
      </w:r>
      <w:r>
        <w:rPr>
          <w:rFonts w:eastAsiaTheme="minorEastAsia"/>
          <w:lang w:eastAsia="ru-RU"/>
        </w:rPr>
      </w:r>
      <w:r>
        <w:rPr>
          <w:rFonts w:eastAsiaTheme="minorEastAsia"/>
          <w:lang w:eastAsia="ru-RU"/>
        </w:rPr>
      </w:r>
    </w:p>
    <w:p>
      <w:pPr>
        <w:pStyle w:val="972"/>
        <w:ind w:left="0" w:firstLine="680"/>
        <w:spacing w:before="0" w:after="0"/>
        <w:widowControl w:val="off"/>
        <w:rPr>
          <w:rFonts w:eastAsiaTheme="minorEastAsia"/>
          <w:lang w:eastAsia="ru-RU"/>
        </w:rPr>
        <w:outlineLvl w:val="9"/>
      </w:pPr>
      <w:r>
        <w:rPr>
          <w:rFonts w:eastAsiaTheme="minorEastAsia"/>
          <w:lang w:eastAsia="ru-RU"/>
        </w:rPr>
        <w:t xml:space="preserve">В случае обоснованной необходимости Субъект вправе в письменном виде запросить у Концессионера иные документы и информацию, помимо указанных в пункте 85 Соглашения, а также разъяснения по предоставленным документам и информации. </w:t>
      </w:r>
      <w:r>
        <w:rPr>
          <w:rFonts w:eastAsiaTheme="minorEastAsia"/>
          <w:lang w:eastAsia="ru-RU"/>
        </w:rPr>
      </w:r>
      <w:r>
        <w:rPr>
          <w:rFonts w:eastAsiaTheme="minorEastAsia"/>
          <w:lang w:eastAsia="ru-RU"/>
        </w:rPr>
      </w:r>
    </w:p>
    <w:p>
      <w:pPr>
        <w:pStyle w:val="972"/>
        <w:numPr>
          <w:ilvl w:val="0"/>
          <w:numId w:val="2"/>
        </w:numPr>
        <w:ind w:left="0" w:firstLine="680"/>
        <w:spacing w:before="0" w:after="0"/>
        <w:widowControl w:val="off"/>
        <w:rPr>
          <w:rFonts w:eastAsiaTheme="minorEastAsia"/>
          <w:lang w:eastAsia="ru-RU"/>
        </w:rPr>
        <w:outlineLvl w:val="9"/>
      </w:pPr>
      <w:r>
        <w:rPr>
          <w:rFonts w:eastAsiaTheme="minorEastAsia"/>
          <w:lang w:eastAsia="ru-RU"/>
        </w:rPr>
        <w:t xml:space="preserve">Концессионер и Концедент обязаны предоставить информацию и документы, запрошенные Субъектом, в течение 10 (десяти) рабочих дней с даты получения письменного запроса.</w:t>
      </w:r>
      <w:r>
        <w:rPr>
          <w:rFonts w:eastAsiaTheme="minorEastAsia"/>
          <w:lang w:eastAsia="ru-RU"/>
        </w:rPr>
      </w:r>
      <w:r>
        <w:rPr>
          <w:rFonts w:eastAsiaTheme="minorEastAsia"/>
          <w:lang w:eastAsia="ru-RU"/>
        </w:rPr>
      </w:r>
    </w:p>
    <w:p>
      <w:pPr>
        <w:pStyle w:val="972"/>
        <w:ind w:left="0" w:firstLine="680"/>
        <w:jc w:val="center"/>
        <w:spacing w:before="0" w:after="0"/>
        <w:widowControl w:val="off"/>
        <w:rPr>
          <w:rFonts w:eastAsiaTheme="minorEastAsia"/>
          <w:b/>
          <w:lang w:eastAsia="ru-RU"/>
        </w:rPr>
        <w:outlineLvl w:val="9"/>
      </w:pPr>
      <w:r>
        <w:rPr>
          <w:rFonts w:eastAsiaTheme="minorEastAsia"/>
          <w:b/>
          <w:lang w:eastAsia="ru-RU"/>
        </w:rPr>
      </w:r>
      <w:r>
        <w:rPr>
          <w:rFonts w:eastAsiaTheme="minorEastAsia"/>
          <w:b/>
          <w:lang w:eastAsia="ru-RU"/>
        </w:rPr>
      </w:r>
      <w:r>
        <w:rPr>
          <w:rFonts w:eastAsiaTheme="minorEastAsia"/>
          <w:b/>
          <w:lang w:eastAsia="ru-RU"/>
        </w:rPr>
      </w:r>
    </w:p>
    <w:p>
      <w:pPr>
        <w:pStyle w:val="972"/>
        <w:ind w:left="0" w:firstLine="680"/>
        <w:jc w:val="center"/>
        <w:spacing w:before="0" w:after="0"/>
        <w:widowControl w:val="off"/>
        <w:rPr>
          <w:rFonts w:eastAsiaTheme="minorEastAsia"/>
          <w:b/>
          <w:lang w:eastAsia="ru-RU"/>
        </w:rPr>
        <w:outlineLvl w:val="9"/>
      </w:pPr>
      <w:r>
        <w:rPr>
          <w:rFonts w:eastAsiaTheme="minorEastAsia"/>
          <w:b/>
          <w:lang w:eastAsia="ru-RU"/>
        </w:rPr>
        <w:t xml:space="preserve">XIV. Ответственность Сторон</w:t>
      </w:r>
      <w:r>
        <w:rPr>
          <w:rFonts w:eastAsiaTheme="minorEastAsia"/>
          <w:b/>
          <w:lang w:eastAsia="ru-RU"/>
        </w:rPr>
      </w:r>
      <w:r>
        <w:rPr>
          <w:rFonts w:eastAsiaTheme="minorEastAsia"/>
          <w:b/>
          <w:lang w:eastAsia="ru-RU"/>
        </w:rPr>
      </w:r>
    </w:p>
    <w:p>
      <w:pPr>
        <w:pStyle w:val="972"/>
        <w:ind w:left="0" w:firstLine="680"/>
        <w:spacing w:before="0" w:after="0"/>
        <w:widowControl w:val="off"/>
        <w:rPr>
          <w:rFonts w:eastAsiaTheme="minorEastAsia"/>
          <w:b/>
          <w:lang w:eastAsia="ru-RU"/>
        </w:rPr>
        <w:outlineLvl w:val="9"/>
      </w:pPr>
      <w:r>
        <w:rPr>
          <w:rFonts w:eastAsiaTheme="minorEastAsia"/>
          <w:b/>
          <w:lang w:eastAsia="ru-RU"/>
        </w:rPr>
      </w:r>
      <w:r>
        <w:rPr>
          <w:rFonts w:eastAsiaTheme="minorEastAsia"/>
          <w:b/>
          <w:lang w:eastAsia="ru-RU"/>
        </w:rPr>
      </w:r>
      <w:r>
        <w:rPr>
          <w:rFonts w:eastAsiaTheme="minorEastAsia"/>
          <w:b/>
          <w:lang w:eastAsia="ru-RU"/>
        </w:rPr>
      </w:r>
    </w:p>
    <w:p>
      <w:pPr>
        <w:pStyle w:val="972"/>
        <w:numPr>
          <w:ilvl w:val="0"/>
          <w:numId w:val="2"/>
        </w:numPr>
        <w:ind w:left="0" w:firstLine="680"/>
        <w:spacing w:before="0" w:after="0"/>
        <w:widowControl w:val="off"/>
        <w:rPr>
          <w:rFonts w:eastAsiaTheme="minorEastAsia"/>
          <w:lang w:eastAsia="ru-RU"/>
        </w:rPr>
        <w:outlineLvl w:val="9"/>
      </w:pPr>
      <w:r>
        <w:rPr>
          <w:rFonts w:eastAsiaTheme="minorEastAsia"/>
          <w:lang w:eastAsia="ru-RU"/>
        </w:rPr>
        <w:t xml:space="preserve">За неисполнение или ненадлежащее исполнение обязательств по настоящему Соглашению Стороны несут ответственность, предусмотренную законодательством Российской Федерации и настоящим Соглашением.</w:t>
      </w:r>
      <w:r>
        <w:rPr>
          <w:rFonts w:eastAsiaTheme="minorEastAsia"/>
          <w:lang w:eastAsia="ru-RU"/>
        </w:rPr>
      </w:r>
      <w:r>
        <w:rPr>
          <w:rFonts w:eastAsiaTheme="minorEastAsia"/>
          <w:lang w:eastAsia="ru-RU"/>
        </w:rPr>
      </w:r>
    </w:p>
    <w:p>
      <w:pPr>
        <w:pStyle w:val="972"/>
        <w:numPr>
          <w:ilvl w:val="0"/>
          <w:numId w:val="2"/>
        </w:numPr>
        <w:ind w:left="0" w:firstLine="680"/>
        <w:spacing w:before="0" w:after="0"/>
        <w:widowControl w:val="off"/>
        <w:rPr>
          <w:rFonts w:eastAsiaTheme="minorEastAsia"/>
          <w:lang w:eastAsia="ru-RU"/>
        </w:rPr>
        <w:outlineLvl w:val="9"/>
      </w:pPr>
      <w:r>
        <w:rPr>
          <w:rFonts w:eastAsiaTheme="minorEastAsia"/>
          <w:lang w:eastAsia="ru-RU"/>
        </w:rPr>
        <w:t xml:space="preserve">Концессионер несет ответст</w:t>
      </w:r>
      <w:r>
        <w:rPr>
          <w:rFonts w:eastAsiaTheme="minorEastAsia"/>
          <w:lang w:eastAsia="ru-RU"/>
        </w:rPr>
        <w:t xml:space="preserve">венность перед Концедентом за допущенное при реконструкции объекта Соглашения нарушение требований, установленных настоящим Соглашением, требований технических регламентов, проектной документации, иных обязательных требований к качеству объекта Соглашения.</w:t>
      </w:r>
      <w:r>
        <w:rPr>
          <w:rFonts w:eastAsiaTheme="minorEastAsia"/>
          <w:lang w:eastAsia="ru-RU"/>
        </w:rPr>
      </w:r>
      <w:r>
        <w:rPr>
          <w:rFonts w:eastAsiaTheme="minorEastAsia"/>
          <w:lang w:eastAsia="ru-RU"/>
        </w:rPr>
      </w:r>
    </w:p>
    <w:p>
      <w:pPr>
        <w:pStyle w:val="972"/>
        <w:numPr>
          <w:ilvl w:val="0"/>
          <w:numId w:val="2"/>
        </w:numPr>
        <w:ind w:left="0" w:firstLine="680"/>
        <w:spacing w:before="0" w:after="0"/>
        <w:widowControl w:val="off"/>
        <w:rPr>
          <w:rFonts w:eastAsiaTheme="minorEastAsia"/>
          <w:lang w:eastAsia="ru-RU"/>
        </w:rPr>
        <w:outlineLvl w:val="9"/>
      </w:pPr>
      <w:r>
        <w:t xml:space="preserve">За нарушение ср</w:t>
      </w:r>
      <w:r>
        <w:t xml:space="preserve">ока, указанного в п. 21, подачи документов необходимых для государственной регистрации права собственности на созданный объект концессионного соглашения Концессионер уплачивает Концеденту штраф в размере 1 000 (одна тысяча) рублей за каждый день просрочки.</w:t>
      </w:r>
      <w:r>
        <w:rPr>
          <w:rFonts w:eastAsiaTheme="minorEastAsia"/>
          <w:lang w:eastAsia="ru-RU"/>
        </w:rPr>
      </w:r>
      <w:r>
        <w:rPr>
          <w:rFonts w:eastAsiaTheme="minorEastAsia"/>
          <w:lang w:eastAsia="ru-RU"/>
        </w:rPr>
      </w:r>
    </w:p>
    <w:p>
      <w:pPr>
        <w:pStyle w:val="972"/>
        <w:numPr>
          <w:ilvl w:val="0"/>
          <w:numId w:val="2"/>
        </w:numPr>
        <w:ind w:left="0" w:firstLine="680"/>
        <w:spacing w:before="0" w:after="0"/>
        <w:widowControl w:val="off"/>
        <w:rPr>
          <w:rFonts w:eastAsiaTheme="minorEastAsia"/>
          <w:lang w:eastAsia="ru-RU"/>
        </w:rPr>
        <w:outlineLvl w:val="9"/>
      </w:pPr>
      <w:r>
        <w:rPr>
          <w:rFonts w:eastAsiaTheme="minorEastAsia"/>
          <w:lang w:eastAsia="ru-RU"/>
        </w:rPr>
        <w:t xml:space="preserve">В случае нарушения требований, указанных в пункте 87 настоящего Соглашения, Концедент обязан направить Концессионеру в письменной форме требование безвозмездно устранить обнаруженное нарушение с указанием пункта настоящего Соглашения </w:t>
      </w:r>
      <w:r>
        <w:rPr>
          <w:rFonts w:eastAsiaTheme="minorEastAsia"/>
          <w:lang w:eastAsia="ru-RU"/>
        </w:rPr>
        <w:t xml:space="preserve">и (или) документа, требования которых нарушены. При этом срок для устранения нарушения составляет 60 календарных дней с даты получения требования Концедента, при отсутствии технической возможности срок определяется исходя из инженерно-технических расчетов.</w:t>
      </w:r>
      <w:r>
        <w:rPr>
          <w:rFonts w:eastAsiaTheme="minorEastAsia"/>
          <w:lang w:eastAsia="ru-RU"/>
        </w:rPr>
      </w:r>
      <w:r>
        <w:rPr>
          <w:rFonts w:eastAsiaTheme="minorEastAsia"/>
          <w:lang w:eastAsia="ru-RU"/>
        </w:rPr>
      </w:r>
    </w:p>
    <w:p>
      <w:pPr>
        <w:pStyle w:val="972"/>
        <w:numPr>
          <w:ilvl w:val="0"/>
          <w:numId w:val="2"/>
        </w:numPr>
        <w:ind w:left="0" w:firstLine="680"/>
        <w:spacing w:before="0" w:after="0"/>
        <w:widowControl w:val="off"/>
        <w:rPr>
          <w:rFonts w:eastAsiaTheme="minorEastAsia"/>
          <w:lang w:eastAsia="ru-RU"/>
        </w:rPr>
        <w:outlineLvl w:val="9"/>
      </w:pPr>
      <w:r>
        <w:rPr>
          <w:rFonts w:eastAsiaTheme="minorEastAsia"/>
          <w:lang w:eastAsia="ru-RU"/>
        </w:rPr>
        <w:t xml:space="preserve">Концедент вправе потребовать от Концессионера возмещения причиненных Концеденту убытков, вызванных нарушением Концессионеро</w:t>
      </w:r>
      <w:r>
        <w:rPr>
          <w:rFonts w:eastAsiaTheme="minorEastAsia"/>
          <w:lang w:eastAsia="ru-RU"/>
        </w:rPr>
        <w:t xml:space="preserve">м требований, указанных пункте 87 настоящего Соглашения, если эти нарушения не были устранены Концессионером в срок, определенный Концедентом в требовании об устранении нарушений, предусмотренном пункте 87 настоящего Соглашения, или являются существенными.</w:t>
      </w:r>
      <w:r>
        <w:rPr>
          <w:rFonts w:eastAsiaTheme="minorEastAsia"/>
          <w:lang w:eastAsia="ru-RU"/>
        </w:rPr>
      </w:r>
      <w:r>
        <w:rPr>
          <w:rFonts w:eastAsiaTheme="minorEastAsia"/>
          <w:lang w:eastAsia="ru-RU"/>
        </w:rPr>
      </w:r>
    </w:p>
    <w:p>
      <w:pPr>
        <w:pStyle w:val="972"/>
        <w:numPr>
          <w:ilvl w:val="0"/>
          <w:numId w:val="2"/>
        </w:numPr>
        <w:ind w:left="0" w:firstLine="680"/>
        <w:spacing w:before="0" w:after="0"/>
        <w:widowControl w:val="off"/>
        <w:rPr>
          <w:rFonts w:eastAsiaTheme="minorEastAsia"/>
          <w:lang w:eastAsia="ru-RU"/>
        </w:rPr>
        <w:outlineLvl w:val="9"/>
      </w:pPr>
      <w:r>
        <w:rPr>
          <w:rFonts w:eastAsiaTheme="minorEastAsia"/>
          <w:lang w:eastAsia="ru-RU"/>
        </w:rPr>
        <w:t xml:space="preserve">Концессионер несет перед Концедентом ответственность за качество работ по реконструкции объекта Соглашения в течение 5 лет со дня ввода в эксплуатацию объекта Соглашения Концеденту.</w:t>
      </w:r>
      <w:r>
        <w:rPr>
          <w:rFonts w:eastAsiaTheme="minorEastAsia"/>
          <w:lang w:eastAsia="ru-RU"/>
        </w:rPr>
      </w:r>
      <w:r>
        <w:rPr>
          <w:rFonts w:eastAsiaTheme="minorEastAsia"/>
          <w:lang w:eastAsia="ru-RU"/>
        </w:rPr>
      </w:r>
    </w:p>
    <w:p>
      <w:pPr>
        <w:pStyle w:val="972"/>
        <w:numPr>
          <w:ilvl w:val="0"/>
          <w:numId w:val="2"/>
        </w:numPr>
        <w:ind w:left="0" w:firstLine="680"/>
        <w:spacing w:before="0" w:after="0"/>
        <w:widowControl w:val="off"/>
        <w:rPr>
          <w:rFonts w:eastAsiaTheme="minorEastAsia"/>
          <w:lang w:eastAsia="ru-RU"/>
        </w:rPr>
        <w:outlineLvl w:val="9"/>
      </w:pPr>
      <w:r>
        <w:rPr>
          <w:rFonts w:eastAsiaTheme="minorEastAsia"/>
          <w:lang w:eastAsia="ru-RU"/>
        </w:rPr>
        <w:t xml:space="preserve">Концедент имеет право на возмещение убытков, возникших в результате неисполнения или ненадлежащего исполнения Концессионером обязательств по настоящему Соглашению, указанных в пун</w:t>
      </w:r>
      <w:r>
        <w:rPr>
          <w:rFonts w:eastAsiaTheme="minorEastAsia"/>
          <w:lang w:eastAsia="ru-RU"/>
        </w:rPr>
        <w:t xml:space="preserve">ктах 54, 56, 58, 59 настоящего Соглашения. Концессионер имеет право на возмещение убытков, возникших в результате неисполнения или ненадлежащего исполнения Концедентом обязательств по настоящему Соглашению, указанных в пунктах 23, 38 настоящего Соглашения.</w:t>
      </w:r>
      <w:r>
        <w:t xml:space="preserve"> </w:t>
      </w:r>
      <w:r>
        <w:rPr>
          <w:rFonts w:eastAsiaTheme="minorEastAsia"/>
          <w:lang w:eastAsia="ru-RU"/>
        </w:rPr>
      </w:r>
      <w:r>
        <w:rPr>
          <w:rFonts w:eastAsiaTheme="minorEastAsia"/>
          <w:lang w:eastAsia="ru-RU"/>
        </w:rPr>
      </w:r>
    </w:p>
    <w:p>
      <w:pPr>
        <w:pStyle w:val="972"/>
        <w:numPr>
          <w:ilvl w:val="0"/>
          <w:numId w:val="2"/>
        </w:numPr>
        <w:ind w:left="0" w:firstLine="680"/>
        <w:spacing w:before="0" w:after="0"/>
        <w:widowControl w:val="off"/>
        <w:rPr>
          <w:rFonts w:eastAsiaTheme="minorEastAsia"/>
          <w:lang w:eastAsia="ru-RU"/>
        </w:rPr>
        <w:outlineLvl w:val="9"/>
      </w:pPr>
      <w:r>
        <w:rPr>
          <w:rFonts w:eastAsiaTheme="minorEastAsia"/>
          <w:lang w:eastAsia="ru-RU"/>
        </w:rPr>
        <w:t xml:space="preserve">Концессионер, в случае выставления и признании соответствующей претензии, обязан уплатить Концеденту в соответствующий бюджет неустойку в виде штрафа в случае неисполн</w:t>
      </w:r>
      <w:r>
        <w:rPr>
          <w:rFonts w:eastAsiaTheme="minorEastAsia"/>
          <w:lang w:eastAsia="ru-RU"/>
        </w:rPr>
        <w:t xml:space="preserve">ения или ненадлежащего исполнения Концессионером обязательств, установленных п. 54, 56, 58, 59 настоящего Соглашения , в том числе в случае нарушения сроков исполнения обязательств, указанных в разделе VIII настоящего Соглашения, в размере 1/1000 (одной ты</w:t>
      </w:r>
      <w:r>
        <w:rPr>
          <w:rFonts w:eastAsiaTheme="minorEastAsia"/>
          <w:lang w:eastAsia="ru-RU"/>
        </w:rPr>
        <w:t xml:space="preserve">сячной) ставки рефинансирования Центрального Банка Российской Федерации от общего объема неисполненных обязательств, выраженных в денежной форме, за каждый день неисполнения в срок до момента устранения ненадлежащего исполнения Концессионером обязательств.</w:t>
      </w:r>
      <w:r>
        <w:rPr>
          <w:rFonts w:eastAsiaTheme="minorEastAsia"/>
          <w:lang w:eastAsia="ru-RU"/>
        </w:rPr>
      </w:r>
      <w:r>
        <w:rPr>
          <w:rFonts w:eastAsiaTheme="minorEastAsia"/>
          <w:lang w:eastAsia="ru-RU"/>
        </w:rPr>
      </w:r>
    </w:p>
    <w:p>
      <w:pPr>
        <w:pStyle w:val="972"/>
        <w:numPr>
          <w:ilvl w:val="0"/>
          <w:numId w:val="2"/>
        </w:numPr>
        <w:ind w:left="0" w:firstLine="680"/>
        <w:spacing w:before="0" w:after="0"/>
        <w:widowControl w:val="off"/>
        <w:rPr>
          <w:rFonts w:eastAsiaTheme="minorEastAsia"/>
          <w:lang w:eastAsia="ru-RU"/>
        </w:rPr>
        <w:outlineLvl w:val="9"/>
      </w:pPr>
      <w:r>
        <w:rPr>
          <w:rFonts w:eastAsiaTheme="minorEastAsia"/>
          <w:lang w:eastAsia="ru-RU"/>
        </w:rPr>
        <w:t xml:space="preserve">Концедент, в случае выставления и признания соответствующей претензии, </w:t>
      </w:r>
      <w:r>
        <w:rPr>
          <w:rFonts w:eastAsiaTheme="minorEastAsia"/>
          <w:lang w:eastAsia="ru-RU"/>
        </w:rPr>
        <w:t xml:space="preserve">обязан уплатить Концессионеру неустойку за неисполнение, или ненадлежащее исполнение своих обязательств, установленных пунктами 23, 38 настоящ</w:t>
      </w:r>
      <w:r>
        <w:rPr>
          <w:rFonts w:eastAsiaTheme="minorEastAsia"/>
          <w:lang w:eastAsia="ru-RU"/>
        </w:rPr>
        <w:t xml:space="preserve">его Соглашения, в размере 1/1000 (одной тысячной) ключевой ставки, установленной Центральным Банком Российской Федерации от общего объема неисполненных обязательств, выраженных в денежной форме, за каждый день неисполнения и (или) ненадлежащего исполнения.</w:t>
      </w:r>
      <w:r>
        <w:rPr>
          <w:rFonts w:eastAsiaTheme="minorEastAsia"/>
          <w:lang w:eastAsia="ru-RU"/>
        </w:rPr>
      </w:r>
      <w:r>
        <w:rPr>
          <w:rFonts w:eastAsiaTheme="minorEastAsia"/>
          <w:lang w:eastAsia="ru-RU"/>
        </w:rPr>
      </w:r>
    </w:p>
    <w:p>
      <w:pPr>
        <w:pStyle w:val="972"/>
        <w:numPr>
          <w:ilvl w:val="0"/>
          <w:numId w:val="2"/>
        </w:numPr>
        <w:ind w:left="0" w:firstLine="680"/>
        <w:spacing w:before="0" w:after="0"/>
        <w:widowControl w:val="off"/>
        <w:rPr>
          <w:rFonts w:eastAsiaTheme="minorEastAsia"/>
          <w:lang w:eastAsia="ru-RU"/>
        </w:rPr>
        <w:outlineLvl w:val="9"/>
      </w:pPr>
      <w:r>
        <w:rPr>
          <w:rFonts w:eastAsiaTheme="minorEastAsia"/>
          <w:lang w:eastAsia="ru-RU"/>
        </w:rPr>
        <w:t xml:space="preserve">Концессионер обязан предоставить обеспечение исполнения обязательств по на</w:t>
      </w:r>
      <w:r>
        <w:rPr>
          <w:rFonts w:eastAsiaTheme="minorEastAsia"/>
          <w:lang w:eastAsia="ru-RU"/>
        </w:rPr>
        <w:t xml:space="preserve">стоящему Соглашению в виде безотзывной банковской гарантии. Банковская гарантия должна быть непередаваемой и соответствовать иным требованиям Приложения № 20.  Размер банковской гарантии рассчитывается как 5 % от отношения предельной сметной стоимости на р</w:t>
      </w:r>
      <w:r>
        <w:rPr>
          <w:rFonts w:eastAsiaTheme="minorEastAsia"/>
          <w:lang w:eastAsia="ru-RU"/>
        </w:rPr>
        <w:t xml:space="preserve">еконструкцию объекта Соглашения, определенной в Приложении № 3, на Срок действия Концессионного соглашения и количества календарных месяцев Срока действия Концессионного соглашения, умноженного на количество месяцев действия Концессионного соглашения в кал</w:t>
      </w:r>
      <w:r>
        <w:rPr>
          <w:rFonts w:eastAsiaTheme="minorEastAsia"/>
          <w:lang w:eastAsia="ru-RU"/>
        </w:rPr>
        <w:t xml:space="preserve">ендарном году (календарных годах), на который предоставляется гарантия. Банковская гарантия предоставляется в первый год Концессионного соглашения в течении 30 календарных дней с даты подписания Концессионного соглашения, но не позднее срока подачи заявки </w:t>
      </w:r>
      <w:r>
        <w:rPr>
          <w:rFonts w:eastAsiaTheme="minorEastAsia"/>
          <w:lang w:eastAsia="ru-RU"/>
        </w:rPr>
        <w:t xml:space="preserve">Концессионером на выплату средств Капитального гранта, и действует до окончания года, далее ежегодно в течении 30 календарных дней с начала года и действует с 1 января по 31 декабря соответствующего года, в котором предусмотрены мероприятия по Соглашению. </w:t>
      </w:r>
      <w:r>
        <w:rPr>
          <w:rFonts w:eastAsiaTheme="minorEastAsia"/>
          <w:lang w:eastAsia="ru-RU"/>
        </w:rPr>
      </w:r>
      <w:r>
        <w:rPr>
          <w:rFonts w:eastAsiaTheme="minorEastAsia"/>
          <w:lang w:eastAsia="ru-RU"/>
        </w:rPr>
      </w:r>
    </w:p>
    <w:p>
      <w:pPr>
        <w:pStyle w:val="972"/>
        <w:numPr>
          <w:ilvl w:val="0"/>
          <w:numId w:val="2"/>
        </w:numPr>
        <w:ind w:left="0" w:firstLine="680"/>
        <w:spacing w:before="0" w:after="0"/>
        <w:widowControl w:val="off"/>
        <w:rPr>
          <w:rFonts w:eastAsiaTheme="minorEastAsia"/>
          <w:lang w:eastAsia="ru-RU"/>
        </w:rPr>
        <w:outlineLvl w:val="9"/>
      </w:pPr>
      <w:r>
        <w:rPr>
          <w:rFonts w:eastAsiaTheme="minorEastAsia"/>
          <w:lang w:eastAsia="ru-RU"/>
        </w:rPr>
        <w:t xml:space="preserve">Сторона вправе не приступать к исполнению своих обязанностей по настоящему Соглашению, за исключением обязанностей Концессионера осуществлять деятельность по произво</w:t>
      </w:r>
      <w:r>
        <w:rPr>
          <w:rFonts w:eastAsiaTheme="minorEastAsia"/>
          <w:lang w:eastAsia="ru-RU"/>
        </w:rPr>
        <w:t xml:space="preserve">дству, передаче и распределению тепловой энергии и горячей воды, приостановить их исполнение с уведомлением другой Стороны в случае, когда нарушение другой Стороной своих обязанностей по настоящему Соглашению препятствует исполнению указанных обязанностей.</w:t>
      </w:r>
      <w:r>
        <w:rPr>
          <w:rFonts w:eastAsiaTheme="minorEastAsia"/>
          <w:lang w:eastAsia="ru-RU"/>
        </w:rPr>
      </w:r>
      <w:r>
        <w:rPr>
          <w:rFonts w:eastAsiaTheme="minorEastAsia"/>
          <w:lang w:eastAsia="ru-RU"/>
        </w:rPr>
      </w:r>
    </w:p>
    <w:p>
      <w:pPr>
        <w:pStyle w:val="972"/>
        <w:ind w:left="680" w:firstLine="0"/>
        <w:spacing w:before="0" w:after="0"/>
        <w:widowControl w:val="off"/>
        <w:rPr>
          <w:rFonts w:eastAsiaTheme="minorEastAsia"/>
          <w:lang w:eastAsia="ru-RU"/>
        </w:rPr>
        <w:outlineLvl w:val="9"/>
      </w:pPr>
      <w:r>
        <w:rPr>
          <w:rFonts w:eastAsiaTheme="minorEastAsia"/>
          <w:lang w:eastAsia="ru-RU"/>
        </w:rPr>
      </w:r>
      <w:r>
        <w:rPr>
          <w:rFonts w:eastAsiaTheme="minorEastAsia"/>
          <w:lang w:eastAsia="ru-RU"/>
        </w:rPr>
      </w:r>
      <w:r>
        <w:rPr>
          <w:rFonts w:eastAsiaTheme="minorEastAsia"/>
          <w:lang w:eastAsia="ru-RU"/>
        </w:rPr>
      </w:r>
    </w:p>
    <w:p>
      <w:pPr>
        <w:pStyle w:val="959"/>
        <w:ind w:firstLine="680"/>
        <w:jc w:val="center"/>
        <w:rPr>
          <w:rStyle w:val="951"/>
          <w:rFonts w:ascii="Times New Roman" w:hAnsi="Times New Roman" w:cs="Times New Roman"/>
          <w:bCs/>
        </w:rPr>
      </w:pPr>
      <w:r>
        <w:rPr>
          <w:rStyle w:val="951"/>
          <w:rFonts w:ascii="Times New Roman" w:hAnsi="Times New Roman" w:cs="Times New Roman"/>
        </w:rPr>
        <w:t xml:space="preserve">X</w:t>
      </w:r>
      <w:r>
        <w:rPr>
          <w:rStyle w:val="951"/>
          <w:rFonts w:ascii="Times New Roman" w:hAnsi="Times New Roman" w:cs="Times New Roman"/>
          <w:lang w:val="en-US"/>
        </w:rPr>
        <w:t xml:space="preserve">V</w:t>
      </w:r>
      <w:r>
        <w:rPr>
          <w:rStyle w:val="951"/>
          <w:rFonts w:ascii="Times New Roman" w:hAnsi="Times New Roman" w:cs="Times New Roman"/>
        </w:rPr>
        <w:t xml:space="preserve">. Порядок взаимодействия Сторон при наступлении</w:t>
      </w:r>
      <w:r>
        <w:rPr>
          <w:rStyle w:val="951"/>
          <w:rFonts w:ascii="Times New Roman" w:hAnsi="Times New Roman" w:cs="Times New Roman"/>
          <w:bCs/>
        </w:rPr>
      </w:r>
      <w:r>
        <w:rPr>
          <w:rStyle w:val="951"/>
          <w:rFonts w:ascii="Times New Roman" w:hAnsi="Times New Roman" w:cs="Times New Roman"/>
          <w:bCs/>
        </w:rPr>
      </w:r>
    </w:p>
    <w:p>
      <w:pPr>
        <w:pStyle w:val="959"/>
        <w:ind w:firstLine="680"/>
        <w:jc w:val="center"/>
        <w:rPr>
          <w:rStyle w:val="951"/>
          <w:rFonts w:ascii="Times New Roman" w:hAnsi="Times New Roman" w:cs="Times New Roman"/>
        </w:rPr>
      </w:pPr>
      <w:r>
        <w:rPr>
          <w:rStyle w:val="951"/>
          <w:rFonts w:ascii="Times New Roman" w:hAnsi="Times New Roman" w:cs="Times New Roman"/>
        </w:rPr>
        <w:t xml:space="preserve">обстоятельств</w:t>
      </w:r>
      <w:r>
        <w:rPr>
          <w:rFonts w:ascii="Times New Roman" w:hAnsi="Times New Roman" w:cs="Times New Roman"/>
        </w:rPr>
        <w:t xml:space="preserve"> </w:t>
      </w:r>
      <w:r>
        <w:rPr>
          <w:rStyle w:val="951"/>
          <w:rFonts w:ascii="Times New Roman" w:hAnsi="Times New Roman" w:cs="Times New Roman"/>
        </w:rPr>
        <w:t xml:space="preserve">непреодолимой силы</w:t>
      </w:r>
      <w:r>
        <w:rPr>
          <w:rStyle w:val="951"/>
          <w:rFonts w:ascii="Times New Roman" w:hAnsi="Times New Roman" w:cs="Times New Roman"/>
        </w:rPr>
      </w:r>
      <w:r>
        <w:rPr>
          <w:rStyle w:val="951"/>
          <w:rFonts w:ascii="Times New Roman" w:hAnsi="Times New Roman" w:cs="Times New Roman"/>
        </w:rPr>
      </w:r>
    </w:p>
    <w:p>
      <w:pPr>
        <w:rPr>
          <w:sz w:val="24"/>
          <w:szCs w:val="24"/>
        </w:rPr>
      </w:pPr>
      <w:r>
        <w:rPr>
          <w:sz w:val="24"/>
          <w:szCs w:val="24"/>
        </w:rPr>
      </w:r>
      <w:r>
        <w:rPr>
          <w:sz w:val="24"/>
          <w:szCs w:val="24"/>
        </w:rPr>
      </w:r>
      <w:r>
        <w:rPr>
          <w:sz w:val="24"/>
          <w:szCs w:val="24"/>
        </w:rPr>
      </w:r>
    </w:p>
    <w:p>
      <w:pPr>
        <w:pStyle w:val="972"/>
        <w:numPr>
          <w:ilvl w:val="0"/>
          <w:numId w:val="2"/>
        </w:numPr>
        <w:ind w:left="0" w:firstLine="680"/>
        <w:spacing w:before="0" w:after="0"/>
        <w:widowControl w:val="off"/>
        <w:rPr>
          <w:rFonts w:eastAsiaTheme="minorEastAsia"/>
          <w:lang w:eastAsia="ru-RU"/>
        </w:rPr>
        <w:outlineLvl w:val="9"/>
      </w:pPr>
      <w:r>
        <w:rPr>
          <w:rFonts w:eastAsiaTheme="minorEastAsia"/>
          <w:lang w:eastAsia="ru-RU"/>
        </w:rPr>
        <w:t xml:space="preserve">Сторона, не исполнившая или исполнившая ненадлежащим образом свои обязательства по настоящему Соглашению, несет </w:t>
      </w:r>
      <w:r>
        <w:rPr>
          <w:rFonts w:eastAsiaTheme="minorEastAsia"/>
          <w:lang w:eastAsia="ru-RU"/>
        </w:rPr>
        <w:t xml:space="preserve">ответственность, предусмотренную законодательством Российской Федерации и настоящим Соглашением, если не докажет, что надлежащее исполнение обязательств по настоящему Соглашению оказалось невозможным вследствие наступления обстоятельств непреодолимой силы.</w:t>
      </w:r>
      <w:r>
        <w:rPr>
          <w:rFonts w:eastAsiaTheme="minorEastAsia"/>
          <w:lang w:eastAsia="ru-RU"/>
        </w:rPr>
      </w:r>
      <w:r>
        <w:rPr>
          <w:rFonts w:eastAsiaTheme="minorEastAsia"/>
          <w:lang w:eastAsia="ru-RU"/>
        </w:rPr>
      </w:r>
    </w:p>
    <w:p>
      <w:pPr>
        <w:pStyle w:val="972"/>
        <w:numPr>
          <w:ilvl w:val="0"/>
          <w:numId w:val="2"/>
        </w:numPr>
        <w:ind w:left="0" w:firstLine="680"/>
        <w:spacing w:before="0" w:after="0"/>
        <w:widowControl w:val="off"/>
        <w:rPr>
          <w:rFonts w:eastAsiaTheme="minorEastAsia"/>
          <w:lang w:eastAsia="ru-RU"/>
        </w:rPr>
        <w:outlineLvl w:val="9"/>
      </w:pPr>
      <w:r>
        <w:rPr>
          <w:rFonts w:eastAsiaTheme="minorEastAsia"/>
          <w:lang w:eastAsia="ru-RU"/>
        </w:rPr>
        <w:t xml:space="preserve">Сторона, нарушившая условия настоящего Соглашения в результате наступления обстоятельств непреодолимой силы, то есть чрезвычайных и непредотвратимых при данных условиях обс</w:t>
      </w:r>
      <w:r>
        <w:rPr>
          <w:rFonts w:eastAsiaTheme="minorEastAsia"/>
          <w:lang w:eastAsia="ru-RU"/>
        </w:rPr>
        <w:t xml:space="preserve">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изданием актов органов государственной власти, обязана:</w:t>
      </w:r>
      <w:r>
        <w:rPr>
          <w:rFonts w:eastAsiaTheme="minorEastAsia"/>
          <w:lang w:eastAsia="ru-RU"/>
        </w:rPr>
      </w:r>
      <w:r>
        <w:rPr>
          <w:rFonts w:eastAsiaTheme="minorEastAsia"/>
          <w:lang w:eastAsia="ru-RU"/>
        </w:rPr>
      </w:r>
    </w:p>
    <w:p>
      <w:pPr>
        <w:pStyle w:val="959"/>
        <w:ind w:firstLine="680"/>
        <w:jc w:val="both"/>
        <w:rPr>
          <w:rFonts w:ascii="Times New Roman" w:hAnsi="Times New Roman" w:cs="Times New Roman"/>
        </w:rPr>
      </w:pPr>
      <w:r>
        <w:rPr>
          <w:rFonts w:ascii="Times New Roman" w:hAnsi="Times New Roman" w:cs="Times New Roman"/>
        </w:rPr>
        <w:t xml:space="preserve">а) в письменной форме уведомить другую Сторону о наступлении указанных обстоятельств не позднее 30 календарных дней с даты их наступления и представить необходимые документальные подтверждения;</w:t>
      </w:r>
      <w:r>
        <w:rPr>
          <w:rFonts w:ascii="Times New Roman" w:hAnsi="Times New Roman" w:cs="Times New Roman"/>
        </w:rPr>
      </w:r>
      <w:r>
        <w:rPr>
          <w:rFonts w:ascii="Times New Roman" w:hAnsi="Times New Roman" w:cs="Times New Roman"/>
        </w:rPr>
      </w:r>
    </w:p>
    <w:p>
      <w:pPr>
        <w:pStyle w:val="959"/>
        <w:ind w:firstLine="680"/>
        <w:jc w:val="both"/>
        <w:rPr>
          <w:rFonts w:ascii="Times New Roman" w:hAnsi="Times New Roman" w:cs="Times New Roman"/>
        </w:rPr>
      </w:pPr>
      <w:r>
        <w:rPr>
          <w:rFonts w:ascii="Times New Roman" w:hAnsi="Times New Roman" w:cs="Times New Roman"/>
        </w:rPr>
        <w:t xml:space="preserve">б) письменно уведомить другую Сторону о возобновлении исполнения своих обязательств по настоящему Соглашению.</w:t>
      </w:r>
      <w:r>
        <w:rPr>
          <w:rFonts w:ascii="Times New Roman" w:hAnsi="Times New Roman" w:cs="Times New Roman"/>
        </w:rPr>
      </w:r>
      <w:r>
        <w:rPr>
          <w:rFonts w:ascii="Times New Roman" w:hAnsi="Times New Roman" w:cs="Times New Roman"/>
        </w:rPr>
      </w:r>
    </w:p>
    <w:p>
      <w:pPr>
        <w:pStyle w:val="972"/>
        <w:numPr>
          <w:ilvl w:val="0"/>
          <w:numId w:val="2"/>
        </w:numPr>
        <w:ind w:left="0" w:firstLine="680"/>
        <w:spacing w:before="0" w:after="0"/>
        <w:widowControl w:val="off"/>
        <w:rPr>
          <w:rFonts w:eastAsiaTheme="minorEastAsia"/>
          <w:lang w:eastAsia="ru-RU"/>
        </w:rPr>
        <w:outlineLvl w:val="9"/>
      </w:pPr>
      <w:r>
        <w:rPr>
          <w:rFonts w:eastAsiaTheme="minorEastAsia"/>
          <w:lang w:eastAsia="ru-RU"/>
        </w:rPr>
        <w:t xml:space="preserve">Стороны обязаны предпринять все разумные меры для устранения последствий, причиненных наступлением обстоятельств непреодолимой силы, послуживших препятствием к исполнению или надлежащему исполне</w:t>
      </w:r>
      <w:r>
        <w:rPr>
          <w:rFonts w:eastAsiaTheme="minorEastAsia"/>
          <w:lang w:eastAsia="ru-RU"/>
        </w:rPr>
        <w:t xml:space="preserve">нию обязательств по настоящему Соглашению, а также до устранения этих последствий предпринять в течение 30 календарных дней меры, направленные на обеспечение надлежащего осуществления Концессионером деятельности, указанной в пункте 1 настоящего Соглашения.</w:t>
      </w:r>
      <w:r>
        <w:rPr>
          <w:rFonts w:eastAsiaTheme="minorEastAsia"/>
          <w:lang w:eastAsia="ru-RU"/>
        </w:rPr>
      </w:r>
      <w:r>
        <w:rPr>
          <w:rFonts w:eastAsiaTheme="minorEastAsia"/>
          <w:lang w:eastAsia="ru-RU"/>
        </w:rPr>
      </w:r>
    </w:p>
    <w:p>
      <w:pPr>
        <w:pStyle w:val="972"/>
        <w:ind w:left="680" w:firstLine="0"/>
        <w:spacing w:before="0" w:after="0"/>
        <w:widowControl w:val="off"/>
        <w:rPr>
          <w:rFonts w:eastAsiaTheme="minorEastAsia"/>
          <w:lang w:eastAsia="ru-RU"/>
        </w:rPr>
        <w:outlineLvl w:val="9"/>
      </w:pPr>
      <w:r>
        <w:rPr>
          <w:rFonts w:eastAsiaTheme="minorEastAsia"/>
          <w:lang w:eastAsia="ru-RU"/>
        </w:rPr>
      </w:r>
      <w:r>
        <w:rPr>
          <w:rFonts w:eastAsiaTheme="minorEastAsia"/>
          <w:lang w:eastAsia="ru-RU"/>
        </w:rPr>
      </w:r>
      <w:r>
        <w:rPr>
          <w:rFonts w:eastAsiaTheme="minorEastAsia"/>
          <w:lang w:eastAsia="ru-RU"/>
        </w:rPr>
      </w:r>
    </w:p>
    <w:p>
      <w:pPr>
        <w:pStyle w:val="959"/>
        <w:ind w:firstLine="680"/>
        <w:jc w:val="center"/>
        <w:rPr>
          <w:rStyle w:val="951"/>
          <w:rFonts w:ascii="Times New Roman" w:hAnsi="Times New Roman" w:cs="Times New Roman"/>
          <w:bCs/>
        </w:rPr>
      </w:pPr>
      <w:r>
        <w:rPr>
          <w:rStyle w:val="951"/>
          <w:rFonts w:ascii="Times New Roman" w:hAnsi="Times New Roman" w:cs="Times New Roman"/>
        </w:rPr>
        <w:t xml:space="preserve">XVI. Особые обстоятельства</w:t>
      </w:r>
      <w:r>
        <w:rPr>
          <w:rStyle w:val="951"/>
          <w:rFonts w:ascii="Times New Roman" w:hAnsi="Times New Roman" w:cs="Times New Roman"/>
          <w:bCs/>
        </w:rPr>
      </w:r>
      <w:r>
        <w:rPr>
          <w:rStyle w:val="951"/>
          <w:rFonts w:ascii="Times New Roman" w:hAnsi="Times New Roman" w:cs="Times New Roman"/>
          <w:bCs/>
        </w:rPr>
      </w:r>
    </w:p>
    <w:p>
      <w:pPr>
        <w:pStyle w:val="972"/>
        <w:ind w:left="0" w:firstLine="680"/>
        <w:jc w:val="center"/>
        <w:spacing w:before="0" w:after="0"/>
        <w:widowControl w:val="off"/>
        <w:rPr>
          <w:rFonts w:eastAsiaTheme="minorEastAsia"/>
          <w:b/>
          <w:lang w:eastAsia="ru-RU"/>
        </w:rPr>
        <w:outlineLvl w:val="9"/>
      </w:pPr>
      <w:r>
        <w:rPr>
          <w:rFonts w:eastAsiaTheme="minorEastAsia"/>
          <w:b/>
          <w:lang w:eastAsia="ru-RU"/>
        </w:rPr>
        <w:t xml:space="preserve">Признаки Особого обстоятельства</w:t>
      </w:r>
      <w:r>
        <w:rPr>
          <w:rFonts w:eastAsiaTheme="minorEastAsia"/>
          <w:b/>
          <w:lang w:eastAsia="ru-RU"/>
        </w:rPr>
      </w:r>
      <w:r>
        <w:rPr>
          <w:rFonts w:eastAsiaTheme="minorEastAsia"/>
          <w:b/>
          <w:lang w:eastAsia="ru-RU"/>
        </w:rPr>
      </w:r>
    </w:p>
    <w:p>
      <w:pPr>
        <w:pStyle w:val="972"/>
        <w:ind w:left="0" w:firstLine="680"/>
        <w:jc w:val="center"/>
        <w:spacing w:before="0" w:after="0"/>
        <w:widowControl w:val="off"/>
        <w:rPr>
          <w:rFonts w:eastAsiaTheme="minorEastAsia"/>
          <w:b/>
          <w:lang w:eastAsia="ru-RU"/>
        </w:rPr>
        <w:outlineLvl w:val="9"/>
      </w:pPr>
      <w:r>
        <w:rPr>
          <w:rFonts w:eastAsiaTheme="minorEastAsia"/>
          <w:b/>
          <w:lang w:eastAsia="ru-RU"/>
        </w:rPr>
      </w:r>
      <w:r>
        <w:rPr>
          <w:rFonts w:eastAsiaTheme="minorEastAsia"/>
          <w:b/>
          <w:lang w:eastAsia="ru-RU"/>
        </w:rPr>
      </w:r>
      <w:r>
        <w:rPr>
          <w:rFonts w:eastAsiaTheme="minorEastAsia"/>
          <w:b/>
          <w:lang w:eastAsia="ru-RU"/>
        </w:rPr>
      </w:r>
    </w:p>
    <w:p>
      <w:pPr>
        <w:pStyle w:val="972"/>
        <w:numPr>
          <w:ilvl w:val="0"/>
          <w:numId w:val="2"/>
        </w:numPr>
        <w:ind w:left="0" w:firstLine="680"/>
        <w:spacing w:before="0" w:after="0"/>
        <w:widowControl w:val="off"/>
        <w:outlineLvl w:val="9"/>
      </w:pPr>
      <w:r>
        <w:t xml:space="preserve">Любое из перечисленных в пунктах 105-107 обстоятельств признается Особым обстоятельством, за исключением случаев, когда действия или бездействие Концессионера (и</w:t>
      </w:r>
      <w:r>
        <w:t xml:space="preserve">ли любого лица, за действия которого Концессионер отвечает как за свои собственные) являются причиной наступления этого обстоятельства, и наступление этого обстоятельства препятствует надлежащему исполнению Концессионером условий Концессионного соглашения.</w:t>
      </w:r>
      <w:r/>
    </w:p>
    <w:p>
      <w:pPr>
        <w:pStyle w:val="972"/>
        <w:ind w:left="0" w:firstLine="680"/>
        <w:spacing w:before="0" w:after="0"/>
        <w:widowControl w:val="off"/>
        <w:rPr>
          <w:rFonts w:eastAsiaTheme="minorEastAsia"/>
          <w:b/>
          <w:lang w:eastAsia="ru-RU"/>
        </w:rPr>
        <w:outlineLvl w:val="9"/>
      </w:pPr>
      <w:r>
        <w:rPr>
          <w:rFonts w:eastAsiaTheme="minorEastAsia"/>
          <w:b/>
          <w:lang w:eastAsia="ru-RU"/>
        </w:rPr>
        <w:t xml:space="preserve">Последствия наступления Особого обстоятельства</w:t>
      </w:r>
      <w:r>
        <w:rPr>
          <w:rFonts w:eastAsiaTheme="minorEastAsia"/>
          <w:b/>
          <w:lang w:eastAsia="ru-RU"/>
        </w:rPr>
      </w:r>
      <w:r>
        <w:rPr>
          <w:rFonts w:eastAsiaTheme="minorEastAsia"/>
          <w:b/>
          <w:lang w:eastAsia="ru-RU"/>
        </w:rPr>
      </w:r>
    </w:p>
    <w:p>
      <w:pPr>
        <w:pStyle w:val="972"/>
        <w:numPr>
          <w:ilvl w:val="0"/>
          <w:numId w:val="2"/>
        </w:numPr>
        <w:ind w:left="0" w:firstLine="680"/>
        <w:spacing w:before="0" w:after="0"/>
        <w:widowControl w:val="off"/>
        <w:rPr>
          <w:rFonts w:eastAsiaTheme="minorEastAsia"/>
          <w:lang w:eastAsia="ru-RU"/>
        </w:rPr>
        <w:outlineLvl w:val="9"/>
      </w:pPr>
      <w:r>
        <w:rPr>
          <w:rFonts w:eastAsiaTheme="minorEastAsia"/>
          <w:lang w:eastAsia="ru-RU"/>
        </w:rPr>
        <w:t xml:space="preserve">В случае наступления Особого обстоя</w:t>
      </w:r>
      <w:r>
        <w:rPr>
          <w:rFonts w:eastAsiaTheme="minorEastAsia"/>
          <w:lang w:eastAsia="ru-RU"/>
        </w:rPr>
        <w:t xml:space="preserve">тельства Концессионер освобождается от ответственности за неисполнение или просрочку исполнения своих обязательств в соответствии с Соглашением, но только в той степени, в которой такое неисполнение или просрочка прямо вызваны таким Особым обстоятельством.</w:t>
      </w:r>
      <w:r>
        <w:rPr>
          <w:rFonts w:eastAsiaTheme="minorEastAsia"/>
          <w:lang w:eastAsia="ru-RU"/>
        </w:rPr>
      </w:r>
      <w:r>
        <w:rPr>
          <w:rFonts w:eastAsiaTheme="minorEastAsia"/>
          <w:lang w:eastAsia="ru-RU"/>
        </w:rPr>
      </w:r>
    </w:p>
    <w:p>
      <w:pPr>
        <w:pStyle w:val="972"/>
        <w:numPr>
          <w:ilvl w:val="0"/>
          <w:numId w:val="2"/>
        </w:numPr>
        <w:ind w:left="0" w:firstLine="680"/>
        <w:spacing w:before="0" w:after="0"/>
        <w:widowControl w:val="off"/>
        <w:rPr>
          <w:rFonts w:eastAsiaTheme="minorEastAsia"/>
          <w:lang w:eastAsia="ru-RU"/>
        </w:rPr>
        <w:outlineLvl w:val="9"/>
      </w:pPr>
      <w:r>
        <w:rPr>
          <w:rFonts w:eastAsiaTheme="minorEastAsia"/>
          <w:lang w:eastAsia="ru-RU"/>
        </w:rPr>
        <w:t xml:space="preserve">Если в результате наступления Особого обстоятельства Концессионер не может выполнить мероприятия по реконструкции Объекта соглашения в сроки, предусмотренные Заданием и основными мероприятиями, то Концедент и Субъ</w:t>
      </w:r>
      <w:r>
        <w:rPr>
          <w:rFonts w:eastAsiaTheme="minorEastAsia"/>
          <w:lang w:eastAsia="ru-RU"/>
        </w:rPr>
        <w:t xml:space="preserve">ект обязаны внести соответствующие изменения в Соглашение по требованию Концессионера, за исключением случаев, когда наступление такого Особого обстоятельства не может являться основанием для изменения условий Соглашения в соответствии с законодательством.</w:t>
      </w:r>
      <w:r>
        <w:rPr>
          <w:rFonts w:eastAsiaTheme="minorEastAsia"/>
          <w:lang w:eastAsia="ru-RU"/>
        </w:rPr>
      </w:r>
      <w:r>
        <w:rPr>
          <w:rFonts w:eastAsiaTheme="minorEastAsia"/>
          <w:lang w:eastAsia="ru-RU"/>
        </w:rPr>
      </w:r>
    </w:p>
    <w:p>
      <w:pPr>
        <w:pStyle w:val="972"/>
        <w:numPr>
          <w:ilvl w:val="0"/>
          <w:numId w:val="2"/>
        </w:numPr>
        <w:ind w:left="0" w:firstLine="680"/>
        <w:spacing w:before="0" w:after="0"/>
        <w:widowControl w:val="off"/>
        <w:rPr>
          <w:rFonts w:eastAsiaTheme="minorEastAsia"/>
          <w:lang w:eastAsia="ru-RU"/>
        </w:rPr>
        <w:outlineLvl w:val="9"/>
      </w:pPr>
      <w:r>
        <w:rPr>
          <w:rFonts w:eastAsiaTheme="minorEastAsia"/>
          <w:lang w:eastAsia="ru-RU"/>
        </w:rPr>
        <w:t xml:space="preserve">При наступлении Особого обстоятельства Стороны вправе в рамках обсуждения последствий наступления Особого обстоятельства по договоренности:</w:t>
      </w:r>
      <w:r>
        <w:rPr>
          <w:rFonts w:eastAsiaTheme="minorEastAsia"/>
          <w:lang w:eastAsia="ru-RU"/>
        </w:rPr>
      </w:r>
      <w:r>
        <w:rPr>
          <w:rFonts w:eastAsiaTheme="minorEastAsia"/>
          <w:lang w:eastAsia="ru-RU"/>
        </w:rPr>
      </w:r>
    </w:p>
    <w:p>
      <w:pPr>
        <w:pStyle w:val="943"/>
        <w:numPr>
          <w:ilvl w:val="0"/>
          <w:numId w:val="6"/>
        </w:numPr>
        <w:contextualSpacing w:val="0"/>
        <w:ind w:left="0" w:firstLine="680"/>
        <w:jc w:val="both"/>
        <w:widowControl w:val="off"/>
        <w:rPr>
          <w:sz w:val="24"/>
          <w:szCs w:val="24"/>
          <w:lang w:val="ru-RU"/>
        </w:rPr>
      </w:pPr>
      <w:r>
        <w:rPr>
          <w:sz w:val="24"/>
          <w:szCs w:val="24"/>
          <w:lang w:val="ru-RU"/>
        </w:rPr>
        <w:t xml:space="preserve">начать обсуждение изменений в Соглашение, и (или);</w:t>
      </w:r>
      <w:r>
        <w:rPr>
          <w:sz w:val="24"/>
          <w:szCs w:val="24"/>
          <w:lang w:val="ru-RU"/>
        </w:rPr>
      </w:r>
      <w:r>
        <w:rPr>
          <w:sz w:val="24"/>
          <w:szCs w:val="24"/>
          <w:lang w:val="ru-RU"/>
        </w:rPr>
      </w:r>
    </w:p>
    <w:p>
      <w:pPr>
        <w:pStyle w:val="943"/>
        <w:numPr>
          <w:ilvl w:val="0"/>
          <w:numId w:val="6"/>
        </w:numPr>
        <w:contextualSpacing w:val="0"/>
        <w:ind w:left="0" w:firstLine="680"/>
        <w:jc w:val="both"/>
        <w:widowControl w:val="off"/>
        <w:rPr>
          <w:sz w:val="24"/>
          <w:szCs w:val="24"/>
          <w:lang w:val="ru-RU"/>
        </w:rPr>
      </w:pPr>
      <w:r>
        <w:rPr>
          <w:sz w:val="24"/>
          <w:szCs w:val="24"/>
          <w:lang w:val="ru-RU"/>
        </w:rPr>
        <w:t xml:space="preserve">воспользоваться правом на досрочное прекращение (расторжение) Соглашения в соответствии с порядком, предусмотренным Соглашением.</w:t>
      </w:r>
      <w:r>
        <w:rPr>
          <w:sz w:val="24"/>
          <w:szCs w:val="24"/>
          <w:lang w:val="ru-RU"/>
        </w:rPr>
      </w:r>
      <w:r>
        <w:rPr>
          <w:sz w:val="24"/>
          <w:szCs w:val="24"/>
          <w:lang w:val="ru-RU"/>
        </w:rPr>
      </w:r>
    </w:p>
    <w:p>
      <w:pPr>
        <w:ind w:firstLine="680"/>
        <w:rPr>
          <w:b/>
          <w:sz w:val="24"/>
          <w:szCs w:val="24"/>
        </w:rPr>
      </w:pPr>
      <w:r>
        <w:rPr>
          <w:b/>
          <w:sz w:val="24"/>
          <w:szCs w:val="24"/>
        </w:rPr>
        <w:t xml:space="preserve">Перечень особых обстоятельств</w:t>
      </w:r>
      <w:r>
        <w:rPr>
          <w:b/>
          <w:sz w:val="24"/>
          <w:szCs w:val="24"/>
        </w:rPr>
      </w:r>
      <w:r>
        <w:rPr>
          <w:b/>
          <w:sz w:val="24"/>
          <w:szCs w:val="24"/>
        </w:rPr>
      </w:r>
    </w:p>
    <w:p>
      <w:pPr>
        <w:pStyle w:val="972"/>
        <w:numPr>
          <w:ilvl w:val="0"/>
          <w:numId w:val="2"/>
        </w:numPr>
        <w:ind w:left="0" w:firstLine="680"/>
        <w:spacing w:before="0" w:after="0"/>
        <w:widowControl w:val="off"/>
        <w:rPr>
          <w:rFonts w:eastAsiaTheme="minorEastAsia"/>
          <w:lang w:eastAsia="ru-RU"/>
        </w:rPr>
        <w:outlineLvl w:val="9"/>
      </w:pPr>
      <w:r>
        <w:rPr>
          <w:rFonts w:eastAsiaTheme="minorEastAsia"/>
          <w:lang w:eastAsia="ru-RU"/>
        </w:rPr>
        <w:t xml:space="preserve">Любое из перечисленных в пунктах 105-107 обстоятельств, наступившее после Даты заключения Соглашения, может быть признано Особым обстоятельством, если оно соответствует признакам, установленным в пункте 100.</w:t>
      </w:r>
      <w:r>
        <w:rPr>
          <w:rFonts w:eastAsiaTheme="minorEastAsia"/>
          <w:lang w:eastAsia="ru-RU"/>
        </w:rPr>
      </w:r>
      <w:r>
        <w:rPr>
          <w:rFonts w:eastAsiaTheme="minorEastAsia"/>
          <w:lang w:eastAsia="ru-RU"/>
        </w:rPr>
      </w:r>
    </w:p>
    <w:p>
      <w:pPr>
        <w:pStyle w:val="972"/>
        <w:numPr>
          <w:ilvl w:val="0"/>
          <w:numId w:val="2"/>
        </w:numPr>
        <w:ind w:left="0" w:firstLine="680"/>
        <w:spacing w:before="0" w:after="0"/>
        <w:widowControl w:val="off"/>
        <w:rPr>
          <w:rFonts w:eastAsiaTheme="minorEastAsia"/>
          <w:lang w:eastAsia="ru-RU"/>
        </w:rPr>
        <w:outlineLvl w:val="9"/>
      </w:pPr>
      <w:r>
        <w:t xml:space="preserve">Особые обстоятельства, относящиеся к Концеденту:</w:t>
      </w:r>
      <w:r>
        <w:rPr>
          <w:rFonts w:eastAsiaTheme="minorEastAsia"/>
          <w:lang w:eastAsia="ru-RU"/>
        </w:rPr>
      </w:r>
      <w:r>
        <w:rPr>
          <w:rFonts w:eastAsiaTheme="minorEastAsia"/>
          <w:lang w:eastAsia="ru-RU"/>
        </w:rPr>
      </w:r>
    </w:p>
    <w:p>
      <w:pPr>
        <w:pStyle w:val="943"/>
        <w:numPr>
          <w:ilvl w:val="0"/>
          <w:numId w:val="7"/>
        </w:numPr>
        <w:contextualSpacing w:val="0"/>
        <w:ind w:left="0" w:firstLine="680"/>
        <w:jc w:val="both"/>
        <w:widowControl w:val="off"/>
        <w:rPr>
          <w:sz w:val="24"/>
          <w:szCs w:val="24"/>
          <w:lang w:val="ru-RU"/>
        </w:rPr>
      </w:pPr>
      <w:r>
        <w:rPr>
          <w:sz w:val="24"/>
          <w:szCs w:val="24"/>
          <w:lang w:val="ru-RU"/>
        </w:rPr>
        <w:t xml:space="preserve">нар</w:t>
      </w:r>
      <w:r>
        <w:rPr>
          <w:sz w:val="24"/>
          <w:szCs w:val="24"/>
          <w:lang w:val="ru-RU"/>
        </w:rPr>
        <w:t xml:space="preserve">ушение Концедентом срока заключения договора аренды земельного участка, либо невозможность продления срока действия договора аренды земельного участка в случае, если Договор аренды земельного участка заключен на срок, меньший, чем срок действия Соглашения;</w:t>
      </w:r>
      <w:r>
        <w:rPr>
          <w:sz w:val="24"/>
          <w:szCs w:val="24"/>
          <w:lang w:val="ru-RU"/>
        </w:rPr>
      </w:r>
      <w:r>
        <w:rPr>
          <w:sz w:val="24"/>
          <w:szCs w:val="24"/>
          <w:lang w:val="ru-RU"/>
        </w:rPr>
      </w:r>
    </w:p>
    <w:p>
      <w:pPr>
        <w:pStyle w:val="943"/>
        <w:numPr>
          <w:ilvl w:val="0"/>
          <w:numId w:val="7"/>
        </w:numPr>
        <w:contextualSpacing w:val="0"/>
        <w:ind w:left="0" w:firstLine="680"/>
        <w:jc w:val="both"/>
        <w:widowControl w:val="off"/>
        <w:rPr>
          <w:sz w:val="24"/>
          <w:szCs w:val="24"/>
          <w:lang w:val="ru-RU"/>
        </w:rPr>
      </w:pPr>
      <w:r>
        <w:rPr>
          <w:sz w:val="24"/>
          <w:szCs w:val="24"/>
          <w:lang w:val="ru-RU"/>
        </w:rPr>
        <w:t xml:space="preserve">нарушение Концедентом сроков передачи Концессионеру Объекта Соглашения, а также документов, указанных в Приложении № 12 более чем на 30 (тридцать) календарных дней;</w:t>
      </w:r>
      <w:r>
        <w:rPr>
          <w:sz w:val="24"/>
          <w:szCs w:val="24"/>
          <w:lang w:val="ru-RU"/>
        </w:rPr>
      </w:r>
      <w:r>
        <w:rPr>
          <w:sz w:val="24"/>
          <w:szCs w:val="24"/>
          <w:lang w:val="ru-RU"/>
        </w:rPr>
      </w:r>
    </w:p>
    <w:p>
      <w:pPr>
        <w:pStyle w:val="943"/>
        <w:numPr>
          <w:ilvl w:val="0"/>
          <w:numId w:val="7"/>
        </w:numPr>
        <w:contextualSpacing w:val="0"/>
        <w:ind w:left="0" w:firstLine="680"/>
        <w:jc w:val="both"/>
        <w:widowControl w:val="off"/>
        <w:rPr>
          <w:sz w:val="24"/>
          <w:szCs w:val="24"/>
          <w:lang w:val="ru-RU"/>
        </w:rPr>
      </w:pPr>
      <w:r>
        <w:rPr>
          <w:sz w:val="24"/>
          <w:szCs w:val="24"/>
          <w:lang w:val="ru-RU"/>
        </w:rPr>
        <w:t xml:space="preserve">утрата Концедентом права собственности на любое имущество, входящее в состав Объекта Соглашения; </w:t>
      </w:r>
      <w:r>
        <w:rPr>
          <w:sz w:val="24"/>
          <w:szCs w:val="24"/>
          <w:lang w:val="ru-RU"/>
        </w:rPr>
      </w:r>
      <w:r>
        <w:rPr>
          <w:sz w:val="24"/>
          <w:szCs w:val="24"/>
          <w:lang w:val="ru-RU"/>
        </w:rPr>
      </w:r>
    </w:p>
    <w:p>
      <w:pPr>
        <w:pStyle w:val="943"/>
        <w:numPr>
          <w:ilvl w:val="0"/>
          <w:numId w:val="7"/>
        </w:numPr>
        <w:contextualSpacing w:val="0"/>
        <w:ind w:left="0" w:firstLine="680"/>
        <w:jc w:val="both"/>
        <w:widowControl w:val="off"/>
        <w:rPr>
          <w:sz w:val="24"/>
          <w:szCs w:val="24"/>
          <w:lang w:val="ru-RU"/>
        </w:rPr>
      </w:pPr>
      <w:r>
        <w:rPr>
          <w:sz w:val="24"/>
          <w:szCs w:val="24"/>
          <w:lang w:val="ru-RU"/>
        </w:rPr>
        <w:t xml:space="preserve">не закрепление в муниципальном правовом акте о бюджете расходных ст</w:t>
      </w:r>
      <w:r>
        <w:rPr>
          <w:sz w:val="24"/>
          <w:szCs w:val="24"/>
          <w:lang w:val="ru-RU"/>
        </w:rPr>
        <w:t xml:space="preserve">атей, связанных с исполнением денежных обязательств Концедента, предусмотренных Соглашением или законодательством в связи с заключением и (или) исполнением Соглашения, в срок до 31 декабря года, в который такое денежное обязательство должно быть исполнено;</w:t>
      </w:r>
      <w:r>
        <w:rPr>
          <w:sz w:val="24"/>
          <w:szCs w:val="24"/>
          <w:lang w:val="ru-RU"/>
        </w:rPr>
      </w:r>
      <w:r>
        <w:rPr>
          <w:sz w:val="24"/>
          <w:szCs w:val="24"/>
          <w:lang w:val="ru-RU"/>
        </w:rPr>
      </w:r>
    </w:p>
    <w:p>
      <w:pPr>
        <w:pStyle w:val="943"/>
        <w:numPr>
          <w:ilvl w:val="0"/>
          <w:numId w:val="7"/>
        </w:numPr>
        <w:contextualSpacing w:val="0"/>
        <w:ind w:left="0" w:firstLine="680"/>
        <w:jc w:val="both"/>
        <w:widowControl w:val="off"/>
        <w:rPr>
          <w:sz w:val="24"/>
          <w:szCs w:val="24"/>
          <w:lang w:val="ru-RU"/>
        </w:rPr>
      </w:pPr>
      <w:r>
        <w:rPr>
          <w:sz w:val="24"/>
          <w:szCs w:val="24"/>
          <w:lang w:val="ru-RU"/>
        </w:rPr>
        <w:t xml:space="preserve">неоднократный отказ в </w:t>
      </w:r>
      <w:r>
        <w:rPr>
          <w:sz w:val="24"/>
          <w:szCs w:val="24"/>
          <w:lang w:val="ru-RU"/>
        </w:rPr>
        <w:t xml:space="preserve">согласовании инвестиционной программы Концессионера по основаниям, не предусмотренным законодательством, или нарушение предусмотренного законодательством срока согласования инвестиционной программы Концессионера более чем на 30 (тридцать) календарных дней;</w:t>
      </w:r>
      <w:r>
        <w:rPr>
          <w:sz w:val="24"/>
          <w:szCs w:val="24"/>
          <w:lang w:val="ru-RU"/>
        </w:rPr>
      </w:r>
      <w:r>
        <w:rPr>
          <w:sz w:val="24"/>
          <w:szCs w:val="24"/>
          <w:lang w:val="ru-RU"/>
        </w:rPr>
      </w:r>
    </w:p>
    <w:p>
      <w:pPr>
        <w:pStyle w:val="943"/>
        <w:numPr>
          <w:ilvl w:val="0"/>
          <w:numId w:val="7"/>
        </w:numPr>
        <w:contextualSpacing w:val="0"/>
        <w:ind w:left="0" w:firstLine="680"/>
        <w:jc w:val="both"/>
        <w:widowControl w:val="off"/>
        <w:rPr>
          <w:sz w:val="24"/>
          <w:szCs w:val="24"/>
          <w:lang w:val="ru-RU"/>
        </w:rPr>
      </w:pPr>
      <w:r>
        <w:rPr>
          <w:sz w:val="24"/>
          <w:szCs w:val="24"/>
          <w:lang w:val="ru-RU"/>
        </w:rPr>
        <w:t xml:space="preserve">неисполнение Концедентом обязанности по передаче Концессионеру бесхозяйного имущества, выявленного в течение срока действия Соглашения, если по </w:t>
      </w:r>
      <w:r>
        <w:rPr>
          <w:sz w:val="24"/>
          <w:szCs w:val="24"/>
          <w:lang w:val="ru-RU"/>
        </w:rPr>
        <w:t xml:space="preserve">Соглашению Концессионера и Концедента Концессионер осуществил необходимые действия для государственной регистрации права собственности Концедента на такое имущество в целях его дальнейшей передачи во владение и пользование Концессионера;</w:t>
      </w:r>
      <w:r>
        <w:rPr>
          <w:sz w:val="24"/>
          <w:szCs w:val="24"/>
          <w:lang w:val="ru-RU"/>
        </w:rPr>
      </w:r>
      <w:r>
        <w:rPr>
          <w:sz w:val="24"/>
          <w:szCs w:val="24"/>
          <w:lang w:val="ru-RU"/>
        </w:rPr>
      </w:r>
    </w:p>
    <w:p>
      <w:pPr>
        <w:pStyle w:val="943"/>
        <w:numPr>
          <w:ilvl w:val="0"/>
          <w:numId w:val="7"/>
        </w:numPr>
        <w:contextualSpacing w:val="0"/>
        <w:ind w:left="0" w:firstLine="680"/>
        <w:jc w:val="both"/>
        <w:widowControl w:val="off"/>
        <w:rPr>
          <w:sz w:val="24"/>
          <w:szCs w:val="24"/>
          <w:lang w:val="ru-RU"/>
        </w:rPr>
      </w:pPr>
      <w:r>
        <w:rPr>
          <w:sz w:val="24"/>
          <w:szCs w:val="24"/>
          <w:lang w:val="ru-RU"/>
        </w:rPr>
        <w:t xml:space="preserve">права на земельные участки, а также права в отношении запасов полезных ископаемых, расположенных непосредственно под земельными участками (если применимо), предоставлены какому-либо иному лицу помимо Концессионера; </w:t>
      </w:r>
      <w:r>
        <w:rPr>
          <w:sz w:val="24"/>
          <w:szCs w:val="24"/>
          <w:lang w:val="ru-RU"/>
        </w:rPr>
      </w:r>
      <w:r>
        <w:rPr>
          <w:sz w:val="24"/>
          <w:szCs w:val="24"/>
          <w:lang w:val="ru-RU"/>
        </w:rPr>
      </w:r>
    </w:p>
    <w:p>
      <w:pPr>
        <w:pStyle w:val="943"/>
        <w:numPr>
          <w:ilvl w:val="0"/>
          <w:numId w:val="7"/>
        </w:numPr>
        <w:contextualSpacing w:val="0"/>
        <w:ind w:left="0" w:firstLine="680"/>
        <w:jc w:val="both"/>
        <w:widowControl w:val="off"/>
        <w:rPr>
          <w:sz w:val="24"/>
          <w:szCs w:val="24"/>
          <w:lang w:val="ru-RU"/>
        </w:rPr>
      </w:pPr>
      <w:r>
        <w:rPr>
          <w:sz w:val="24"/>
          <w:szCs w:val="24"/>
          <w:lang w:val="ru-RU"/>
        </w:rPr>
        <w:t xml:space="preserve">Концедент препятствует Концессионеру в использовании земельных участков, за исключ</w:t>
      </w:r>
      <w:r>
        <w:rPr>
          <w:sz w:val="24"/>
          <w:szCs w:val="24"/>
          <w:lang w:val="ru-RU"/>
        </w:rPr>
        <w:t xml:space="preserve">ением случаев, когда такие действия Концедента являются обязательными в соответствии с законодательством, о чем Концедент уведомил Концессионера заблаговременно до начала осуществления действий, препятствующих Концессионеру использовать земельные участки; </w:t>
      </w:r>
      <w:r>
        <w:rPr>
          <w:sz w:val="24"/>
          <w:szCs w:val="24"/>
          <w:lang w:val="ru-RU"/>
        </w:rPr>
      </w:r>
      <w:r>
        <w:rPr>
          <w:sz w:val="24"/>
          <w:szCs w:val="24"/>
          <w:lang w:val="ru-RU"/>
        </w:rPr>
      </w:r>
    </w:p>
    <w:p>
      <w:pPr>
        <w:pStyle w:val="972"/>
        <w:numPr>
          <w:ilvl w:val="0"/>
          <w:numId w:val="2"/>
        </w:numPr>
        <w:ind w:left="0" w:firstLine="680"/>
        <w:spacing w:before="0" w:after="0"/>
        <w:widowControl w:val="off"/>
        <w:rPr>
          <w:rFonts w:eastAsiaTheme="minorEastAsia"/>
          <w:lang w:eastAsia="ru-RU"/>
        </w:rPr>
        <w:outlineLvl w:val="9"/>
      </w:pPr>
      <w:r>
        <w:rPr>
          <w:rFonts w:eastAsiaTheme="minorEastAsia"/>
          <w:lang w:eastAsia="ru-RU"/>
        </w:rPr>
        <w:t xml:space="preserve">Особые обстоятельства, относящиеся к Субъекту:</w:t>
      </w:r>
      <w:r>
        <w:rPr>
          <w:rFonts w:eastAsiaTheme="minorEastAsia"/>
          <w:lang w:eastAsia="ru-RU"/>
        </w:rPr>
      </w:r>
      <w:r>
        <w:rPr>
          <w:rFonts w:eastAsiaTheme="minorEastAsia"/>
          <w:lang w:eastAsia="ru-RU"/>
        </w:rPr>
      </w:r>
    </w:p>
    <w:p>
      <w:pPr>
        <w:pStyle w:val="943"/>
        <w:numPr>
          <w:ilvl w:val="0"/>
          <w:numId w:val="8"/>
        </w:numPr>
        <w:contextualSpacing w:val="0"/>
        <w:ind w:left="0" w:firstLine="680"/>
        <w:jc w:val="both"/>
        <w:widowControl w:val="off"/>
        <w:rPr>
          <w:sz w:val="24"/>
          <w:szCs w:val="24"/>
          <w:lang w:val="ru-RU"/>
        </w:rPr>
      </w:pPr>
      <w:r>
        <w:rPr>
          <w:sz w:val="24"/>
          <w:szCs w:val="24"/>
          <w:lang w:val="ru-RU"/>
        </w:rPr>
        <w:t xml:space="preserve">неоднократный отказ </w:t>
      </w:r>
      <w:r>
        <w:rPr>
          <w:sz w:val="24"/>
          <w:szCs w:val="24"/>
          <w:lang w:val="ru-RU"/>
        </w:rPr>
        <w:t xml:space="preserve">в утверждении инвестиционной программы Концессионера по основаниям, не предусмотренным законодательством, или нарушение предусмотренного законодательством срока утверждения инвестиционной программы Концессионера более чем на 30 (тридцать) календарных дней;</w:t>
      </w:r>
      <w:r>
        <w:rPr>
          <w:sz w:val="24"/>
          <w:szCs w:val="24"/>
          <w:lang w:val="ru-RU"/>
        </w:rPr>
      </w:r>
      <w:r>
        <w:rPr>
          <w:sz w:val="24"/>
          <w:szCs w:val="24"/>
          <w:lang w:val="ru-RU"/>
        </w:rPr>
      </w:r>
    </w:p>
    <w:p>
      <w:pPr>
        <w:pStyle w:val="943"/>
        <w:numPr>
          <w:ilvl w:val="0"/>
          <w:numId w:val="8"/>
        </w:numPr>
        <w:contextualSpacing w:val="0"/>
        <w:ind w:left="0" w:firstLine="680"/>
        <w:jc w:val="both"/>
        <w:widowControl w:val="off"/>
        <w:rPr>
          <w:sz w:val="24"/>
          <w:szCs w:val="24"/>
          <w:lang w:val="ru-RU"/>
        </w:rPr>
      </w:pPr>
      <w:r>
        <w:rPr>
          <w:sz w:val="24"/>
          <w:szCs w:val="24"/>
          <w:lang w:val="ru-RU"/>
        </w:rPr>
        <w:t xml:space="preserve">нарушение порядка предо</w:t>
      </w:r>
      <w:r>
        <w:rPr>
          <w:sz w:val="24"/>
          <w:szCs w:val="24"/>
          <w:lang w:val="ru-RU"/>
        </w:rPr>
        <w:t xml:space="preserve">ставления субсидий Концессионеру в целях возмещения недополученных доходов и (или) не заключение между Концессионером и уполномоченным органом исполнительной власти Субъекта соглашения о возмещении недополученных доходов в соответствии с законодательством;</w:t>
      </w:r>
      <w:r>
        <w:rPr>
          <w:sz w:val="24"/>
          <w:szCs w:val="24"/>
          <w:lang w:val="ru-RU"/>
        </w:rPr>
      </w:r>
      <w:r>
        <w:rPr>
          <w:sz w:val="24"/>
          <w:szCs w:val="24"/>
          <w:lang w:val="ru-RU"/>
        </w:rPr>
      </w:r>
    </w:p>
    <w:p>
      <w:pPr>
        <w:pStyle w:val="943"/>
        <w:numPr>
          <w:ilvl w:val="0"/>
          <w:numId w:val="8"/>
        </w:numPr>
        <w:contextualSpacing w:val="0"/>
        <w:ind w:left="0" w:firstLine="680"/>
        <w:jc w:val="both"/>
        <w:widowControl w:val="off"/>
        <w:rPr>
          <w:sz w:val="24"/>
          <w:szCs w:val="24"/>
          <w:lang w:val="ru-RU"/>
        </w:rPr>
      </w:pPr>
      <w:r>
        <w:rPr>
          <w:sz w:val="24"/>
          <w:szCs w:val="24"/>
          <w:lang w:val="ru-RU"/>
        </w:rPr>
        <w:t xml:space="preserve">не закрепление в законе о бюджете Мурманской области расхо</w:t>
      </w:r>
      <w:r>
        <w:rPr>
          <w:sz w:val="24"/>
          <w:szCs w:val="24"/>
          <w:lang w:val="ru-RU"/>
        </w:rPr>
        <w:t xml:space="preserve">дных статей, связанных с исполнением денежных обязательств Субъекта, предусмотренных Соглашением или законодательством в связи с заключением и исполнением Соглашения, в срок до 31 декабря года, в который такое денежное обязательство должно быть исполнено; </w:t>
      </w:r>
      <w:r>
        <w:rPr>
          <w:sz w:val="24"/>
          <w:szCs w:val="24"/>
          <w:lang w:val="ru-RU"/>
        </w:rPr>
      </w:r>
      <w:r>
        <w:rPr>
          <w:sz w:val="24"/>
          <w:szCs w:val="24"/>
          <w:lang w:val="ru-RU"/>
        </w:rPr>
      </w:r>
    </w:p>
    <w:p>
      <w:pPr>
        <w:pStyle w:val="943"/>
        <w:numPr>
          <w:ilvl w:val="0"/>
          <w:numId w:val="8"/>
        </w:numPr>
        <w:contextualSpacing w:val="0"/>
        <w:ind w:left="0" w:firstLine="680"/>
        <w:jc w:val="both"/>
        <w:widowControl w:val="off"/>
        <w:rPr>
          <w:sz w:val="24"/>
          <w:szCs w:val="24"/>
          <w:lang w:val="ru-RU"/>
        </w:rPr>
      </w:pPr>
      <w:r>
        <w:rPr>
          <w:sz w:val="24"/>
          <w:szCs w:val="24"/>
          <w:lang w:val="ru-RU"/>
        </w:rPr>
        <w:t xml:space="preserve">принятие государственным органом решения о признании Соглашения недействительными и (или) решения о противоречии законодательству положений Соглашения в части каких-либо прав и (или) обязанностей Субъекта;</w:t>
      </w:r>
      <w:r>
        <w:rPr>
          <w:sz w:val="24"/>
          <w:szCs w:val="24"/>
          <w:lang w:val="ru-RU"/>
        </w:rPr>
      </w:r>
      <w:r>
        <w:rPr>
          <w:sz w:val="24"/>
          <w:szCs w:val="24"/>
          <w:lang w:val="ru-RU"/>
        </w:rPr>
      </w:r>
    </w:p>
    <w:p>
      <w:pPr>
        <w:pStyle w:val="943"/>
        <w:numPr>
          <w:ilvl w:val="0"/>
          <w:numId w:val="8"/>
        </w:numPr>
        <w:contextualSpacing w:val="0"/>
        <w:ind w:left="0" w:firstLine="680"/>
        <w:jc w:val="both"/>
        <w:widowControl w:val="off"/>
        <w:rPr>
          <w:sz w:val="24"/>
          <w:szCs w:val="24"/>
          <w:lang w:val="ru-RU"/>
        </w:rPr>
      </w:pPr>
      <w:r>
        <w:rPr>
          <w:sz w:val="24"/>
          <w:szCs w:val="24"/>
          <w:lang w:val="ru-RU"/>
        </w:rPr>
        <w:t xml:space="preserve">установление органом регулирования тарифов в соответствии с долгосрочными параметрами регулирования деятельности Концессионера, которые отличаются от долгосрочных параметров регулирования, приведенных в Приложении № 4;</w:t>
      </w:r>
      <w:r>
        <w:rPr>
          <w:sz w:val="24"/>
          <w:szCs w:val="24"/>
          <w:lang w:val="ru-RU"/>
        </w:rPr>
      </w:r>
      <w:r>
        <w:rPr>
          <w:sz w:val="24"/>
          <w:szCs w:val="24"/>
          <w:lang w:val="ru-RU"/>
        </w:rPr>
      </w:r>
    </w:p>
    <w:p>
      <w:pPr>
        <w:pStyle w:val="943"/>
        <w:numPr>
          <w:ilvl w:val="0"/>
          <w:numId w:val="8"/>
        </w:numPr>
        <w:contextualSpacing w:val="0"/>
        <w:ind w:left="0" w:firstLine="680"/>
        <w:jc w:val="both"/>
        <w:widowControl w:val="off"/>
        <w:rPr>
          <w:sz w:val="24"/>
          <w:szCs w:val="24"/>
          <w:lang w:val="ru-RU"/>
        </w:rPr>
      </w:pPr>
      <w:r>
        <w:rPr>
          <w:sz w:val="24"/>
          <w:szCs w:val="24"/>
          <w:lang w:val="ru-RU"/>
        </w:rPr>
        <w:t xml:space="preserve">корректировка органом регулирования необходимой валовой выручки в указанных ниже случаях, если возникновение оснований для соответствующей корректировки связано с наступлением особых обстоятельств, указанных в пункте 105-107:</w:t>
      </w:r>
      <w:r>
        <w:rPr>
          <w:sz w:val="24"/>
          <w:szCs w:val="24"/>
          <w:lang w:val="ru-RU"/>
        </w:rPr>
      </w:r>
      <w:r>
        <w:rPr>
          <w:sz w:val="24"/>
          <w:szCs w:val="24"/>
          <w:lang w:val="ru-RU"/>
        </w:rPr>
      </w:r>
    </w:p>
    <w:p>
      <w:pPr>
        <w:ind w:firstLine="680"/>
        <w:jc w:val="both"/>
        <w:rPr>
          <w:sz w:val="24"/>
          <w:szCs w:val="24"/>
        </w:rPr>
      </w:pPr>
      <w:r>
        <w:rPr>
          <w:sz w:val="24"/>
          <w:szCs w:val="24"/>
        </w:rPr>
        <w:t xml:space="preserve">1) в связи с неисполнением или ненадлежащим исполнением Концессионером обязательств по реконструкции Объекта Соглашения; и/или </w:t>
      </w:r>
      <w:r>
        <w:rPr>
          <w:sz w:val="24"/>
          <w:szCs w:val="24"/>
        </w:rPr>
      </w:r>
      <w:r>
        <w:rPr>
          <w:sz w:val="24"/>
          <w:szCs w:val="24"/>
        </w:rPr>
      </w:r>
    </w:p>
    <w:p>
      <w:pPr>
        <w:ind w:firstLine="680"/>
        <w:jc w:val="both"/>
        <w:rPr>
          <w:sz w:val="24"/>
          <w:szCs w:val="24"/>
        </w:rPr>
      </w:pPr>
      <w:r>
        <w:rPr>
          <w:sz w:val="24"/>
          <w:szCs w:val="24"/>
        </w:rPr>
        <w:t xml:space="preserve">2) с учетом надежности и качества реализуемых товаров (оказываемых услуг); и/или </w:t>
      </w:r>
      <w:r>
        <w:rPr>
          <w:sz w:val="24"/>
          <w:szCs w:val="24"/>
        </w:rPr>
      </w:r>
      <w:r>
        <w:rPr>
          <w:sz w:val="24"/>
          <w:szCs w:val="24"/>
        </w:rPr>
      </w:r>
    </w:p>
    <w:p>
      <w:pPr>
        <w:ind w:firstLine="680"/>
        <w:jc w:val="both"/>
        <w:rPr>
          <w:sz w:val="24"/>
          <w:szCs w:val="24"/>
        </w:rPr>
      </w:pPr>
      <w:r>
        <w:rPr>
          <w:sz w:val="24"/>
          <w:szCs w:val="24"/>
        </w:rPr>
        <w:t xml:space="preserve">3) в целях учета отклонения фактических показателей энергосбережения и</w:t>
      </w:r>
      <w:r>
        <w:rPr>
          <w:sz w:val="24"/>
          <w:szCs w:val="24"/>
        </w:rPr>
        <w:t xml:space="preserve"> повышения энергетической эффективности от установленных плановых (расчетных) показателей и отклонение сроков реализации программы в области энергосбережения и повышения энергетической эффективности от установленных сроков реализации такой программы; и/или</w:t>
      </w:r>
      <w:r>
        <w:rPr>
          <w:sz w:val="24"/>
          <w:szCs w:val="24"/>
        </w:rPr>
      </w:r>
      <w:r>
        <w:rPr>
          <w:sz w:val="24"/>
          <w:szCs w:val="24"/>
        </w:rPr>
      </w:r>
    </w:p>
    <w:p>
      <w:pPr>
        <w:ind w:firstLine="680"/>
        <w:jc w:val="both"/>
        <w:rPr>
          <w:sz w:val="24"/>
          <w:szCs w:val="24"/>
        </w:rPr>
      </w:pPr>
      <w:r>
        <w:rPr>
          <w:sz w:val="24"/>
          <w:szCs w:val="24"/>
        </w:rPr>
        <w:t xml:space="preserve">4) в отношении произведенных Концессионером в течение расчетного периода за счет поступлений от регулируемой деятельности необоснованных расходов; и/или</w:t>
      </w:r>
      <w:r>
        <w:rPr>
          <w:sz w:val="24"/>
          <w:szCs w:val="24"/>
        </w:rPr>
      </w:r>
      <w:r>
        <w:rPr>
          <w:sz w:val="24"/>
          <w:szCs w:val="24"/>
        </w:rPr>
      </w:r>
    </w:p>
    <w:p>
      <w:pPr>
        <w:ind w:firstLine="680"/>
        <w:jc w:val="both"/>
        <w:rPr>
          <w:sz w:val="24"/>
          <w:szCs w:val="24"/>
        </w:rPr>
      </w:pPr>
      <w:r>
        <w:rPr>
          <w:sz w:val="24"/>
          <w:szCs w:val="24"/>
        </w:rPr>
        <w:t xml:space="preserve">5) иных случаях, предусмотренных законодательством;</w:t>
      </w:r>
      <w:r>
        <w:rPr>
          <w:sz w:val="24"/>
          <w:szCs w:val="24"/>
        </w:rPr>
      </w:r>
      <w:r>
        <w:rPr>
          <w:sz w:val="24"/>
          <w:szCs w:val="24"/>
        </w:rPr>
      </w:r>
    </w:p>
    <w:p>
      <w:pPr>
        <w:pStyle w:val="943"/>
        <w:ind w:left="0" w:firstLine="680"/>
        <w:jc w:val="both"/>
        <w:rPr>
          <w:sz w:val="24"/>
          <w:szCs w:val="24"/>
          <w:lang w:val="ru-RU"/>
        </w:rPr>
      </w:pPr>
      <w:r>
        <w:rPr>
          <w:sz w:val="24"/>
          <w:szCs w:val="24"/>
          <w:lang w:val="ru-RU"/>
        </w:rPr>
        <w:t xml:space="preserve">ж) неоднократное неисполнение или несвоевременное исполнение Субъектом обязанности по возмещению недополученных доходов в порядке, предусмотренном Соглашением или законодательством;</w:t>
      </w:r>
      <w:r>
        <w:rPr>
          <w:sz w:val="24"/>
          <w:szCs w:val="24"/>
          <w:lang w:val="ru-RU"/>
        </w:rPr>
      </w:r>
      <w:r>
        <w:rPr>
          <w:sz w:val="24"/>
          <w:szCs w:val="24"/>
          <w:lang w:val="ru-RU"/>
        </w:rPr>
      </w:r>
    </w:p>
    <w:p>
      <w:pPr>
        <w:pStyle w:val="943"/>
        <w:ind w:left="0" w:firstLine="680"/>
        <w:jc w:val="both"/>
        <w:rPr>
          <w:sz w:val="24"/>
          <w:szCs w:val="24"/>
          <w:lang w:val="ru-RU"/>
        </w:rPr>
      </w:pPr>
      <w:r>
        <w:rPr>
          <w:sz w:val="24"/>
          <w:szCs w:val="24"/>
          <w:lang w:val="ru-RU"/>
        </w:rPr>
        <w:t xml:space="preserve">з) неоднократное неисполнение или несвоевременное исполнение органом регулирования обязанности по учету выпадающих доходов при установлении тарифов в порядке, предусмотренном Соглашением и законодательством;</w:t>
      </w:r>
      <w:r>
        <w:rPr>
          <w:sz w:val="24"/>
          <w:szCs w:val="24"/>
          <w:lang w:val="ru-RU"/>
        </w:rPr>
      </w:r>
      <w:r>
        <w:rPr>
          <w:sz w:val="24"/>
          <w:szCs w:val="24"/>
          <w:lang w:val="ru-RU"/>
        </w:rPr>
      </w:r>
    </w:p>
    <w:p>
      <w:pPr>
        <w:pStyle w:val="972"/>
        <w:numPr>
          <w:ilvl w:val="0"/>
          <w:numId w:val="2"/>
        </w:numPr>
        <w:ind w:left="0" w:firstLine="680"/>
        <w:spacing w:before="0" w:after="0"/>
        <w:widowControl w:val="off"/>
        <w:rPr>
          <w:rFonts w:eastAsiaTheme="minorEastAsia"/>
          <w:lang w:eastAsia="ru-RU"/>
        </w:rPr>
        <w:outlineLvl w:val="9"/>
      </w:pPr>
      <w:r>
        <w:rPr>
          <w:rFonts w:eastAsiaTheme="minorEastAsia"/>
          <w:lang w:eastAsia="ru-RU"/>
        </w:rPr>
        <w:t xml:space="preserve">Особые обстоятельства, не относящиеся ни к одной из Сторон:</w:t>
      </w:r>
      <w:r>
        <w:rPr>
          <w:rFonts w:eastAsiaTheme="minorEastAsia"/>
          <w:lang w:eastAsia="ru-RU"/>
        </w:rPr>
      </w:r>
      <w:r>
        <w:rPr>
          <w:rFonts w:eastAsiaTheme="minorEastAsia"/>
          <w:lang w:eastAsia="ru-RU"/>
        </w:rPr>
      </w:r>
    </w:p>
    <w:p>
      <w:pPr>
        <w:pStyle w:val="943"/>
        <w:numPr>
          <w:ilvl w:val="0"/>
          <w:numId w:val="9"/>
        </w:numPr>
        <w:contextualSpacing w:val="0"/>
        <w:ind w:left="0" w:firstLine="680"/>
        <w:jc w:val="both"/>
        <w:widowControl w:val="off"/>
        <w:rPr>
          <w:sz w:val="24"/>
          <w:szCs w:val="24"/>
          <w:lang w:val="ru-RU"/>
        </w:rPr>
      </w:pPr>
      <w:r>
        <w:rPr>
          <w:sz w:val="24"/>
          <w:szCs w:val="24"/>
          <w:lang w:val="ru-RU"/>
        </w:rPr>
        <w:t xml:space="preserve">обнаружение на земельном участке археологических объ</w:t>
      </w:r>
      <w:r>
        <w:rPr>
          <w:sz w:val="24"/>
          <w:szCs w:val="24"/>
          <w:lang w:val="ru-RU"/>
        </w:rPr>
        <w:t xml:space="preserve">ектов или опасных веществ, любых других объектов, препятствующих реконструкции Объекта Соглашения и (или) осуществлению эксплуатации, а также выявление иных обстоятельств (включая геологические факторы), которые не были известны Концессионеру при заключени</w:t>
      </w:r>
      <w:r>
        <w:rPr>
          <w:sz w:val="24"/>
          <w:szCs w:val="24"/>
          <w:lang w:val="ru-RU"/>
        </w:rPr>
        <w:t xml:space="preserve">и Соглашения, в случаях, когда в результате такого обнаружения Концессионер не может надлежащим образом исполнить свои обязательства по реконструкции Объекта Соглашения в соответствии с заданием и основными мероприятиями и (или) осуществлению эксплуатации;</w:t>
      </w:r>
      <w:r>
        <w:rPr>
          <w:sz w:val="24"/>
          <w:szCs w:val="24"/>
          <w:lang w:val="ru-RU"/>
        </w:rPr>
      </w:r>
      <w:r>
        <w:rPr>
          <w:sz w:val="24"/>
          <w:szCs w:val="24"/>
          <w:lang w:val="ru-RU"/>
        </w:rPr>
      </w:r>
    </w:p>
    <w:p>
      <w:pPr>
        <w:pStyle w:val="943"/>
        <w:numPr>
          <w:ilvl w:val="0"/>
          <w:numId w:val="9"/>
        </w:numPr>
        <w:contextualSpacing w:val="0"/>
        <w:ind w:left="0" w:firstLine="680"/>
        <w:jc w:val="both"/>
        <w:widowControl w:val="off"/>
        <w:rPr>
          <w:sz w:val="24"/>
          <w:szCs w:val="24"/>
          <w:lang w:val="ru-RU"/>
        </w:rPr>
      </w:pPr>
      <w:r>
        <w:rPr>
          <w:sz w:val="24"/>
          <w:szCs w:val="24"/>
          <w:lang w:val="ru-RU"/>
        </w:rPr>
        <w:t xml:space="preserve">досрочное прекращение договора аренды земельного участка по причинам, не связанным с существенным нарушением Концессионером условий таких договоров; </w:t>
      </w:r>
      <w:r>
        <w:rPr>
          <w:sz w:val="24"/>
          <w:szCs w:val="24"/>
          <w:lang w:val="ru-RU"/>
        </w:rPr>
      </w:r>
      <w:r>
        <w:rPr>
          <w:sz w:val="24"/>
          <w:szCs w:val="24"/>
          <w:lang w:val="ru-RU"/>
        </w:rPr>
      </w:r>
    </w:p>
    <w:p>
      <w:pPr>
        <w:pStyle w:val="943"/>
        <w:numPr>
          <w:ilvl w:val="0"/>
          <w:numId w:val="9"/>
        </w:numPr>
        <w:contextualSpacing w:val="0"/>
        <w:ind w:left="0" w:firstLine="680"/>
        <w:jc w:val="both"/>
        <w:widowControl w:val="off"/>
        <w:rPr>
          <w:sz w:val="24"/>
          <w:szCs w:val="24"/>
          <w:lang w:val="ru-RU"/>
        </w:rPr>
      </w:pPr>
      <w:r>
        <w:rPr>
          <w:sz w:val="24"/>
          <w:szCs w:val="24"/>
          <w:lang w:val="ru-RU"/>
        </w:rPr>
        <w:t xml:space="preserve">необоснованный отказ или задержка в получении технических условий Концессионером на подключение Объекта Соглашения к сетям инженерно-технического обеспечения при условии, что Концессионер предпринял все зависящие от него меры для такого подключения;</w:t>
      </w:r>
      <w:r>
        <w:rPr>
          <w:sz w:val="24"/>
          <w:szCs w:val="24"/>
          <w:lang w:val="ru-RU"/>
        </w:rPr>
      </w:r>
      <w:r>
        <w:rPr>
          <w:sz w:val="24"/>
          <w:szCs w:val="24"/>
          <w:lang w:val="ru-RU"/>
        </w:rPr>
      </w:r>
    </w:p>
    <w:p>
      <w:pPr>
        <w:pStyle w:val="943"/>
        <w:numPr>
          <w:ilvl w:val="0"/>
          <w:numId w:val="9"/>
        </w:numPr>
        <w:contextualSpacing w:val="0"/>
        <w:ind w:left="0" w:firstLine="680"/>
        <w:jc w:val="both"/>
        <w:widowControl w:val="off"/>
        <w:rPr>
          <w:sz w:val="24"/>
          <w:szCs w:val="24"/>
          <w:lang w:val="ru-RU"/>
        </w:rPr>
      </w:pPr>
      <w:r>
        <w:rPr>
          <w:sz w:val="24"/>
          <w:szCs w:val="24"/>
          <w:lang w:val="ru-RU"/>
        </w:rPr>
        <w:t xml:space="preserve">отказ антимонопольного органа в предоставлении согласия на изменение Соглашения в связи с передачей во владение и пользование Концессионера бесхозяйного имущества;</w:t>
      </w:r>
      <w:r>
        <w:rPr>
          <w:sz w:val="24"/>
          <w:szCs w:val="24"/>
          <w:lang w:val="ru-RU"/>
        </w:rPr>
      </w:r>
      <w:r>
        <w:rPr>
          <w:sz w:val="24"/>
          <w:szCs w:val="24"/>
          <w:lang w:val="ru-RU"/>
        </w:rPr>
      </w:r>
    </w:p>
    <w:p>
      <w:pPr>
        <w:pStyle w:val="943"/>
        <w:numPr>
          <w:ilvl w:val="0"/>
          <w:numId w:val="9"/>
        </w:numPr>
        <w:contextualSpacing w:val="0"/>
        <w:ind w:left="0" w:firstLine="680"/>
        <w:jc w:val="both"/>
        <w:widowControl w:val="off"/>
        <w:rPr>
          <w:sz w:val="24"/>
          <w:szCs w:val="24"/>
          <w:lang w:val="ru-RU"/>
        </w:rPr>
      </w:pPr>
      <w:r>
        <w:rPr>
          <w:sz w:val="24"/>
          <w:szCs w:val="24"/>
          <w:lang w:val="ru-RU"/>
        </w:rPr>
        <w:t xml:space="preserve">изменение законодательства, включая нормативные правовые акты в сфере тарифоо</w:t>
      </w:r>
      <w:r>
        <w:rPr>
          <w:sz w:val="24"/>
          <w:szCs w:val="24"/>
          <w:lang w:val="ru-RU"/>
        </w:rPr>
        <w:t xml:space="preserve">бразования, ухудшающее положение Концессионера таким образом, что он в значительной степени лишается того, на что был вправе рассчитывать при заключении Соглашения, включая отмену предусмотренного Соглашением метода регулирования тарифов для Концессионера.</w:t>
      </w:r>
      <w:r>
        <w:rPr>
          <w:sz w:val="24"/>
          <w:szCs w:val="24"/>
          <w:lang w:val="ru-RU"/>
        </w:rPr>
      </w:r>
      <w:r>
        <w:rPr>
          <w:sz w:val="24"/>
          <w:szCs w:val="24"/>
          <w:lang w:val="ru-RU"/>
        </w:rPr>
      </w:r>
    </w:p>
    <w:p>
      <w:pPr>
        <w:pStyle w:val="943"/>
        <w:numPr>
          <w:ilvl w:val="0"/>
          <w:numId w:val="9"/>
        </w:numPr>
        <w:contextualSpacing w:val="0"/>
        <w:ind w:left="0" w:firstLine="680"/>
        <w:jc w:val="both"/>
        <w:widowControl w:val="off"/>
        <w:rPr>
          <w:sz w:val="24"/>
          <w:szCs w:val="24"/>
          <w:lang w:val="ru-RU"/>
        </w:rPr>
      </w:pPr>
      <w:r>
        <w:rPr>
          <w:sz w:val="24"/>
          <w:szCs w:val="24"/>
          <w:lang w:val="ru-RU"/>
        </w:rPr>
        <w:t xml:space="preserve">вступление в силу нормативных правовых актов, в связи с которыми Концессионер или Концедент оказываются неспособными выполнить принятые на себя обязательства;</w:t>
      </w:r>
      <w:r>
        <w:rPr>
          <w:sz w:val="24"/>
          <w:szCs w:val="24"/>
          <w:lang w:val="ru-RU"/>
        </w:rPr>
      </w:r>
      <w:r>
        <w:rPr>
          <w:sz w:val="24"/>
          <w:szCs w:val="24"/>
          <w:lang w:val="ru-RU"/>
        </w:rPr>
      </w:r>
    </w:p>
    <w:p>
      <w:pPr>
        <w:pStyle w:val="943"/>
        <w:numPr>
          <w:ilvl w:val="0"/>
          <w:numId w:val="9"/>
        </w:numPr>
        <w:contextualSpacing w:val="0"/>
        <w:ind w:left="0" w:firstLine="680"/>
        <w:jc w:val="both"/>
        <w:widowControl w:val="off"/>
        <w:rPr>
          <w:sz w:val="24"/>
          <w:szCs w:val="24"/>
          <w:lang w:val="ru-RU"/>
        </w:rPr>
      </w:pPr>
      <w:r>
        <w:rPr>
          <w:sz w:val="24"/>
          <w:szCs w:val="24"/>
          <w:lang w:val="ru-RU"/>
        </w:rPr>
        <w:t xml:space="preserve">вступление в законную силу суде</w:t>
      </w:r>
      <w:r>
        <w:rPr>
          <w:sz w:val="24"/>
          <w:szCs w:val="24"/>
          <w:lang w:val="ru-RU"/>
        </w:rPr>
        <w:t xml:space="preserve">бного акта или решения антимонопольного органа, которым установлена невозможность исполнения Концессионером установленных Концессионным соглашением обязательств вследствие решений, действий (бездействия) государственных органов и (или) их должностных лиц; </w:t>
      </w:r>
      <w:r>
        <w:rPr>
          <w:sz w:val="24"/>
          <w:szCs w:val="24"/>
          <w:lang w:val="ru-RU"/>
        </w:rPr>
      </w:r>
      <w:r>
        <w:rPr>
          <w:sz w:val="24"/>
          <w:szCs w:val="24"/>
          <w:lang w:val="ru-RU"/>
        </w:rPr>
      </w:r>
    </w:p>
    <w:p>
      <w:pPr>
        <w:pStyle w:val="943"/>
        <w:numPr>
          <w:ilvl w:val="0"/>
          <w:numId w:val="9"/>
        </w:numPr>
        <w:contextualSpacing w:val="0"/>
        <w:ind w:left="0" w:firstLine="680"/>
        <w:jc w:val="both"/>
        <w:widowControl w:val="off"/>
        <w:rPr>
          <w:sz w:val="24"/>
          <w:szCs w:val="24"/>
          <w:lang w:val="ru-RU"/>
        </w:rPr>
      </w:pPr>
      <w:r>
        <w:rPr>
          <w:sz w:val="24"/>
          <w:szCs w:val="24"/>
          <w:lang w:val="ru-RU"/>
        </w:rPr>
        <w:t xml:space="preserve">действия и (или) бездействие гос</w:t>
      </w:r>
      <w:r>
        <w:rPr>
          <w:sz w:val="24"/>
          <w:szCs w:val="24"/>
          <w:lang w:val="ru-RU"/>
        </w:rPr>
        <w:t xml:space="preserve">ударственных органов или органов местного самоуправления, в случаях, когда в результате таких действий и (или) бездействия Концессионер не может исполнить свои обязанности по Соглашению, при условии что Концессионер предпринял все необходимые действия для </w:t>
      </w:r>
      <w:r>
        <w:rPr>
          <w:sz w:val="24"/>
          <w:szCs w:val="24"/>
          <w:lang w:val="ru-RU"/>
        </w:rPr>
        <w:t xml:space="preserve">исполнения таких обязанностей, в том числе необоснованный отказ или задержки в получении Концессионером любого разрешения, включая разрешение на строительство, необоснованный отказ в государственной регистрации, приостановление государственной регистрации;</w:t>
      </w:r>
      <w:r>
        <w:rPr>
          <w:sz w:val="24"/>
          <w:szCs w:val="24"/>
          <w:lang w:val="ru-RU"/>
        </w:rPr>
      </w:r>
      <w:r>
        <w:rPr>
          <w:sz w:val="24"/>
          <w:szCs w:val="24"/>
          <w:lang w:val="ru-RU"/>
        </w:rPr>
      </w:r>
    </w:p>
    <w:p>
      <w:pPr>
        <w:pStyle w:val="943"/>
        <w:numPr>
          <w:ilvl w:val="0"/>
          <w:numId w:val="9"/>
        </w:numPr>
        <w:contextualSpacing w:val="0"/>
        <w:ind w:left="0" w:firstLine="680"/>
        <w:jc w:val="both"/>
        <w:widowControl w:val="off"/>
        <w:rPr>
          <w:sz w:val="24"/>
          <w:szCs w:val="24"/>
          <w:lang w:val="ru-RU"/>
        </w:rPr>
      </w:pPr>
      <w:r>
        <w:rPr>
          <w:sz w:val="24"/>
          <w:szCs w:val="24"/>
          <w:lang w:val="ru-RU"/>
        </w:rPr>
        <w:t xml:space="preserve">акции протеста, проведение которых затрагивает права и (или) влияет на возможность исполнения Концессионером обязательств по Соглашению; </w:t>
      </w:r>
      <w:r>
        <w:rPr>
          <w:sz w:val="24"/>
          <w:szCs w:val="24"/>
          <w:lang w:val="ru-RU"/>
        </w:rPr>
      </w:r>
      <w:r>
        <w:rPr>
          <w:sz w:val="24"/>
          <w:szCs w:val="24"/>
          <w:lang w:val="ru-RU"/>
        </w:rPr>
      </w:r>
    </w:p>
    <w:p>
      <w:pPr>
        <w:pStyle w:val="943"/>
        <w:numPr>
          <w:ilvl w:val="0"/>
          <w:numId w:val="9"/>
        </w:numPr>
        <w:contextualSpacing w:val="0"/>
        <w:ind w:left="0" w:firstLine="680"/>
        <w:jc w:val="both"/>
        <w:widowControl w:val="off"/>
        <w:rPr>
          <w:sz w:val="24"/>
          <w:szCs w:val="24"/>
          <w:lang w:val="ru-RU"/>
        </w:rPr>
      </w:pPr>
      <w:r>
        <w:rPr>
          <w:sz w:val="24"/>
          <w:szCs w:val="24"/>
          <w:lang w:val="ru-RU"/>
        </w:rPr>
        <w:t xml:space="preserve">решение органа, осуществляющего государственную экспертизу, препятствующее реконструкции Объекта Соглашения, соответствующего требованиям Соглашения. </w:t>
      </w:r>
      <w:r>
        <w:rPr>
          <w:sz w:val="24"/>
          <w:szCs w:val="24"/>
          <w:lang w:val="ru-RU"/>
        </w:rPr>
      </w:r>
      <w:r>
        <w:rPr>
          <w:sz w:val="24"/>
          <w:szCs w:val="24"/>
          <w:lang w:val="ru-RU"/>
        </w:rPr>
      </w:r>
    </w:p>
    <w:p>
      <w:pPr>
        <w:ind w:firstLine="680"/>
        <w:rPr>
          <w:b/>
          <w:sz w:val="24"/>
          <w:szCs w:val="24"/>
        </w:rPr>
      </w:pPr>
      <w:r>
        <w:rPr>
          <w:b/>
          <w:sz w:val="24"/>
          <w:szCs w:val="24"/>
        </w:rPr>
        <w:t xml:space="preserve">Действия Сторон в случае наступления Особого обстоятельства</w:t>
      </w:r>
      <w:r>
        <w:rPr>
          <w:b/>
          <w:sz w:val="24"/>
          <w:szCs w:val="24"/>
        </w:rPr>
      </w:r>
      <w:r>
        <w:rPr>
          <w:b/>
          <w:sz w:val="24"/>
          <w:szCs w:val="24"/>
        </w:rPr>
      </w:r>
    </w:p>
    <w:p>
      <w:pPr>
        <w:pStyle w:val="972"/>
        <w:numPr>
          <w:ilvl w:val="0"/>
          <w:numId w:val="2"/>
        </w:numPr>
        <w:ind w:left="0" w:firstLine="680"/>
        <w:spacing w:before="0" w:after="0"/>
        <w:widowControl w:val="off"/>
        <w:rPr>
          <w:rFonts w:eastAsiaTheme="minorEastAsia"/>
          <w:lang w:eastAsia="ru-RU"/>
        </w:rPr>
        <w:outlineLvl w:val="9"/>
      </w:pPr>
      <w:r>
        <w:rPr>
          <w:rFonts w:eastAsiaTheme="minorEastAsia"/>
          <w:lang w:eastAsia="ru-RU"/>
        </w:rPr>
        <w:t xml:space="preserve">Узнав о наступлении Особого обстоятельства, Концессионер обязан при первой возможности, но в любом случае не</w:t>
      </w:r>
      <w:r>
        <w:rPr>
          <w:rFonts w:eastAsiaTheme="minorEastAsia"/>
          <w:lang w:eastAsia="ru-RU"/>
        </w:rPr>
        <w:t xml:space="preserve"> позднее 5 (пяти) рабочих дней с момента наступления Особого обстоятельства, уведомить об этом Концедента и Субъекта, а также не позднее чем через 14 (четырнадцать) рабочих дней направить Концеденту и Субъекту уведомление об Особом обстоятельстве (далее – </w:t>
      </w:r>
      <w:r>
        <w:rPr>
          <w:rFonts w:eastAsiaTheme="minorEastAsia"/>
          <w:b/>
          <w:lang w:eastAsia="ru-RU"/>
        </w:rPr>
        <w:t xml:space="preserve">«Уведомление об Особом </w:t>
      </w:r>
      <w:r>
        <w:rPr>
          <w:rFonts w:eastAsiaTheme="minorEastAsia"/>
          <w:b/>
          <w:lang w:eastAsia="ru-RU"/>
        </w:rPr>
        <w:t xml:space="preserve">обстоятельстве»</w:t>
      </w:r>
      <w:r>
        <w:rPr>
          <w:rFonts w:eastAsiaTheme="minorEastAsia"/>
          <w:lang w:eastAsia="ru-RU"/>
        </w:rPr>
        <w:t xml:space="preserve">), с изложением следующих сведений:</w:t>
      </w:r>
      <w:r>
        <w:rPr>
          <w:rFonts w:eastAsiaTheme="minorEastAsia"/>
          <w:lang w:eastAsia="ru-RU"/>
        </w:rPr>
      </w:r>
      <w:r>
        <w:rPr>
          <w:rFonts w:eastAsiaTheme="minorEastAsia"/>
          <w:lang w:eastAsia="ru-RU"/>
        </w:rPr>
      </w:r>
    </w:p>
    <w:p>
      <w:pPr>
        <w:pStyle w:val="943"/>
        <w:numPr>
          <w:ilvl w:val="0"/>
          <w:numId w:val="10"/>
        </w:numPr>
        <w:contextualSpacing w:val="0"/>
        <w:ind w:left="0" w:firstLine="680"/>
        <w:jc w:val="both"/>
        <w:widowControl w:val="off"/>
        <w:rPr>
          <w:sz w:val="24"/>
          <w:szCs w:val="24"/>
          <w:lang w:val="ru-RU"/>
        </w:rPr>
      </w:pPr>
      <w:r>
        <w:rPr>
          <w:sz w:val="24"/>
          <w:szCs w:val="24"/>
          <w:lang w:val="ru-RU"/>
        </w:rPr>
        <w:t xml:space="preserve">описание Особого обстоятельства, причин его наступления и его предполагаемой длительности (в той мере, в какой это возможно оценить);</w:t>
      </w:r>
      <w:r>
        <w:rPr>
          <w:sz w:val="24"/>
          <w:szCs w:val="24"/>
          <w:lang w:val="ru-RU"/>
        </w:rPr>
      </w:r>
      <w:r>
        <w:rPr>
          <w:sz w:val="24"/>
          <w:szCs w:val="24"/>
          <w:lang w:val="ru-RU"/>
        </w:rPr>
      </w:r>
    </w:p>
    <w:p>
      <w:pPr>
        <w:pStyle w:val="943"/>
        <w:numPr>
          <w:ilvl w:val="0"/>
          <w:numId w:val="10"/>
        </w:numPr>
        <w:contextualSpacing w:val="0"/>
        <w:ind w:left="0" w:firstLine="680"/>
        <w:jc w:val="both"/>
        <w:widowControl w:val="off"/>
        <w:rPr>
          <w:sz w:val="24"/>
          <w:szCs w:val="24"/>
          <w:lang w:val="ru-RU"/>
        </w:rPr>
      </w:pPr>
      <w:r>
        <w:rPr>
          <w:sz w:val="24"/>
          <w:szCs w:val="24"/>
          <w:lang w:val="ru-RU"/>
        </w:rPr>
        <w:t xml:space="preserve">обоснование отсутствия у Концессионера возможности избежать наступления этого Особого обстоятельства;</w:t>
      </w:r>
      <w:r>
        <w:rPr>
          <w:sz w:val="24"/>
          <w:szCs w:val="24"/>
          <w:lang w:val="ru-RU"/>
        </w:rPr>
      </w:r>
      <w:r>
        <w:rPr>
          <w:sz w:val="24"/>
          <w:szCs w:val="24"/>
          <w:lang w:val="ru-RU"/>
        </w:rPr>
      </w:r>
    </w:p>
    <w:p>
      <w:pPr>
        <w:pStyle w:val="943"/>
        <w:numPr>
          <w:ilvl w:val="0"/>
          <w:numId w:val="10"/>
        </w:numPr>
        <w:contextualSpacing w:val="0"/>
        <w:ind w:left="0" w:firstLine="680"/>
        <w:jc w:val="both"/>
        <w:widowControl w:val="off"/>
        <w:rPr>
          <w:sz w:val="24"/>
          <w:szCs w:val="24"/>
          <w:lang w:val="ru-RU"/>
        </w:rPr>
      </w:pPr>
      <w:r>
        <w:rPr>
          <w:sz w:val="24"/>
          <w:szCs w:val="24"/>
          <w:lang w:val="ru-RU"/>
        </w:rPr>
        <w:t xml:space="preserve">описание действий, предпринятых или подлежащих принятию Концессионером во исполнение обязанностей по смягчению последствий Особого обстоятельства.</w:t>
      </w:r>
      <w:r>
        <w:rPr>
          <w:sz w:val="24"/>
          <w:szCs w:val="24"/>
          <w:lang w:val="ru-RU"/>
        </w:rPr>
      </w:r>
      <w:r>
        <w:rPr>
          <w:sz w:val="24"/>
          <w:szCs w:val="24"/>
          <w:lang w:val="ru-RU"/>
        </w:rPr>
      </w:r>
    </w:p>
    <w:p>
      <w:pPr>
        <w:pStyle w:val="972"/>
        <w:numPr>
          <w:ilvl w:val="0"/>
          <w:numId w:val="2"/>
        </w:numPr>
        <w:ind w:left="0" w:firstLine="680"/>
        <w:spacing w:before="0" w:after="0"/>
        <w:widowControl w:val="off"/>
        <w:rPr>
          <w:rFonts w:eastAsiaTheme="minorEastAsia"/>
          <w:lang w:eastAsia="ru-RU"/>
        </w:rPr>
        <w:outlineLvl w:val="9"/>
      </w:pPr>
      <w:r>
        <w:rPr>
          <w:rFonts w:eastAsiaTheme="minorEastAsia"/>
          <w:lang w:eastAsia="ru-RU"/>
        </w:rPr>
        <w:t xml:space="preserve">Не позднее, чем через 14 (четырнадцать) рабочих дней с даты получения уведомления </w:t>
      </w:r>
      <w:r>
        <w:rPr>
          <w:rFonts w:eastAsiaTheme="minorEastAsia"/>
          <w:lang w:eastAsia="ru-RU"/>
        </w:rPr>
        <w:t xml:space="preserve">об Особом обстоятельстве Концедент может направить Концессионеру (с копией Субъекту) предложения о внесении изменений в условия Концессионного соглашения, направленные на продление сроков исполнения Концессионером обязательств по Концессионному соглашению.</w:t>
      </w:r>
      <w:r>
        <w:rPr>
          <w:rFonts w:eastAsiaTheme="minorEastAsia"/>
          <w:lang w:eastAsia="ru-RU"/>
        </w:rPr>
      </w:r>
      <w:r>
        <w:rPr>
          <w:rFonts w:eastAsiaTheme="minorEastAsia"/>
          <w:lang w:eastAsia="ru-RU"/>
        </w:rPr>
      </w:r>
    </w:p>
    <w:p>
      <w:pPr>
        <w:pStyle w:val="972"/>
        <w:numPr>
          <w:ilvl w:val="0"/>
          <w:numId w:val="2"/>
        </w:numPr>
        <w:ind w:left="0" w:firstLine="680"/>
        <w:spacing w:before="0" w:after="0"/>
        <w:widowControl w:val="off"/>
        <w:rPr>
          <w:rFonts w:eastAsiaTheme="minorEastAsia"/>
          <w:lang w:eastAsia="ru-RU"/>
        </w:rPr>
        <w:outlineLvl w:val="9"/>
      </w:pPr>
      <w:r>
        <w:rPr>
          <w:rFonts w:eastAsiaTheme="minorEastAsia"/>
          <w:lang w:eastAsia="ru-RU"/>
        </w:rPr>
        <w:t xml:space="preserve">Не позднее, чем через 14 (</w:t>
      </w:r>
      <w:r>
        <w:rPr>
          <w:rFonts w:eastAsiaTheme="minorEastAsia"/>
          <w:lang w:eastAsia="ru-RU"/>
        </w:rPr>
        <w:t xml:space="preserve">четырнадцать) рабочих дней с даты получения предложения Концедента, указанного в пункте 109, либо не позднее, чем через 40 (сорок) рабочих дней с момента направления Концеденту и Субъекту уведомления об Особом обстоятельстве, содержащие следующие сведения:</w:t>
      </w:r>
      <w:r>
        <w:rPr>
          <w:rFonts w:eastAsiaTheme="minorEastAsia"/>
          <w:lang w:eastAsia="ru-RU"/>
        </w:rPr>
      </w:r>
      <w:r>
        <w:rPr>
          <w:rFonts w:eastAsiaTheme="minorEastAsia"/>
          <w:lang w:eastAsia="ru-RU"/>
        </w:rPr>
      </w:r>
    </w:p>
    <w:p>
      <w:pPr>
        <w:pStyle w:val="943"/>
        <w:numPr>
          <w:ilvl w:val="0"/>
          <w:numId w:val="11"/>
        </w:numPr>
        <w:contextualSpacing w:val="0"/>
        <w:ind w:left="0" w:firstLine="680"/>
        <w:jc w:val="both"/>
        <w:widowControl w:val="off"/>
        <w:rPr>
          <w:sz w:val="24"/>
          <w:szCs w:val="24"/>
          <w:lang w:val="ru-RU"/>
        </w:rPr>
      </w:pPr>
      <w:r>
        <w:rPr>
          <w:sz w:val="24"/>
          <w:szCs w:val="24"/>
          <w:lang w:val="ru-RU"/>
        </w:rPr>
        <w:t xml:space="preserve">предлагаемые Концессионером изменения условий Концессионного соглашения (с учетом</w:t>
      </w:r>
      <w:r>
        <w:rPr>
          <w:sz w:val="24"/>
          <w:szCs w:val="24"/>
          <w:lang w:val="ru-RU"/>
        </w:rPr>
        <w:t xml:space="preserve"> предложения Концедента), необходимые для продолжения исполнения Концессионером обязательств по Соглашению, в том числе предложения по продлению срока действия Соглашения и (или) изменению задания и основных мероприятий по реконструкции Объекта Соглашения;</w:t>
      </w:r>
      <w:r>
        <w:rPr>
          <w:sz w:val="24"/>
          <w:szCs w:val="24"/>
          <w:lang w:val="ru-RU"/>
        </w:rPr>
      </w:r>
      <w:r>
        <w:rPr>
          <w:sz w:val="24"/>
          <w:szCs w:val="24"/>
          <w:lang w:val="ru-RU"/>
        </w:rPr>
      </w:r>
    </w:p>
    <w:p>
      <w:pPr>
        <w:pStyle w:val="943"/>
        <w:numPr>
          <w:ilvl w:val="0"/>
          <w:numId w:val="11"/>
        </w:numPr>
        <w:contextualSpacing w:val="0"/>
        <w:ind w:left="0" w:firstLine="680"/>
        <w:jc w:val="both"/>
        <w:widowControl w:val="off"/>
        <w:rPr>
          <w:sz w:val="24"/>
          <w:szCs w:val="24"/>
          <w:lang w:val="ru-RU"/>
        </w:rPr>
      </w:pPr>
      <w:r>
        <w:rPr>
          <w:sz w:val="24"/>
          <w:szCs w:val="24"/>
          <w:lang w:val="ru-RU"/>
        </w:rPr>
        <w:t xml:space="preserve">расчет дополнительного времени, необходимого Концессионеру для завершения выполнения начатых Концессионером мероприятий по реконструкции Объекта соглашения.</w:t>
      </w:r>
      <w:r>
        <w:rPr>
          <w:sz w:val="24"/>
          <w:szCs w:val="24"/>
          <w:lang w:val="ru-RU"/>
        </w:rPr>
      </w:r>
      <w:r>
        <w:rPr>
          <w:sz w:val="24"/>
          <w:szCs w:val="24"/>
          <w:lang w:val="ru-RU"/>
        </w:rPr>
      </w:r>
    </w:p>
    <w:p>
      <w:pPr>
        <w:pStyle w:val="972"/>
        <w:numPr>
          <w:ilvl w:val="0"/>
          <w:numId w:val="2"/>
        </w:numPr>
        <w:ind w:left="0" w:firstLine="680"/>
        <w:spacing w:before="0" w:after="0"/>
        <w:widowControl w:val="off"/>
        <w:rPr>
          <w:rFonts w:eastAsiaTheme="minorEastAsia"/>
          <w:lang w:eastAsia="ru-RU"/>
        </w:rPr>
        <w:outlineLvl w:val="9"/>
      </w:pPr>
      <w:r>
        <w:rPr>
          <w:rFonts w:eastAsiaTheme="minorEastAsia"/>
          <w:lang w:eastAsia="ru-RU"/>
        </w:rPr>
        <w:t xml:space="preserve">Если Особое обстоятельство носит длящийся характер, Концессионер вправе не чаще одного раза в месяц предоставлять Концеденту или Субъекту дополнительные расчеты к уведомлению об Особом обстоятельстве, содержащие сведения, указанные в пункте 110.</w:t>
      </w:r>
      <w:r>
        <w:rPr>
          <w:rFonts w:eastAsiaTheme="minorEastAsia"/>
          <w:lang w:eastAsia="ru-RU"/>
        </w:rPr>
      </w:r>
      <w:r>
        <w:rPr>
          <w:rFonts w:eastAsiaTheme="minorEastAsia"/>
          <w:lang w:eastAsia="ru-RU"/>
        </w:rPr>
      </w:r>
    </w:p>
    <w:p>
      <w:pPr>
        <w:pStyle w:val="972"/>
        <w:numPr>
          <w:ilvl w:val="0"/>
          <w:numId w:val="2"/>
        </w:numPr>
        <w:ind w:left="0" w:firstLine="680"/>
        <w:spacing w:before="0" w:after="0"/>
        <w:widowControl w:val="off"/>
        <w:rPr>
          <w:rFonts w:eastAsiaTheme="minorEastAsia"/>
          <w:lang w:eastAsia="ru-RU"/>
        </w:rPr>
        <w:outlineLvl w:val="9"/>
      </w:pPr>
      <w:r>
        <w:rPr>
          <w:rFonts w:eastAsiaTheme="minorEastAsia"/>
          <w:lang w:eastAsia="ru-RU"/>
        </w:rPr>
        <w:t xml:space="preserve">В течение 30 (тридцати) рабочих дней со дня получения расчет</w:t>
      </w:r>
      <w:r>
        <w:rPr>
          <w:rFonts w:eastAsiaTheme="minorEastAsia"/>
          <w:lang w:eastAsia="ru-RU"/>
        </w:rPr>
        <w:t xml:space="preserve">а к уведомлению об Особом обстоятельстве в соответствии с пунктами 107 и 109 Концедент обязан направить Концессионеру (с копией Субъекту) письменный ответ, выражающий согласие или несогласие с предложениями по изменению Соглашения, указанных в уведомлении.</w:t>
      </w:r>
      <w:r>
        <w:rPr>
          <w:rFonts w:eastAsiaTheme="minorEastAsia"/>
          <w:lang w:eastAsia="ru-RU"/>
        </w:rPr>
      </w:r>
      <w:r>
        <w:rPr>
          <w:rFonts w:eastAsiaTheme="minorEastAsia"/>
          <w:lang w:eastAsia="ru-RU"/>
        </w:rPr>
      </w:r>
    </w:p>
    <w:p>
      <w:pPr>
        <w:pStyle w:val="972"/>
        <w:numPr>
          <w:ilvl w:val="0"/>
          <w:numId w:val="2"/>
        </w:numPr>
        <w:ind w:left="0" w:firstLine="680"/>
        <w:spacing w:before="0" w:after="0"/>
        <w:widowControl w:val="off"/>
        <w:rPr>
          <w:rFonts w:eastAsiaTheme="minorEastAsia"/>
          <w:lang w:eastAsia="ru-RU"/>
        </w:rPr>
        <w:outlineLvl w:val="9"/>
      </w:pPr>
      <w:r>
        <w:rPr>
          <w:rFonts w:eastAsiaTheme="minorEastAsia"/>
          <w:lang w:eastAsia="ru-RU"/>
        </w:rPr>
        <w:t xml:space="preserve">В течение периода, указанного в пункте 112 Концедент вправе, действуя разумно, потребовать предоставления Концессионером любых дополнительных сведений, разъяснений, подтверждающих документов и (или) расчетов.</w:t>
      </w:r>
      <w:r>
        <w:rPr>
          <w:rFonts w:eastAsiaTheme="minorEastAsia"/>
          <w:lang w:eastAsia="ru-RU"/>
        </w:rPr>
      </w:r>
      <w:r>
        <w:rPr>
          <w:rFonts w:eastAsiaTheme="minorEastAsia"/>
          <w:lang w:eastAsia="ru-RU"/>
        </w:rPr>
      </w:r>
    </w:p>
    <w:p>
      <w:pPr>
        <w:pStyle w:val="972"/>
        <w:numPr>
          <w:ilvl w:val="0"/>
          <w:numId w:val="2"/>
        </w:numPr>
        <w:ind w:left="0" w:firstLine="680"/>
        <w:spacing w:before="0" w:after="0"/>
        <w:widowControl w:val="off"/>
        <w:rPr>
          <w:rFonts w:eastAsiaTheme="minorEastAsia"/>
          <w:lang w:eastAsia="ru-RU"/>
        </w:rPr>
        <w:outlineLvl w:val="9"/>
      </w:pPr>
      <w:r>
        <w:rPr>
          <w:rFonts w:eastAsiaTheme="minorEastAsia"/>
          <w:lang w:eastAsia="ru-RU"/>
        </w:rPr>
        <w:t xml:space="preserve">Концессионер обязан предоставить Концеденту (с копие</w:t>
      </w:r>
      <w:r>
        <w:rPr>
          <w:rFonts w:eastAsiaTheme="minorEastAsia"/>
          <w:lang w:eastAsia="ru-RU"/>
        </w:rPr>
        <w:t xml:space="preserve">й Субъекту) такие дополнительные сведения и разъяснения в течение 10 (десяти) рабочих дней с момента получения соответствующего письменного запроса Концедента, если больший срок не требуется для получения данных сведений в соответствии с законодательством.</w:t>
      </w:r>
      <w:r>
        <w:rPr>
          <w:rFonts w:eastAsiaTheme="minorEastAsia"/>
          <w:lang w:eastAsia="ru-RU"/>
        </w:rPr>
      </w:r>
      <w:r>
        <w:rPr>
          <w:rFonts w:eastAsiaTheme="minorEastAsia"/>
          <w:lang w:eastAsia="ru-RU"/>
        </w:rPr>
      </w:r>
    </w:p>
    <w:p>
      <w:pPr>
        <w:pStyle w:val="972"/>
        <w:numPr>
          <w:ilvl w:val="0"/>
          <w:numId w:val="2"/>
        </w:numPr>
        <w:ind w:left="0" w:firstLine="680"/>
        <w:spacing w:before="0" w:after="0"/>
        <w:widowControl w:val="off"/>
        <w:rPr>
          <w:rFonts w:eastAsiaTheme="minorEastAsia"/>
          <w:lang w:eastAsia="ru-RU"/>
        </w:rPr>
        <w:outlineLvl w:val="9"/>
      </w:pPr>
      <w:r>
        <w:rPr>
          <w:rFonts w:eastAsiaTheme="minorEastAsia"/>
          <w:lang w:eastAsia="ru-RU"/>
        </w:rPr>
        <w:t xml:space="preserve">Если Концедент не согласен с каким-либо предложением, изложенным в уведомлении об Особом обстоятельстве, то возникшие разногласия должны рассматриваться как спор, подлежащий разрешению в соответствии с Порядком разрешения.</w:t>
      </w:r>
      <w:r>
        <w:rPr>
          <w:rFonts w:eastAsiaTheme="minorEastAsia"/>
          <w:lang w:eastAsia="ru-RU"/>
        </w:rPr>
      </w:r>
      <w:r>
        <w:rPr>
          <w:rFonts w:eastAsiaTheme="minorEastAsia"/>
          <w:lang w:eastAsia="ru-RU"/>
        </w:rPr>
      </w:r>
    </w:p>
    <w:p>
      <w:pPr>
        <w:pStyle w:val="972"/>
        <w:numPr>
          <w:ilvl w:val="0"/>
          <w:numId w:val="2"/>
        </w:numPr>
        <w:ind w:left="0" w:firstLine="680"/>
        <w:spacing w:before="0" w:after="0"/>
        <w:widowControl w:val="off"/>
        <w:rPr>
          <w:rFonts w:eastAsiaTheme="minorEastAsia"/>
          <w:lang w:eastAsia="ru-RU"/>
        </w:rPr>
        <w:outlineLvl w:val="9"/>
      </w:pPr>
      <w:r>
        <w:rPr>
          <w:rFonts w:eastAsiaTheme="minorEastAsia"/>
          <w:lang w:eastAsia="ru-RU"/>
        </w:rPr>
        <w:t xml:space="preserve">В течение 30 (тридцати) календарных дней с даты направления Концедентом согласия с уведомлением об Особом обстоятельстве в соответствии с пунктом 112, либо с даты вынесения решения по Особому обстоятельству в порядке разрешения:</w:t>
      </w:r>
      <w:r>
        <w:rPr>
          <w:rFonts w:eastAsiaTheme="minorEastAsia"/>
          <w:lang w:eastAsia="ru-RU"/>
        </w:rPr>
      </w:r>
      <w:r>
        <w:rPr>
          <w:rFonts w:eastAsiaTheme="minorEastAsia"/>
          <w:lang w:eastAsia="ru-RU"/>
        </w:rPr>
      </w:r>
    </w:p>
    <w:p>
      <w:pPr>
        <w:pStyle w:val="943"/>
        <w:numPr>
          <w:ilvl w:val="0"/>
          <w:numId w:val="12"/>
        </w:numPr>
        <w:contextualSpacing w:val="0"/>
        <w:ind w:left="0" w:firstLine="680"/>
        <w:jc w:val="both"/>
        <w:widowControl w:val="off"/>
        <w:rPr>
          <w:sz w:val="24"/>
          <w:szCs w:val="24"/>
          <w:lang w:val="ru-RU"/>
        </w:rPr>
      </w:pPr>
      <w:r>
        <w:rPr>
          <w:sz w:val="24"/>
          <w:szCs w:val="24"/>
          <w:lang w:val="ru-RU"/>
        </w:rPr>
        <w:t xml:space="preserve">Стороны должны согласовать и внести изменения в Соглашение в соответствии с согласованными в расчете к уведомлению об Особом обстоятельстве предложениями Концессионера и согласованные, при необходимости, государственными </w:t>
      </w:r>
      <w:r>
        <w:rPr>
          <w:sz w:val="24"/>
          <w:szCs w:val="24"/>
          <w:lang w:val="ru-RU"/>
        </w:rPr>
        <w:t xml:space="preserve">органами либо в соответствии с вынесенным решение.</w:t>
      </w:r>
      <w:r>
        <w:rPr>
          <w:sz w:val="24"/>
          <w:szCs w:val="24"/>
          <w:lang w:val="ru-RU"/>
        </w:rPr>
      </w:r>
      <w:r>
        <w:rPr>
          <w:sz w:val="24"/>
          <w:szCs w:val="24"/>
          <w:lang w:val="ru-RU"/>
        </w:rPr>
      </w:r>
    </w:p>
    <w:p>
      <w:pPr>
        <w:ind w:firstLine="680"/>
        <w:rPr>
          <w:b/>
          <w:sz w:val="24"/>
          <w:szCs w:val="24"/>
        </w:rPr>
      </w:pPr>
      <w:r>
        <w:rPr>
          <w:b/>
          <w:sz w:val="24"/>
          <w:szCs w:val="24"/>
        </w:rPr>
        <w:t xml:space="preserve">Отчетность Концессионера и уточнение графика возмещения по Особому обстоятельству</w:t>
      </w:r>
      <w:r>
        <w:rPr>
          <w:b/>
          <w:sz w:val="24"/>
          <w:szCs w:val="24"/>
        </w:rPr>
      </w:r>
      <w:r>
        <w:rPr>
          <w:b/>
          <w:sz w:val="24"/>
          <w:szCs w:val="24"/>
        </w:rPr>
      </w:r>
    </w:p>
    <w:p>
      <w:pPr>
        <w:pStyle w:val="972"/>
        <w:numPr>
          <w:ilvl w:val="0"/>
          <w:numId w:val="2"/>
        </w:numPr>
        <w:ind w:left="0" w:firstLine="680"/>
        <w:spacing w:before="0" w:after="0"/>
        <w:widowControl w:val="off"/>
        <w:rPr>
          <w:rFonts w:eastAsiaTheme="minorEastAsia"/>
          <w:lang w:eastAsia="ru-RU"/>
        </w:rPr>
        <w:outlineLvl w:val="9"/>
      </w:pPr>
      <w:r>
        <w:rPr>
          <w:rFonts w:eastAsiaTheme="minorEastAsia"/>
          <w:lang w:eastAsia="ru-RU"/>
        </w:rPr>
        <w:t xml:space="preserve">Согласование Концедентом каждого из представленных Концессионером окончательных расчетов осуществляется в порядке, аналогичном предусмотренному в пунктах 112-115.</w:t>
      </w:r>
      <w:r>
        <w:rPr>
          <w:rFonts w:eastAsiaTheme="minorEastAsia"/>
          <w:lang w:eastAsia="ru-RU"/>
        </w:rPr>
      </w:r>
      <w:r>
        <w:rPr>
          <w:rFonts w:eastAsiaTheme="minorEastAsia"/>
          <w:lang w:eastAsia="ru-RU"/>
        </w:rPr>
      </w:r>
    </w:p>
    <w:p>
      <w:pPr>
        <w:pStyle w:val="972"/>
        <w:numPr>
          <w:ilvl w:val="0"/>
          <w:numId w:val="2"/>
        </w:numPr>
        <w:ind w:left="0" w:firstLine="680"/>
        <w:spacing w:before="0" w:after="0"/>
        <w:widowControl w:val="off"/>
        <w:rPr>
          <w:rFonts w:eastAsiaTheme="minorEastAsia"/>
          <w:lang w:eastAsia="ru-RU"/>
        </w:rPr>
        <w:outlineLvl w:val="9"/>
      </w:pPr>
      <w:r>
        <w:rPr>
          <w:rFonts w:eastAsiaTheme="minorEastAsia"/>
          <w:lang w:eastAsia="ru-RU"/>
        </w:rPr>
        <w:t xml:space="preserve">В случае, если при наступлении Особого об</w:t>
      </w:r>
      <w:r>
        <w:rPr>
          <w:rFonts w:eastAsiaTheme="minorEastAsia"/>
          <w:lang w:eastAsia="ru-RU"/>
        </w:rPr>
        <w:t xml:space="preserve">стоятельства, Стороны договорились воспользоваться механизмом урегулирования последствий наступления Особого обстоятельства, предусмотренного п.п. (2) п. 103, то в течение 10 (десяти) рабочих дней с даты направления Концедентом согласия с каждым из окончат</w:t>
      </w:r>
      <w:r>
        <w:rPr>
          <w:rFonts w:eastAsiaTheme="minorEastAsia"/>
          <w:lang w:eastAsia="ru-RU"/>
        </w:rPr>
        <w:t xml:space="preserve">ельных расчетов, представленных Концессионером, либо с даты вынесения решения в отношении такого окончательного расчета в Порядке разрешения споров (в зависимости от того, что применимо), Концедент и Концессионер должны согласовать и внести необходимые изм</w:t>
      </w:r>
      <w:r>
        <w:rPr>
          <w:rFonts w:eastAsiaTheme="minorEastAsia"/>
          <w:lang w:eastAsia="ru-RU"/>
        </w:rPr>
        <w:t xml:space="preserve">енения (уточнения) в график возмещения по Особому обстоятельству в соответствии с таким окончательным расчетом, либо в соответствии с вынесенным решением в отношении окончательного расчета в порядке разрешения споров (в зависимости от того, что применимо).</w:t>
      </w:r>
      <w:r>
        <w:rPr>
          <w:rFonts w:eastAsiaTheme="minorEastAsia"/>
          <w:lang w:eastAsia="ru-RU"/>
        </w:rPr>
      </w:r>
      <w:r>
        <w:rPr>
          <w:rFonts w:eastAsiaTheme="minorEastAsia"/>
          <w:lang w:eastAsia="ru-RU"/>
        </w:rPr>
      </w:r>
    </w:p>
    <w:p>
      <w:pPr>
        <w:pStyle w:val="972"/>
        <w:ind w:left="0" w:firstLine="680"/>
        <w:spacing w:before="0" w:after="0"/>
        <w:widowControl w:val="off"/>
        <w:rPr>
          <w:rFonts w:eastAsiaTheme="minorEastAsia"/>
          <w:b/>
          <w:lang w:eastAsia="ru-RU"/>
        </w:rPr>
        <w:outlineLvl w:val="9"/>
      </w:pPr>
      <w:r>
        <w:rPr>
          <w:rFonts w:eastAsiaTheme="minorEastAsia"/>
          <w:b/>
          <w:lang w:eastAsia="ru-RU"/>
        </w:rPr>
        <w:t xml:space="preserve">Смягчение последствий Особого обстоятельства</w:t>
      </w:r>
      <w:r>
        <w:rPr>
          <w:rFonts w:eastAsiaTheme="minorEastAsia"/>
          <w:b/>
          <w:lang w:eastAsia="ru-RU"/>
        </w:rPr>
      </w:r>
      <w:r>
        <w:rPr>
          <w:rFonts w:eastAsiaTheme="minorEastAsia"/>
          <w:b/>
          <w:lang w:eastAsia="ru-RU"/>
        </w:rPr>
      </w:r>
    </w:p>
    <w:p>
      <w:pPr>
        <w:pStyle w:val="972"/>
        <w:numPr>
          <w:ilvl w:val="0"/>
          <w:numId w:val="2"/>
        </w:numPr>
        <w:ind w:left="0" w:firstLine="680"/>
        <w:spacing w:before="0" w:after="0"/>
        <w:widowControl w:val="off"/>
        <w:rPr>
          <w:rFonts w:eastAsiaTheme="minorEastAsia"/>
          <w:lang w:eastAsia="ru-RU"/>
        </w:rPr>
        <w:outlineLvl w:val="9"/>
      </w:pPr>
      <w:r>
        <w:rPr>
          <w:rFonts w:eastAsiaTheme="minorEastAsia"/>
          <w:lang w:eastAsia="ru-RU"/>
        </w:rPr>
        <w:t xml:space="preserve">В случае наступления любого Особого обстоятельства Концессионер обязан принять разумные и коммерчески обоснованные меры, необходимые для смягчения последствий такого Особого обстоятельства, включая меры, направленные на уменьшение дополнительных расходов.</w:t>
      </w:r>
      <w:r>
        <w:rPr>
          <w:rFonts w:eastAsiaTheme="minorEastAsia"/>
          <w:lang w:eastAsia="ru-RU"/>
        </w:rPr>
      </w:r>
      <w:r>
        <w:rPr>
          <w:rFonts w:eastAsiaTheme="minorEastAsia"/>
          <w:lang w:eastAsia="ru-RU"/>
        </w:rPr>
      </w:r>
    </w:p>
    <w:p>
      <w:pPr>
        <w:pStyle w:val="959"/>
        <w:ind w:firstLine="680"/>
        <w:jc w:val="both"/>
        <w:rPr>
          <w:rFonts w:ascii="Times New Roman" w:hAnsi="Times New Roman" w:cs="Times New Roman"/>
        </w:rPr>
      </w:pPr>
      <w:r/>
      <w:bookmarkStart w:id="81" w:name="_Toc521054889"/>
      <w:r/>
      <w:bookmarkStart w:id="82" w:name="_Toc521054890"/>
      <w:r/>
      <w:bookmarkStart w:id="83" w:name="sub_11400"/>
      <w:r/>
      <w:bookmarkEnd w:id="81"/>
      <w:r/>
      <w:bookmarkEnd w:id="82"/>
      <w:r>
        <w:rPr>
          <w:rFonts w:ascii="Times New Roman" w:hAnsi="Times New Roman" w:cs="Times New Roman"/>
        </w:rPr>
      </w:r>
      <w:r>
        <w:rPr>
          <w:rFonts w:ascii="Times New Roman" w:hAnsi="Times New Roman" w:cs="Times New Roman"/>
        </w:rPr>
      </w:r>
    </w:p>
    <w:p>
      <w:pPr>
        <w:pStyle w:val="959"/>
        <w:ind w:firstLine="680"/>
        <w:jc w:val="center"/>
        <w:rPr>
          <w:rFonts w:ascii="Times New Roman" w:hAnsi="Times New Roman" w:cs="Times New Roman"/>
        </w:rPr>
      </w:pPr>
      <w:r>
        <w:rPr>
          <w:rStyle w:val="951"/>
          <w:rFonts w:ascii="Times New Roman" w:hAnsi="Times New Roman" w:cs="Times New Roman"/>
          <w:lang w:val="en-US"/>
        </w:rPr>
        <w:t xml:space="preserve">XVII</w:t>
      </w:r>
      <w:r>
        <w:rPr>
          <w:rStyle w:val="951"/>
          <w:rFonts w:ascii="Times New Roman" w:hAnsi="Times New Roman" w:cs="Times New Roman"/>
        </w:rPr>
        <w:t xml:space="preserve">. Изменение Соглашения</w:t>
      </w:r>
      <w:bookmarkEnd w:id="83"/>
      <w:r>
        <w:rPr>
          <w:rFonts w:ascii="Times New Roman" w:hAnsi="Times New Roman" w:cs="Times New Roman"/>
        </w:rPr>
      </w:r>
      <w:r>
        <w:rPr>
          <w:rFonts w:ascii="Times New Roman" w:hAnsi="Times New Roman" w:cs="Times New Roman"/>
        </w:rPr>
      </w:r>
    </w:p>
    <w:p>
      <w:pPr>
        <w:ind w:firstLine="680"/>
        <w:rPr>
          <w:sz w:val="24"/>
          <w:szCs w:val="24"/>
        </w:rPr>
      </w:pPr>
      <w:r>
        <w:rPr>
          <w:sz w:val="24"/>
          <w:szCs w:val="24"/>
        </w:rPr>
      </w:r>
      <w:r>
        <w:rPr>
          <w:sz w:val="24"/>
          <w:szCs w:val="24"/>
        </w:rPr>
      </w:r>
      <w:r>
        <w:rPr>
          <w:sz w:val="24"/>
          <w:szCs w:val="24"/>
        </w:rPr>
      </w:r>
    </w:p>
    <w:p>
      <w:pPr>
        <w:pStyle w:val="959"/>
        <w:numPr>
          <w:ilvl w:val="0"/>
          <w:numId w:val="2"/>
        </w:numPr>
        <w:ind w:left="0" w:firstLine="680"/>
        <w:jc w:val="both"/>
        <w:rPr>
          <w:rFonts w:ascii="Times New Roman" w:hAnsi="Times New Roman" w:cs="Times New Roman"/>
        </w:rPr>
      </w:pPr>
      <w:r/>
      <w:bookmarkStart w:id="84" w:name="sub_114101"/>
      <w:r>
        <w:rPr>
          <w:rFonts w:ascii="Times New Roman" w:hAnsi="Times New Roman" w:cs="Times New Roman"/>
        </w:rPr>
        <w:t xml:space="preserve">Настоящее Соглашение может быть изменено по согласию Сторон.</w:t>
      </w:r>
      <w:bookmarkEnd w:id="84"/>
      <w:r>
        <w:rPr>
          <w:rFonts w:ascii="Times New Roman" w:hAnsi="Times New Roman" w:cs="Times New Roman"/>
        </w:rPr>
        <w:t xml:space="preserve"> Изменение настоящего Соглашения осуществляется в письменной форме.</w:t>
      </w:r>
      <w:bookmarkStart w:id="85" w:name="sub_114102"/>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Основанием для изменения условий настоящего Соглашения является</w:t>
      </w:r>
      <w:bookmarkEnd w:id="85"/>
      <w:r>
        <w:rPr>
          <w:rFonts w:ascii="Times New Roman" w:hAnsi="Times New Roman" w:cs="Times New Roman"/>
        </w:rPr>
        <w:t xml:space="preserve"> существенное изменение обстоятельств (существенное изменение обстоятельств – изменение обстоятельст</w:t>
      </w:r>
      <w:r>
        <w:rPr>
          <w:rFonts w:ascii="Times New Roman" w:hAnsi="Times New Roman" w:cs="Times New Roman"/>
        </w:rPr>
        <w:t xml:space="preserve">в настолько, что стороны вообще не заключили бы Соглашение или заключили бы его на значительно отличающихся условиях), из которых Стороны исходили при заключении настоящего Соглашения, включая невозможность обеспечения условий и порядка компенсации расходо</w:t>
      </w:r>
      <w:r>
        <w:rPr>
          <w:rFonts w:ascii="Times New Roman" w:hAnsi="Times New Roman" w:cs="Times New Roman"/>
        </w:rPr>
        <w:t xml:space="preserve">в Концессионера по предоставленным им потребителям льготам, установленным федеральными законами, законами субъекта Российской Федерации, нормативными правовыми актами органов местного самоуправления, в том числе по льготам по оплате товаров, работ и услуг.</w:t>
      </w:r>
      <w:bookmarkStart w:id="86" w:name="sub_114103"/>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В настоящее Соглашение вносятся изменения по согласию Сторон в</w:t>
      </w:r>
      <w:bookmarkEnd w:id="86"/>
      <w:r>
        <w:rPr>
          <w:rFonts w:ascii="Times New Roman" w:hAnsi="Times New Roman" w:cs="Times New Roman"/>
        </w:rPr>
        <w:t xml:space="preserve"> случае установления законодательством Российской Федерации, законодательством субъекта Российской Федерации, нормативными право</w:t>
      </w:r>
      <w:r>
        <w:rPr>
          <w:rFonts w:ascii="Times New Roman" w:hAnsi="Times New Roman" w:cs="Times New Roman"/>
        </w:rPr>
        <w:t xml:space="preserve">выми актами органов местного самоуправления норм, ухудшающих положение Концессионера таким образом, что он в значительной степени лишается того, на что был вправе рассчитывать при заключении настоящего Соглашения, за исключением случая, когда указанные нор</w:t>
      </w:r>
      <w:r>
        <w:rPr>
          <w:rFonts w:ascii="Times New Roman" w:hAnsi="Times New Roman" w:cs="Times New Roman"/>
        </w:rPr>
        <w:t xml:space="preserve">мы были установлены путем внесения изменений в технический регламент, иной нормативный правовой акт Российской Федерации, регулирующий отношения по охране недр, окружающей среды, здоровья граждан, и Концессионер при осуществлении деятельности, указанной в </w:t>
      </w:r>
      <w:hyperlink w:tooltip="#sub_1101" w:anchor="sub_1101" w:history="1">
        <w:r>
          <w:rPr>
            <w:rStyle w:val="952"/>
            <w:rFonts w:ascii="Times New Roman" w:hAnsi="Times New Roman"/>
          </w:rPr>
          <w:t xml:space="preserve">пункте 1</w:t>
        </w:r>
      </w:hyperlink>
      <w:r>
        <w:rPr>
          <w:rFonts w:ascii="Times New Roman" w:hAnsi="Times New Roman" w:cs="Times New Roman"/>
        </w:rPr>
        <w:t xml:space="preserve"> настоящего Соглашения, не предоставляет потребителям работ и услуг по регулируемым ценам (тарифам) и (или) с учетом регулируемых надбавок к ценам (тарифам).</w:t>
      </w:r>
      <w:bookmarkStart w:id="87" w:name="sub_114104"/>
      <w:r/>
      <w:bookmarkEnd w:id="87"/>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Условия настоящего Соглашения, определенные на основании решения о заключении концессионного соглашения, подлежат изменению в случаях:</w:t>
      </w:r>
      <w:r>
        <w:rPr>
          <w:rFonts w:ascii="Times New Roman" w:hAnsi="Times New Roman" w:cs="Times New Roman"/>
        </w:rPr>
      </w:r>
      <w:r>
        <w:rPr>
          <w:rFonts w:ascii="Times New Roman" w:hAnsi="Times New Roman" w:cs="Times New Roman"/>
        </w:rPr>
      </w:r>
    </w:p>
    <w:p>
      <w:pPr>
        <w:pStyle w:val="959"/>
        <w:ind w:firstLine="680"/>
        <w:jc w:val="both"/>
        <w:rPr>
          <w:rFonts w:ascii="Times New Roman" w:hAnsi="Times New Roman" w:cs="Times New Roman"/>
        </w:rPr>
      </w:pPr>
      <w:r>
        <w:rPr>
          <w:rFonts w:ascii="Times New Roman" w:hAnsi="Times New Roman" w:cs="Times New Roman"/>
        </w:rPr>
        <w:t xml:space="preserve">123.1. Если в течение срока действия настоящего Соглашения законодательством Российской Федерации, законодательством субъекта Российской Федерации, </w:t>
      </w:r>
      <w:r>
        <w:rPr>
          <w:rFonts w:ascii="Times New Roman" w:hAnsi="Times New Roman" w:cs="Times New Roman"/>
        </w:rPr>
        <w:t xml:space="preserve">нормативными правовыми актами органов местного самоуправления устанавливаются нормы, ухудшающие положение Концессионера таким образом, что он в значительной степени лишается того, на что был вправе рассчитывать при заключении настоящего Соглашения;</w:t>
      </w:r>
      <w:r>
        <w:rPr>
          <w:rFonts w:ascii="Times New Roman" w:hAnsi="Times New Roman" w:cs="Times New Roman"/>
        </w:rPr>
      </w:r>
      <w:r>
        <w:rPr>
          <w:rFonts w:ascii="Times New Roman" w:hAnsi="Times New Roman" w:cs="Times New Roman"/>
        </w:rPr>
      </w:r>
    </w:p>
    <w:p>
      <w:pPr>
        <w:pStyle w:val="959"/>
        <w:ind w:firstLine="680"/>
        <w:jc w:val="both"/>
        <w:rPr>
          <w:rFonts w:ascii="Times New Roman" w:hAnsi="Times New Roman" w:cs="Times New Roman"/>
        </w:rPr>
      </w:pPr>
      <w:r>
        <w:rPr>
          <w:rFonts w:ascii="Times New Roman" w:hAnsi="Times New Roman" w:cs="Times New Roman"/>
        </w:rPr>
        <w:t xml:space="preserve">123.2. Если в течение срока действия настоящего Соглашения законодательством Российской Федерации, законодательством субъ</w:t>
      </w:r>
      <w:r>
        <w:rPr>
          <w:rFonts w:ascii="Times New Roman" w:hAnsi="Times New Roman" w:cs="Times New Roman"/>
        </w:rPr>
        <w:t xml:space="preserve">екта Российской Федерации, нормативными правовыми актами органов местного самоуправления устанавливаются нормы, улучшающие положение Концессионера таким образом, что он приобретает то, на что не вправе был рассчитывать при заключении настоящего Соглашения.</w:t>
      </w:r>
      <w:bookmarkStart w:id="88" w:name="sub_114105"/>
      <w:r>
        <w:rPr>
          <w:rFonts w:ascii="Times New Roman" w:hAnsi="Times New Roman" w:cs="Times New Roman"/>
        </w:rPr>
      </w:r>
      <w:r>
        <w:rPr>
          <w:rFonts w:ascii="Times New Roman" w:hAnsi="Times New Roman" w:cs="Times New Roman"/>
        </w:rPr>
      </w:r>
    </w:p>
    <w:p>
      <w:pPr>
        <w:ind w:firstLine="680"/>
        <w:jc w:val="both"/>
        <w:rPr>
          <w:sz w:val="24"/>
          <w:szCs w:val="24"/>
        </w:rPr>
      </w:pPr>
      <w:r>
        <w:rPr>
          <w:sz w:val="24"/>
          <w:szCs w:val="24"/>
        </w:rPr>
        <w:t xml:space="preserve">123.3</w:t>
      </w:r>
      <w:r>
        <w:rPr>
          <w:color w:val="00b050"/>
          <w:sz w:val="24"/>
          <w:szCs w:val="24"/>
        </w:rPr>
        <w:t xml:space="preserve">. </w:t>
      </w:r>
      <w:r>
        <w:rPr>
          <w:sz w:val="24"/>
          <w:szCs w:val="24"/>
        </w:rPr>
        <w:t xml:space="preserve">В случае принятия Правительством Российской Федерации соответствующего решения, предусмотренног</w:t>
      </w:r>
      <w:r>
        <w:rPr>
          <w:sz w:val="24"/>
          <w:szCs w:val="24"/>
        </w:rPr>
        <w:t xml:space="preserve">о Федеральным законом от 30.12.2012 № 291-ФЗ «О внесении изменений в отдельные законодательные акты Российской Федерации в части совершенствования регулирования тарифов в сфере электроснабжения, теплоснабжения, газоснабжения, водоснабжения и водоотведения»</w:t>
      </w:r>
      <w:r>
        <w:rPr>
          <w:sz w:val="24"/>
          <w:szCs w:val="24"/>
        </w:rPr>
        <w:t xml:space="preserve">, возможно изменение сроков реализации инвестиционных обязательств концессионера, являющегося регулируемой организацией, осуществляющей деятельность в сфере тепло-, водоснабжения, водоотведения,  в связи с существенным ухудшением экономической конъюнктуры.</w:t>
      </w:r>
      <w:r>
        <w:rPr>
          <w:sz w:val="24"/>
          <w:szCs w:val="24"/>
        </w:rPr>
      </w:r>
      <w:r>
        <w:rPr>
          <w:sz w:val="24"/>
          <w:szCs w:val="24"/>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В целях внесения изменений в условия настоящего Соглашения одна</w:t>
      </w:r>
      <w:bookmarkEnd w:id="88"/>
      <w:r>
        <w:rPr>
          <w:rFonts w:ascii="Times New Roman" w:hAnsi="Times New Roman" w:cs="Times New Roman"/>
        </w:rPr>
        <w:t xml:space="preserve"> из Сторон направляет другой Стороне соответ</w:t>
      </w:r>
      <w:r>
        <w:rPr>
          <w:rFonts w:ascii="Times New Roman" w:hAnsi="Times New Roman" w:cs="Times New Roman"/>
        </w:rPr>
        <w:t xml:space="preserve">ствующее предложение с обоснованием предлагаемых изменений. Другая Сторона в течение 30 календарных дней с даты получения указанного предложения рассматривает его и принимает решение о согласии или об отказе внести изменения в условия настоящего Соглашения</w:t>
      </w:r>
      <w:bookmarkStart w:id="89" w:name="sub_114106"/>
      <w:r>
        <w:rPr>
          <w:rFonts w:ascii="Times New Roman" w:hAnsi="Times New Roman" w:cs="Times New Roman"/>
        </w:rPr>
        <w:t xml:space="preserve">. Рассмотрение предложений Концессионера со стороны Концедента и Субъе</w:t>
      </w:r>
      <w:r>
        <w:rPr>
          <w:rFonts w:ascii="Times New Roman" w:hAnsi="Times New Roman" w:cs="Times New Roman"/>
        </w:rPr>
        <w:t xml:space="preserve">кта осуществляется в соответствии с Порядком взаимодействия исполнительных органов Мурманской области и органов местного самоуправления Мурманской области при подготовке, заключении, исполнении, изменении концессионных соглашений в отношении объектов тепло</w:t>
      </w:r>
      <w:r>
        <w:rPr>
          <w:rFonts w:ascii="Times New Roman" w:hAnsi="Times New Roman" w:cs="Times New Roman"/>
        </w:rPr>
        <w:t xml:space="preserve">снабжения, централизованных систем горячего водоснабжения, холодного водоснабжения и (или) водоотведения, отдельных объектов таких систем, Концедентом по которым выступают муниципальные образования Мурманской области, третьей стороной - Мурманская область.</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Настоящее Соглашение может быть изменено по требованию одной из</w:t>
      </w:r>
      <w:bookmarkEnd w:id="89"/>
      <w:r>
        <w:rPr>
          <w:rFonts w:ascii="Times New Roman" w:hAnsi="Times New Roman" w:cs="Times New Roman"/>
        </w:rPr>
        <w:t xml:space="preserve"> Сторон по решению суда по основаниям, предусмотренным </w:t>
      </w:r>
      <w:hyperlink r:id="rId13" w:tooltip="http://ivo.garant.ru/document?id=10064072&amp;sub=1029" w:history="1">
        <w:r>
          <w:rPr>
            <w:rStyle w:val="952"/>
            <w:rFonts w:ascii="Times New Roman" w:hAnsi="Times New Roman"/>
          </w:rPr>
          <w:t xml:space="preserve">Гражданским</w:t>
        </w:r>
      </w:hyperlink>
      <w:r>
        <w:rPr>
          <w:rFonts w:ascii="Times New Roman" w:hAnsi="Times New Roman" w:cs="Times New Roman"/>
        </w:rPr>
        <w:t xml:space="preserve"> </w:t>
      </w:r>
      <w:r>
        <w:rPr>
          <w:rStyle w:val="962"/>
          <w:rFonts w:ascii="Times New Roman" w:hAnsi="Times New Roman"/>
        </w:rPr>
        <w:t xml:space="preserve">кодексом</w:t>
      </w:r>
      <w:r>
        <w:rPr>
          <w:rFonts w:ascii="Times New Roman" w:hAnsi="Times New Roman" w:cs="Times New Roman"/>
        </w:rPr>
        <w:t xml:space="preserve"> Российской Федерации.</w:t>
      </w:r>
      <w:bookmarkStart w:id="90" w:name="sub_114107"/>
      <w:r/>
      <w:bookmarkEnd w:id="90"/>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По настоящему Соглашению, не допускаются:</w:t>
      </w:r>
      <w:r>
        <w:rPr>
          <w:rFonts w:ascii="Times New Roman" w:hAnsi="Times New Roman" w:cs="Times New Roman"/>
        </w:rPr>
      </w:r>
      <w:r>
        <w:rPr>
          <w:rFonts w:ascii="Times New Roman" w:hAnsi="Times New Roman" w:cs="Times New Roman"/>
        </w:rPr>
      </w:r>
    </w:p>
    <w:p>
      <w:pPr>
        <w:pStyle w:val="959"/>
        <w:ind w:left="680"/>
        <w:jc w:val="both"/>
        <w:rPr>
          <w:rFonts w:ascii="Times New Roman" w:hAnsi="Times New Roman" w:cs="Times New Roman"/>
        </w:rPr>
      </w:pPr>
      <w:r>
        <w:rPr>
          <w:rFonts w:ascii="Times New Roman" w:hAnsi="Times New Roman" w:cs="Times New Roman"/>
        </w:rPr>
        <w:t xml:space="preserve">1) передача Концессионером прав владения и (или) пользования объектами, передаваемыми Концессионеру по концессионному соглашению, в том числе передача таких объектов в субаренду;</w:t>
      </w:r>
      <w:r>
        <w:rPr>
          <w:rFonts w:ascii="Times New Roman" w:hAnsi="Times New Roman" w:cs="Times New Roman"/>
        </w:rPr>
      </w:r>
      <w:r>
        <w:rPr>
          <w:rFonts w:ascii="Times New Roman" w:hAnsi="Times New Roman" w:cs="Times New Roman"/>
        </w:rPr>
      </w:r>
    </w:p>
    <w:p>
      <w:pPr>
        <w:pStyle w:val="959"/>
        <w:ind w:left="680"/>
        <w:jc w:val="both"/>
        <w:rPr>
          <w:rFonts w:ascii="Times New Roman" w:hAnsi="Times New Roman" w:cs="Times New Roman"/>
        </w:rPr>
      </w:pPr>
      <w:r>
        <w:rPr>
          <w:rFonts w:ascii="Times New Roman" w:hAnsi="Times New Roman" w:cs="Times New Roman"/>
        </w:rPr>
        <w:t xml:space="preserve">2) уступка права требования, перевод долга по концессионному соглашению в пользу иностранных физических и юридических лиц и иностранных структур без образования юридического лица, передача прав по концессионному соглашению в доверительное управление;</w:t>
      </w:r>
      <w:r>
        <w:rPr>
          <w:rFonts w:ascii="Times New Roman" w:hAnsi="Times New Roman" w:cs="Times New Roman"/>
        </w:rPr>
      </w:r>
      <w:r>
        <w:rPr>
          <w:rFonts w:ascii="Times New Roman" w:hAnsi="Times New Roman" w:cs="Times New Roman"/>
        </w:rPr>
      </w:r>
    </w:p>
    <w:p>
      <w:pPr>
        <w:pStyle w:val="959"/>
        <w:ind w:left="680"/>
        <w:jc w:val="both"/>
        <w:rPr>
          <w:rFonts w:ascii="Times New Roman" w:hAnsi="Times New Roman" w:cs="Times New Roman"/>
        </w:rPr>
      </w:pPr>
      <w:r>
        <w:rPr>
          <w:rFonts w:ascii="Times New Roman" w:hAnsi="Times New Roman" w:cs="Times New Roman"/>
        </w:rPr>
        <w:t xml:space="preserve">3) передача объекта Соглашения в собственность Концессионера и (или) иных третьих лиц, в том числе в порядке реализации преимущественного права на выкуп имущества, переданного в соответствии с концессионным соглашением.</w:t>
      </w:r>
      <w:r>
        <w:rPr>
          <w:rFonts w:ascii="Times New Roman" w:hAnsi="Times New Roman" w:cs="Times New Roman"/>
        </w:rPr>
      </w:r>
      <w:r>
        <w:rPr>
          <w:rFonts w:ascii="Times New Roman" w:hAnsi="Times New Roman" w:cs="Times New Roman"/>
        </w:rPr>
      </w:r>
    </w:p>
    <w:p>
      <w:pPr>
        <w:ind w:firstLine="680"/>
        <w:rPr>
          <w:sz w:val="24"/>
          <w:szCs w:val="24"/>
        </w:rPr>
      </w:pPr>
      <w:r>
        <w:rPr>
          <w:sz w:val="24"/>
          <w:szCs w:val="24"/>
        </w:rPr>
      </w:r>
      <w:r>
        <w:rPr>
          <w:sz w:val="24"/>
          <w:szCs w:val="24"/>
        </w:rPr>
      </w:r>
      <w:r>
        <w:rPr>
          <w:sz w:val="24"/>
          <w:szCs w:val="24"/>
        </w:rPr>
      </w:r>
    </w:p>
    <w:p>
      <w:pPr>
        <w:pStyle w:val="959"/>
        <w:ind w:firstLine="680"/>
        <w:jc w:val="center"/>
        <w:rPr>
          <w:rFonts w:ascii="Times New Roman" w:hAnsi="Times New Roman" w:cs="Times New Roman"/>
        </w:rPr>
      </w:pPr>
      <w:r/>
      <w:bookmarkStart w:id="91" w:name="sub_11500"/>
      <w:r>
        <w:rPr>
          <w:rStyle w:val="951"/>
          <w:rFonts w:ascii="Times New Roman" w:hAnsi="Times New Roman" w:cs="Times New Roman"/>
        </w:rPr>
        <w:t xml:space="preserve">XV</w:t>
      </w:r>
      <w:r>
        <w:rPr>
          <w:rStyle w:val="951"/>
          <w:rFonts w:ascii="Times New Roman" w:hAnsi="Times New Roman" w:cs="Times New Roman"/>
          <w:lang w:val="en-US"/>
        </w:rPr>
        <w:t xml:space="preserve">III</w:t>
      </w:r>
      <w:r>
        <w:rPr>
          <w:rStyle w:val="951"/>
          <w:rFonts w:ascii="Times New Roman" w:hAnsi="Times New Roman" w:cs="Times New Roman"/>
        </w:rPr>
        <w:t xml:space="preserve">. Прекращение Соглашения</w:t>
      </w:r>
      <w:r>
        <w:rPr>
          <w:rFonts w:ascii="Times New Roman" w:hAnsi="Times New Roman" w:cs="Times New Roman"/>
        </w:rPr>
      </w:r>
      <w:r>
        <w:rPr>
          <w:rFonts w:ascii="Times New Roman" w:hAnsi="Times New Roman" w:cs="Times New Roman"/>
        </w:rPr>
      </w:r>
    </w:p>
    <w:p>
      <w:pPr>
        <w:pStyle w:val="959"/>
        <w:ind w:firstLine="680"/>
        <w:jc w:val="both"/>
        <w:rPr>
          <w:rFonts w:ascii="Times New Roman" w:hAnsi="Times New Roman" w:cs="Times New Roman"/>
        </w:rPr>
      </w:pPr>
      <w:r/>
      <w:bookmarkStart w:id="92" w:name="sub_115108"/>
      <w:r/>
      <w:bookmarkEnd w:id="91"/>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Настоящее Соглашение прекращается:</w:t>
      </w:r>
      <w:bookmarkEnd w:id="92"/>
      <w:r>
        <w:rPr>
          <w:rFonts w:ascii="Times New Roman" w:hAnsi="Times New Roman" w:cs="Times New Roman"/>
        </w:rPr>
      </w:r>
      <w:r>
        <w:rPr>
          <w:rFonts w:ascii="Times New Roman" w:hAnsi="Times New Roman" w:cs="Times New Roman"/>
        </w:rPr>
      </w:r>
    </w:p>
    <w:p>
      <w:pPr>
        <w:pStyle w:val="959"/>
        <w:ind w:firstLine="680"/>
        <w:jc w:val="both"/>
        <w:rPr>
          <w:rFonts w:ascii="Times New Roman" w:hAnsi="Times New Roman" w:cs="Times New Roman"/>
        </w:rPr>
      </w:pPr>
      <w:r>
        <w:rPr>
          <w:rFonts w:ascii="Times New Roman" w:hAnsi="Times New Roman" w:cs="Times New Roman"/>
        </w:rPr>
        <w:t xml:space="preserve">а) по истечении срока действия;</w:t>
      </w:r>
      <w:r>
        <w:rPr>
          <w:rFonts w:ascii="Times New Roman" w:hAnsi="Times New Roman" w:cs="Times New Roman"/>
        </w:rPr>
      </w:r>
      <w:r>
        <w:rPr>
          <w:rFonts w:ascii="Times New Roman" w:hAnsi="Times New Roman" w:cs="Times New Roman"/>
        </w:rPr>
      </w:r>
    </w:p>
    <w:p>
      <w:pPr>
        <w:pStyle w:val="959"/>
        <w:ind w:firstLine="680"/>
        <w:jc w:val="both"/>
        <w:rPr>
          <w:rFonts w:ascii="Times New Roman" w:hAnsi="Times New Roman" w:cs="Times New Roman"/>
        </w:rPr>
      </w:pPr>
      <w:r>
        <w:rPr>
          <w:rFonts w:ascii="Times New Roman" w:hAnsi="Times New Roman" w:cs="Times New Roman"/>
        </w:rPr>
        <w:t xml:space="preserve">б) по соглашению Сторон;</w:t>
      </w:r>
      <w:r>
        <w:rPr>
          <w:rFonts w:ascii="Times New Roman" w:hAnsi="Times New Roman" w:cs="Times New Roman"/>
        </w:rPr>
      </w:r>
      <w:r>
        <w:rPr>
          <w:rFonts w:ascii="Times New Roman" w:hAnsi="Times New Roman" w:cs="Times New Roman"/>
        </w:rPr>
      </w:r>
    </w:p>
    <w:p>
      <w:pPr>
        <w:pStyle w:val="959"/>
        <w:ind w:firstLine="680"/>
        <w:jc w:val="both"/>
        <w:rPr>
          <w:rFonts w:ascii="Times New Roman" w:hAnsi="Times New Roman" w:cs="Times New Roman"/>
        </w:rPr>
      </w:pPr>
      <w:r>
        <w:rPr>
          <w:rFonts w:ascii="Times New Roman" w:hAnsi="Times New Roman" w:cs="Times New Roman"/>
        </w:rPr>
        <w:t xml:space="preserve">в) на основании судебного решения о его досрочном расторжении.</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bookmarkStart w:id="93" w:name="sub_115109"/>
      <w:r>
        <w:rPr>
          <w:rFonts w:ascii="Times New Roman" w:hAnsi="Times New Roman" w:cs="Times New Roman"/>
        </w:rPr>
        <w:t xml:space="preserve">Настоящее Соглашение может быть расторгнуто досрочно на</w:t>
      </w:r>
      <w:bookmarkEnd w:id="93"/>
      <w:r>
        <w:rPr>
          <w:rFonts w:ascii="Times New Roman" w:hAnsi="Times New Roman" w:cs="Times New Roman"/>
        </w:rPr>
        <w:t xml:space="preserve"> основании решения суда по треб</w:t>
      </w:r>
      <w:r>
        <w:rPr>
          <w:rFonts w:ascii="Times New Roman" w:hAnsi="Times New Roman" w:cs="Times New Roman"/>
        </w:rPr>
        <w:t xml:space="preserve">ованию одной из Сторон в случае существенного нарушения другой Стороной условий настоящего Соглашения, существенного изменения обстоятельств, из которых Стороны исходили при его заключении, а также по иным основаниям, предусмотренным федеральными законами.</w:t>
      </w:r>
      <w:bookmarkStart w:id="94" w:name="sub_115110"/>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К существенным нарушениям Концессионером условий настоящего</w:t>
      </w:r>
      <w:bookmarkEnd w:id="94"/>
      <w:r>
        <w:rPr>
          <w:rFonts w:ascii="Times New Roman" w:hAnsi="Times New Roman" w:cs="Times New Roman"/>
        </w:rPr>
        <w:t xml:space="preserve"> Соглашения относятся:</w:t>
      </w:r>
      <w:r>
        <w:rPr>
          <w:rFonts w:ascii="Times New Roman" w:hAnsi="Times New Roman" w:cs="Times New Roman"/>
        </w:rPr>
      </w:r>
      <w:r>
        <w:rPr>
          <w:rFonts w:ascii="Times New Roman" w:hAnsi="Times New Roman" w:cs="Times New Roman"/>
        </w:rPr>
      </w:r>
    </w:p>
    <w:p>
      <w:pPr>
        <w:pStyle w:val="959"/>
        <w:ind w:firstLine="680"/>
        <w:jc w:val="both"/>
        <w:rPr>
          <w:rFonts w:ascii="Times New Roman" w:hAnsi="Times New Roman" w:cs="Times New Roman"/>
        </w:rPr>
      </w:pPr>
      <w:r>
        <w:rPr>
          <w:rFonts w:ascii="Times New Roman" w:hAnsi="Times New Roman" w:cs="Times New Roman"/>
        </w:rPr>
        <w:t xml:space="preserve">а) нарушение установленных пунктом 55 настоящего Соглашения сроков реконструкции объекта Соглашения более чем на 120 календарных дней;</w:t>
      </w:r>
      <w:r>
        <w:rPr>
          <w:rFonts w:ascii="Times New Roman" w:hAnsi="Times New Roman" w:cs="Times New Roman"/>
        </w:rPr>
      </w:r>
      <w:r>
        <w:rPr>
          <w:rFonts w:ascii="Times New Roman" w:hAnsi="Times New Roman" w:cs="Times New Roman"/>
        </w:rPr>
      </w:r>
    </w:p>
    <w:p>
      <w:pPr>
        <w:pStyle w:val="959"/>
        <w:ind w:firstLine="680"/>
        <w:jc w:val="both"/>
        <w:rPr>
          <w:rFonts w:ascii="Times New Roman" w:hAnsi="Times New Roman" w:cs="Times New Roman"/>
        </w:rPr>
      </w:pPr>
      <w:r>
        <w:rPr>
          <w:rFonts w:ascii="Times New Roman" w:hAnsi="Times New Roman" w:cs="Times New Roman"/>
        </w:rPr>
        <w:t xml:space="preserve">б) нарушение сроков исполнения обязательств, установленных пунктом 58 настоящего Соглашения, более чем на 120 календарных дней;</w:t>
      </w:r>
      <w:r>
        <w:rPr>
          <w:rFonts w:ascii="Times New Roman" w:hAnsi="Times New Roman" w:cs="Times New Roman"/>
        </w:rPr>
      </w:r>
      <w:r>
        <w:rPr>
          <w:rFonts w:ascii="Times New Roman" w:hAnsi="Times New Roman" w:cs="Times New Roman"/>
        </w:rPr>
      </w:r>
    </w:p>
    <w:p>
      <w:pPr>
        <w:pStyle w:val="959"/>
        <w:ind w:firstLine="680"/>
        <w:jc w:val="both"/>
        <w:rPr>
          <w:rFonts w:ascii="Times New Roman" w:hAnsi="Times New Roman" w:cs="Times New Roman"/>
        </w:rPr>
      </w:pPr>
      <w:r>
        <w:rPr>
          <w:rFonts w:ascii="Times New Roman" w:hAnsi="Times New Roman" w:cs="Times New Roman"/>
        </w:rPr>
        <w:t xml:space="preserve">в) использование (эксплуатация) объекта Соглашения в целях, не установленных настоящим Соглашением;</w:t>
      </w:r>
      <w:r>
        <w:rPr>
          <w:rFonts w:ascii="Times New Roman" w:hAnsi="Times New Roman" w:cs="Times New Roman"/>
        </w:rPr>
      </w:r>
      <w:r>
        <w:rPr>
          <w:rFonts w:ascii="Times New Roman" w:hAnsi="Times New Roman" w:cs="Times New Roman"/>
        </w:rPr>
      </w:r>
    </w:p>
    <w:p>
      <w:pPr>
        <w:pStyle w:val="959"/>
        <w:ind w:firstLine="680"/>
        <w:jc w:val="both"/>
        <w:rPr>
          <w:rFonts w:ascii="Times New Roman" w:hAnsi="Times New Roman" w:cs="Times New Roman"/>
        </w:rPr>
      </w:pPr>
      <w:r>
        <w:rPr>
          <w:rFonts w:ascii="Times New Roman" w:hAnsi="Times New Roman" w:cs="Times New Roman"/>
        </w:rPr>
        <w:t xml:space="preserve">г) нарушение установленных настоящим Соглашением порядка распоряжения объектом Соглашения, порядка использования (эксплуатации) объекта Соглашения;</w:t>
      </w:r>
      <w:r>
        <w:rPr>
          <w:rFonts w:ascii="Times New Roman" w:hAnsi="Times New Roman" w:cs="Times New Roman"/>
        </w:rPr>
      </w:r>
      <w:r>
        <w:rPr>
          <w:rFonts w:ascii="Times New Roman" w:hAnsi="Times New Roman" w:cs="Times New Roman"/>
        </w:rPr>
      </w:r>
    </w:p>
    <w:p>
      <w:pPr>
        <w:pStyle w:val="959"/>
        <w:ind w:firstLine="680"/>
        <w:jc w:val="both"/>
        <w:rPr>
          <w:rFonts w:ascii="Times New Roman" w:hAnsi="Times New Roman" w:cs="Times New Roman"/>
        </w:rPr>
      </w:pPr>
      <w:r>
        <w:rPr>
          <w:rFonts w:ascii="Times New Roman" w:hAnsi="Times New Roman" w:cs="Times New Roman"/>
        </w:rPr>
        <w:t xml:space="preserve">д) неисполнение или ненадлежащее исполнение Концессионером обязательств, указанных в </w:t>
      </w:r>
      <w:hyperlink w:tooltip="#sub_1700" w:anchor="sub_1700" w:history="1">
        <w:r>
          <w:rPr>
            <w:rStyle w:val="952"/>
            <w:rFonts w:ascii="Times New Roman" w:hAnsi="Times New Roman"/>
          </w:rPr>
          <w:t xml:space="preserve">разделе VII</w:t>
        </w:r>
      </w:hyperlink>
      <w:r>
        <w:rPr>
          <w:rFonts w:ascii="Times New Roman" w:hAnsi="Times New Roman" w:cs="Times New Roman"/>
        </w:rPr>
        <w:t xml:space="preserve"> настоящего Соглашения, в том числе прекращение или приостановление Концессионером соответствующей деятельности без согласия Концедента;</w:t>
      </w:r>
      <w:r>
        <w:rPr>
          <w:rFonts w:ascii="Times New Roman" w:hAnsi="Times New Roman" w:cs="Times New Roman"/>
        </w:rPr>
      </w:r>
      <w:r>
        <w:rPr>
          <w:rFonts w:ascii="Times New Roman" w:hAnsi="Times New Roman" w:cs="Times New Roman"/>
        </w:rPr>
      </w:r>
    </w:p>
    <w:p>
      <w:pPr>
        <w:pStyle w:val="959"/>
        <w:ind w:firstLine="680"/>
        <w:jc w:val="both"/>
        <w:rPr>
          <w:rFonts w:ascii="Times New Roman" w:hAnsi="Times New Roman" w:cs="Times New Roman"/>
        </w:rPr>
      </w:pPr>
      <w:r>
        <w:rPr>
          <w:rFonts w:ascii="Times New Roman" w:hAnsi="Times New Roman" w:cs="Times New Roman"/>
        </w:rPr>
        <w:t xml:space="preserve">е) неисполнение или нен</w:t>
      </w:r>
      <w:r>
        <w:rPr>
          <w:rFonts w:ascii="Times New Roman" w:hAnsi="Times New Roman" w:cs="Times New Roman"/>
        </w:rPr>
        <w:t xml:space="preserve">адлежащее исполнение Концессионером обязательств по предоставлению потребителям услуг теплоснабжения и горячего водоснабжения, в том числе несоответствие их качества требованиям, установленным законодательством Российской Федерации и настоящим Соглашением;</w:t>
      </w:r>
      <w:r>
        <w:rPr>
          <w:rFonts w:ascii="Times New Roman" w:hAnsi="Times New Roman" w:cs="Times New Roman"/>
        </w:rPr>
      </w:r>
      <w:r>
        <w:rPr>
          <w:rFonts w:ascii="Times New Roman" w:hAnsi="Times New Roman" w:cs="Times New Roman"/>
        </w:rPr>
      </w:r>
    </w:p>
    <w:p>
      <w:pPr>
        <w:pStyle w:val="959"/>
        <w:ind w:firstLine="680"/>
        <w:jc w:val="both"/>
        <w:rPr>
          <w:rFonts w:ascii="Times New Roman" w:hAnsi="Times New Roman" w:cs="Times New Roman"/>
        </w:rPr>
      </w:pPr>
      <w:r>
        <w:rPr>
          <w:rFonts w:ascii="Times New Roman" w:hAnsi="Times New Roman" w:cs="Times New Roman"/>
        </w:rPr>
        <w:t xml:space="preserve">ж) неисполнение или ненадлежащее исполнение Концессионером обязательств, указанных в пункте 35 настоящего Соглашения;</w:t>
      </w:r>
      <w:r>
        <w:rPr>
          <w:rFonts w:ascii="Times New Roman" w:hAnsi="Times New Roman" w:cs="Times New Roman"/>
        </w:rPr>
      </w:r>
      <w:r>
        <w:rPr>
          <w:rFonts w:ascii="Times New Roman" w:hAnsi="Times New Roman" w:cs="Times New Roman"/>
        </w:rPr>
      </w:r>
    </w:p>
    <w:p>
      <w:pPr>
        <w:pStyle w:val="943"/>
        <w:ind w:left="0" w:firstLine="680"/>
        <w:jc w:val="both"/>
        <w:rPr>
          <w:sz w:val="24"/>
          <w:szCs w:val="24"/>
          <w:lang w:val="ru-RU"/>
        </w:rPr>
      </w:pPr>
      <w:r>
        <w:rPr>
          <w:sz w:val="24"/>
          <w:szCs w:val="24"/>
          <w:lang w:val="ru-RU"/>
        </w:rPr>
        <w:t xml:space="preserve">з) нарушение, приводящее к причинению значительного ущерба Концеденту, неисполнение концессионером обязательств по осуществлению деятельности, предусмотренной концессионным соглашением;</w:t>
      </w:r>
      <w:r>
        <w:rPr>
          <w:sz w:val="24"/>
          <w:szCs w:val="24"/>
          <w:lang w:val="ru-RU"/>
        </w:rPr>
      </w:r>
      <w:r>
        <w:rPr>
          <w:sz w:val="24"/>
          <w:szCs w:val="24"/>
          <w:lang w:val="ru-RU"/>
        </w:rPr>
      </w:r>
    </w:p>
    <w:p>
      <w:pPr>
        <w:pStyle w:val="943"/>
        <w:ind w:left="0" w:firstLine="680"/>
        <w:jc w:val="both"/>
        <w:rPr>
          <w:sz w:val="24"/>
          <w:szCs w:val="24"/>
          <w:lang w:val="ru-RU"/>
        </w:rPr>
      </w:pPr>
      <w:r>
        <w:rPr>
          <w:sz w:val="24"/>
          <w:szCs w:val="24"/>
          <w:lang w:val="ru-RU"/>
        </w:rPr>
        <w:t xml:space="preserve">и) прекращение или приостановление концессионером деятельности, предусмотренной концессионным соглашением, без согласия Концедента, за исключением случаев, предусмотренных действующим законодательством.</w:t>
      </w:r>
      <w:r>
        <w:rPr>
          <w:sz w:val="24"/>
          <w:szCs w:val="24"/>
          <w:lang w:val="ru-RU"/>
        </w:rPr>
      </w:r>
      <w:r>
        <w:rPr>
          <w:sz w:val="24"/>
          <w:szCs w:val="24"/>
          <w:lang w:val="ru-RU"/>
        </w:rPr>
      </w:r>
    </w:p>
    <w:p>
      <w:pPr>
        <w:pStyle w:val="943"/>
        <w:numPr>
          <w:ilvl w:val="0"/>
          <w:numId w:val="2"/>
        </w:numPr>
        <w:contextualSpacing w:val="0"/>
        <w:ind w:left="0" w:firstLine="680"/>
        <w:jc w:val="both"/>
        <w:widowControl w:val="off"/>
        <w:rPr>
          <w:sz w:val="24"/>
          <w:szCs w:val="24"/>
          <w:lang w:val="ru-RU"/>
        </w:rPr>
      </w:pPr>
      <w:r/>
      <w:bookmarkStart w:id="95" w:name="sub_115111"/>
      <w:r>
        <w:rPr>
          <w:sz w:val="24"/>
          <w:szCs w:val="24"/>
          <w:lang w:val="ru-RU"/>
        </w:rPr>
        <w:t xml:space="preserve">К существенным нарушениям Концедентом условий настоящего Соглашения относится:</w:t>
      </w:r>
      <w:r>
        <w:rPr>
          <w:sz w:val="24"/>
          <w:szCs w:val="24"/>
          <w:lang w:val="ru-RU"/>
        </w:rPr>
      </w:r>
      <w:r>
        <w:rPr>
          <w:sz w:val="24"/>
          <w:szCs w:val="24"/>
          <w:lang w:val="ru-RU"/>
        </w:rPr>
      </w:r>
    </w:p>
    <w:p>
      <w:pPr>
        <w:pStyle w:val="943"/>
        <w:ind w:left="0" w:firstLine="680"/>
        <w:jc w:val="both"/>
        <w:rPr>
          <w:sz w:val="24"/>
          <w:szCs w:val="24"/>
          <w:lang w:val="ru-RU"/>
        </w:rPr>
      </w:pPr>
      <w:r>
        <w:rPr>
          <w:sz w:val="24"/>
          <w:szCs w:val="24"/>
          <w:lang w:val="ru-RU"/>
        </w:rPr>
        <w:t xml:space="preserve">а) неисполнение или ненадлежащее исполнение Концедентом обязательств, установленных пунктами 23, 38 настоящего Соглашения;</w:t>
      </w:r>
      <w:r>
        <w:rPr>
          <w:sz w:val="24"/>
          <w:szCs w:val="24"/>
          <w:lang w:val="ru-RU"/>
        </w:rPr>
      </w:r>
      <w:r>
        <w:rPr>
          <w:sz w:val="24"/>
          <w:szCs w:val="24"/>
          <w:lang w:val="ru-RU"/>
        </w:rPr>
      </w:r>
    </w:p>
    <w:p>
      <w:pPr>
        <w:pStyle w:val="943"/>
        <w:ind w:left="0" w:firstLine="680"/>
        <w:jc w:val="both"/>
        <w:rPr>
          <w:sz w:val="24"/>
          <w:szCs w:val="24"/>
          <w:lang w:val="ru-RU"/>
        </w:rPr>
      </w:pPr>
      <w:r>
        <w:rPr>
          <w:sz w:val="24"/>
          <w:szCs w:val="24"/>
          <w:lang w:val="ru-RU"/>
        </w:rPr>
        <w:t xml:space="preserve">б)</w:t>
      </w:r>
      <w:r>
        <w:rPr>
          <w:sz w:val="24"/>
          <w:szCs w:val="24"/>
          <w:shd w:val="clear" w:color="auto" w:fill="ffffff"/>
          <w:lang w:val="ru-RU"/>
        </w:rPr>
        <w:t xml:space="preserve"> </w:t>
      </w:r>
      <w:r>
        <w:rPr>
          <w:sz w:val="24"/>
          <w:szCs w:val="24"/>
          <w:lang w:val="ru-RU"/>
        </w:rPr>
        <w:t xml:space="preserve">передача Концессионеру объекта Соглашения, не соответствующего условиям Соглашения (в том числе описанию, технико-экономическим показателям, назначению</w:t>
      </w:r>
      <w:r>
        <w:rPr>
          <w:sz w:val="24"/>
          <w:szCs w:val="24"/>
          <w:lang w:val="ru-RU"/>
        </w:rPr>
        <w:t xml:space="preserve"> объекта Соглашения), в случае, если такое несоответствие выявлено в течение одного года с момента подписания сторонами Соглашения акта приема-передачи объекта Соглашения, не могло быть выявлено при его передаче Концессионеру и возникло по вине Концедента.</w:t>
      </w:r>
      <w:r>
        <w:rPr>
          <w:sz w:val="24"/>
          <w:szCs w:val="24"/>
          <w:lang w:val="ru-RU"/>
        </w:rPr>
      </w:r>
      <w:r>
        <w:rPr>
          <w:sz w:val="24"/>
          <w:szCs w:val="24"/>
          <w:lang w:val="ru-RU"/>
        </w:rPr>
      </w:r>
    </w:p>
    <w:p>
      <w:pPr>
        <w:pStyle w:val="943"/>
        <w:numPr>
          <w:ilvl w:val="0"/>
          <w:numId w:val="2"/>
        </w:numPr>
        <w:contextualSpacing w:val="0"/>
        <w:ind w:left="0" w:firstLine="680"/>
        <w:jc w:val="both"/>
        <w:widowControl w:val="off"/>
        <w:rPr>
          <w:sz w:val="24"/>
          <w:szCs w:val="24"/>
          <w:lang w:val="ru-RU"/>
        </w:rPr>
      </w:pPr>
      <w:r>
        <w:rPr>
          <w:sz w:val="24"/>
          <w:szCs w:val="24"/>
          <w:shd w:val="clear" w:color="auto" w:fill="ffffff"/>
          <w:lang w:val="ru-RU"/>
        </w:rPr>
        <w:t xml:space="preserve"> </w:t>
      </w:r>
      <w:r>
        <w:rPr>
          <w:sz w:val="24"/>
          <w:szCs w:val="24"/>
          <w:lang w:val="ru-RU"/>
        </w:rPr>
        <w:t xml:space="preserve">В случае неисполнения или ненадлежащего исполнения стороной настоящего Соглаш</w:t>
      </w:r>
      <w:r>
        <w:rPr>
          <w:sz w:val="24"/>
          <w:szCs w:val="24"/>
          <w:lang w:val="ru-RU"/>
        </w:rPr>
        <w:t xml:space="preserve">ения своего обязательства по Соглашению другая сторона Соглашения направляет ей предупреждение в письменной форме о необходимости исполнения такого обязательства в течение 30 календарных дней, ответ на которое Сторона должна дать в письменной форме в течен</w:t>
      </w:r>
      <w:r>
        <w:rPr>
          <w:sz w:val="24"/>
          <w:szCs w:val="24"/>
          <w:lang w:val="ru-RU"/>
        </w:rPr>
        <w:t xml:space="preserve">ие 10 календарных дней с момента получения. Требование об изменении или о досрочном расторжении Соглашения может быть заявлено в суд другой стороной Соглашения только в случае, если в указанный срок такое обязательство не было исполнено надлежащим образом.</w:t>
      </w:r>
      <w:r>
        <w:rPr>
          <w:sz w:val="24"/>
          <w:szCs w:val="24"/>
          <w:lang w:val="ru-RU"/>
        </w:rPr>
      </w:r>
      <w:r>
        <w:rPr>
          <w:sz w:val="24"/>
          <w:szCs w:val="24"/>
          <w:lang w:val="ru-RU"/>
        </w:rPr>
      </w:r>
    </w:p>
    <w:p>
      <w:pPr>
        <w:pStyle w:val="943"/>
        <w:numPr>
          <w:ilvl w:val="0"/>
          <w:numId w:val="2"/>
        </w:numPr>
        <w:contextualSpacing w:val="0"/>
        <w:ind w:left="0" w:firstLine="680"/>
        <w:jc w:val="both"/>
        <w:widowControl w:val="off"/>
        <w:rPr>
          <w:sz w:val="24"/>
          <w:szCs w:val="24"/>
          <w:lang w:val="ru-RU"/>
        </w:rPr>
      </w:pPr>
      <w:r>
        <w:rPr>
          <w:sz w:val="24"/>
          <w:szCs w:val="24"/>
          <w:lang w:val="ru-RU"/>
        </w:rPr>
        <w:t xml:space="preserve">Порядок возмещения расходов Сторон, подлежащих возмещению в соответствии с нормативными правовыми актами Российской Федерации в сфере теплоснабжения и не возмещенных ему на момент окончания срока действия Соглашения, </w:t>
      </w:r>
      <w:r>
        <w:rPr>
          <w:sz w:val="24"/>
          <w:szCs w:val="24"/>
          <w:lang w:val="ru-RU"/>
        </w:rPr>
        <w:t xml:space="preserve">приведен в Приложении № 9.</w:t>
      </w:r>
      <w:bookmarkEnd w:id="95"/>
      <w:r>
        <w:rPr>
          <w:sz w:val="24"/>
          <w:szCs w:val="24"/>
          <w:lang w:val="ru-RU"/>
        </w:rPr>
      </w:r>
      <w:r>
        <w:rPr>
          <w:sz w:val="24"/>
          <w:szCs w:val="24"/>
          <w:lang w:val="ru-RU"/>
        </w:rPr>
      </w:r>
    </w:p>
    <w:p>
      <w:pPr>
        <w:ind w:firstLine="680"/>
        <w:rPr>
          <w:sz w:val="24"/>
          <w:szCs w:val="24"/>
        </w:rPr>
      </w:pPr>
      <w:r>
        <w:rPr>
          <w:sz w:val="24"/>
          <w:szCs w:val="24"/>
        </w:rPr>
      </w:r>
      <w:r>
        <w:rPr>
          <w:sz w:val="24"/>
          <w:szCs w:val="24"/>
        </w:rPr>
      </w:r>
      <w:r>
        <w:rPr>
          <w:sz w:val="24"/>
          <w:szCs w:val="24"/>
        </w:rPr>
      </w:r>
    </w:p>
    <w:p>
      <w:pPr>
        <w:pStyle w:val="959"/>
        <w:ind w:firstLine="680"/>
        <w:jc w:val="center"/>
        <w:rPr>
          <w:rFonts w:ascii="Times New Roman" w:hAnsi="Times New Roman" w:cs="Times New Roman"/>
        </w:rPr>
      </w:pPr>
      <w:r/>
      <w:bookmarkStart w:id="96" w:name="sub_11600"/>
      <w:r>
        <w:rPr>
          <w:rStyle w:val="951"/>
          <w:rFonts w:ascii="Times New Roman" w:hAnsi="Times New Roman" w:cs="Times New Roman"/>
        </w:rPr>
        <w:t xml:space="preserve">X</w:t>
      </w:r>
      <w:r>
        <w:rPr>
          <w:rStyle w:val="951"/>
          <w:rFonts w:ascii="Times New Roman" w:hAnsi="Times New Roman" w:cs="Times New Roman"/>
          <w:lang w:val="en-US"/>
        </w:rPr>
        <w:t xml:space="preserve">IX</w:t>
      </w:r>
      <w:r>
        <w:rPr>
          <w:rStyle w:val="951"/>
          <w:rFonts w:ascii="Times New Roman" w:hAnsi="Times New Roman" w:cs="Times New Roman"/>
        </w:rPr>
        <w:t xml:space="preserve">. Разрешение споров</w:t>
      </w:r>
      <w:bookmarkStart w:id="97" w:name="sub_116112"/>
      <w:r/>
      <w:bookmarkEnd w:id="96"/>
      <w:r>
        <w:rPr>
          <w:rFonts w:ascii="Times New Roman" w:hAnsi="Times New Roman" w:cs="Times New Roman"/>
        </w:rPr>
      </w:r>
      <w:r>
        <w:rPr>
          <w:rFonts w:ascii="Times New Roman" w:hAnsi="Times New Roman" w:cs="Times New Roman"/>
        </w:rPr>
      </w:r>
    </w:p>
    <w:p>
      <w:pPr>
        <w:ind w:firstLine="680"/>
        <w:rPr>
          <w:sz w:val="24"/>
          <w:szCs w:val="24"/>
        </w:rPr>
      </w:pPr>
      <w:r>
        <w:rPr>
          <w:sz w:val="24"/>
          <w:szCs w:val="24"/>
        </w:rPr>
      </w:r>
      <w:r>
        <w:rPr>
          <w:sz w:val="24"/>
          <w:szCs w:val="24"/>
        </w:rPr>
      </w:r>
      <w:r>
        <w:rPr>
          <w:sz w:val="24"/>
          <w:szCs w:val="24"/>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Все споры и разногласия, которые могут возникнуть между</w:t>
      </w:r>
      <w:bookmarkEnd w:id="97"/>
      <w:r>
        <w:rPr>
          <w:rFonts w:ascii="Times New Roman" w:hAnsi="Times New Roman" w:cs="Times New Roman"/>
        </w:rPr>
        <w:t xml:space="preserve"> Сторонами по настоящему Соглашению или в связи с ним, разрешаются путем переговоров.</w:t>
      </w:r>
      <w:bookmarkStart w:id="98" w:name="sub_116113"/>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В случае не достижения согласия в результате проведенных</w:t>
      </w:r>
      <w:bookmarkEnd w:id="98"/>
      <w:r>
        <w:rPr>
          <w:rFonts w:ascii="Times New Roman" w:hAnsi="Times New Roman" w:cs="Times New Roman"/>
        </w:rPr>
        <w:t xml:space="preserve"> переговоров Сторона, заявляющая о существовании спора или разногласий по</w:t>
      </w:r>
      <w:r>
        <w:rPr>
          <w:rFonts w:ascii="Times New Roman" w:hAnsi="Times New Roman" w:cs="Times New Roman"/>
        </w:rPr>
        <w:t xml:space="preserve"> настоящему Соглашению, направляет другой Стороне письменную претензию, ответ на которую должен быть представлен заявителю в течение 30 календарных дней с даты ее получения. В случае если ответ не представлен в указанный срок, претензия считается принятой.</w:t>
      </w:r>
      <w:bookmarkStart w:id="99" w:name="sub_116114"/>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В случае не достижения Сторонами согласия споры, возникшие между</w:t>
      </w:r>
      <w:bookmarkEnd w:id="99"/>
      <w:r>
        <w:rPr>
          <w:rFonts w:ascii="Times New Roman" w:hAnsi="Times New Roman" w:cs="Times New Roman"/>
        </w:rPr>
        <w:t xml:space="preserve"> Сторонами, разрешаются в соответствии с законодательством Российской Федерации.</w:t>
      </w:r>
      <w:r>
        <w:rPr>
          <w:rFonts w:ascii="Times New Roman" w:hAnsi="Times New Roman" w:cs="Times New Roman"/>
        </w:rPr>
      </w:r>
      <w:r>
        <w:rPr>
          <w:rFonts w:ascii="Times New Roman" w:hAnsi="Times New Roman" w:cs="Times New Roman"/>
        </w:rPr>
      </w:r>
    </w:p>
    <w:p>
      <w:pPr>
        <w:rPr>
          <w:sz w:val="24"/>
          <w:szCs w:val="24"/>
        </w:rPr>
      </w:pPr>
      <w:r/>
      <w:bookmarkStart w:id="100" w:name="sub_11700"/>
      <w:r>
        <w:rPr>
          <w:sz w:val="24"/>
          <w:szCs w:val="24"/>
        </w:rPr>
      </w:r>
      <w:r>
        <w:rPr>
          <w:sz w:val="24"/>
          <w:szCs w:val="24"/>
        </w:rPr>
      </w:r>
    </w:p>
    <w:p>
      <w:pPr>
        <w:pStyle w:val="959"/>
        <w:ind w:firstLine="680"/>
        <w:jc w:val="center"/>
        <w:rPr>
          <w:rStyle w:val="951"/>
          <w:rFonts w:ascii="Times New Roman" w:hAnsi="Times New Roman" w:cs="Times New Roman"/>
          <w:bCs/>
        </w:rPr>
      </w:pPr>
      <w:r>
        <w:rPr>
          <w:rStyle w:val="951"/>
          <w:rFonts w:ascii="Times New Roman" w:hAnsi="Times New Roman" w:cs="Times New Roman"/>
        </w:rPr>
        <w:t xml:space="preserve">XX</w:t>
      </w:r>
      <w:r>
        <w:rPr>
          <w:rStyle w:val="951"/>
          <w:rFonts w:ascii="Times New Roman" w:hAnsi="Times New Roman" w:cs="Times New Roman"/>
          <w:lang w:val="en-US"/>
        </w:rPr>
        <w:t xml:space="preserve">I</w:t>
      </w:r>
      <w:r>
        <w:rPr>
          <w:rStyle w:val="951"/>
          <w:rFonts w:ascii="Times New Roman" w:hAnsi="Times New Roman" w:cs="Times New Roman"/>
        </w:rPr>
        <w:t xml:space="preserve">. Объем инвестиций в </w:t>
      </w:r>
      <w:r>
        <w:rPr>
          <w:rStyle w:val="951"/>
          <w:rFonts w:ascii="Times New Roman" w:hAnsi="Times New Roman" w:cs="Times New Roman"/>
          <w:bCs/>
        </w:rPr>
      </w:r>
      <w:r>
        <w:rPr>
          <w:rStyle w:val="951"/>
          <w:rFonts w:ascii="Times New Roman" w:hAnsi="Times New Roman" w:cs="Times New Roman"/>
          <w:bCs/>
        </w:rPr>
      </w:r>
    </w:p>
    <w:p>
      <w:pPr>
        <w:pStyle w:val="959"/>
        <w:ind w:firstLine="680"/>
        <w:jc w:val="center"/>
        <w:rPr>
          <w:rStyle w:val="951"/>
          <w:rFonts w:ascii="Times New Roman" w:hAnsi="Times New Roman" w:cs="Times New Roman"/>
        </w:rPr>
      </w:pPr>
      <w:r>
        <w:rPr>
          <w:rStyle w:val="951"/>
          <w:rFonts w:ascii="Times New Roman" w:hAnsi="Times New Roman" w:cs="Times New Roman"/>
        </w:rPr>
        <w:t xml:space="preserve">реконструкцию объекта концессионного соглашения</w:t>
      </w:r>
      <w:bookmarkStart w:id="101" w:name="sub_117115"/>
      <w:r/>
      <w:bookmarkEnd w:id="100"/>
      <w:r>
        <w:rPr>
          <w:rStyle w:val="951"/>
          <w:rFonts w:ascii="Times New Roman" w:hAnsi="Times New Roman" w:cs="Times New Roman"/>
        </w:rPr>
        <w:t xml:space="preserve">. Софинансирование Концедентом расходов на реконструкцию объекта концессионного соглашения</w:t>
      </w:r>
      <w:r>
        <w:rPr>
          <w:rStyle w:val="951"/>
          <w:rFonts w:ascii="Times New Roman" w:hAnsi="Times New Roman" w:cs="Times New Roman"/>
        </w:rPr>
      </w:r>
      <w:r>
        <w:rPr>
          <w:rStyle w:val="951"/>
          <w:rFonts w:ascii="Times New Roman" w:hAnsi="Times New Roman" w:cs="Times New Roman"/>
        </w:rPr>
      </w:r>
    </w:p>
    <w:p>
      <w:pPr>
        <w:rPr>
          <w:sz w:val="24"/>
          <w:szCs w:val="24"/>
          <w:highlight w:val="yellow"/>
        </w:rPr>
      </w:pPr>
      <w:r>
        <w:rPr>
          <w:sz w:val="24"/>
          <w:szCs w:val="24"/>
          <w:highlight w:val="yellow"/>
        </w:rPr>
      </w:r>
      <w:r>
        <w:rPr>
          <w:sz w:val="24"/>
          <w:szCs w:val="24"/>
          <w:highlight w:val="yellow"/>
        </w:rPr>
      </w:r>
      <w:r>
        <w:rPr>
          <w:sz w:val="24"/>
          <w:szCs w:val="24"/>
          <w:highlight w:val="yellow"/>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Объем инвестиций за весь период действия настоящего Соглашения составляет </w:t>
      </w:r>
      <w:r>
        <w:rPr>
          <w:rFonts w:ascii="Times New Roman" w:hAnsi="Times New Roman" w:cs="Times New Roman"/>
          <w:b/>
          <w:u w:val="single"/>
        </w:rPr>
        <w:t xml:space="preserve">не более 325 902 702,10 руб.</w:t>
      </w:r>
      <w:r>
        <w:rPr>
          <w:rFonts w:ascii="Times New Roman" w:hAnsi="Times New Roman" w:cs="Times New Roman"/>
        </w:rPr>
        <w:t xml:space="preserve"> (триста двадцать пять миллионов девятьсот две тысячи семьсот два рубля 10 коп.).</w:t>
      </w:r>
      <w:bookmarkEnd w:id="101"/>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Концедент обязуется осуществлять софинансирование расходов Концессионера на реконструкцию объекта Соглашения в форме </w:t>
      </w:r>
      <w:bookmarkStart w:id="102" w:name="_Hlk154653973"/>
      <w:r>
        <w:rPr>
          <w:rFonts w:ascii="Times New Roman" w:hAnsi="Times New Roman" w:cs="Times New Roman"/>
        </w:rPr>
        <w:t xml:space="preserve">Капитального гранта </w:t>
      </w:r>
      <w:bookmarkEnd w:id="102"/>
      <w:r>
        <w:rPr>
          <w:rFonts w:ascii="Times New Roman" w:hAnsi="Times New Roman" w:cs="Times New Roman"/>
        </w:rPr>
        <w:t xml:space="preserve">в размере </w:t>
      </w:r>
      <w:r>
        <w:rPr>
          <w:rFonts w:ascii="Times New Roman" w:hAnsi="Times New Roman" w:cs="Times New Roman"/>
          <w:b/>
          <w:u w:val="single"/>
        </w:rPr>
        <w:t xml:space="preserve">260 722 162,53 руб.</w:t>
      </w:r>
      <w:r>
        <w:rPr>
          <w:rFonts w:ascii="Times New Roman" w:hAnsi="Times New Roman" w:cs="Times New Roman"/>
        </w:rPr>
        <w:t xml:space="preserve"> (двести шестьдесят миллионов семьсот двадцать две тысячи сто шестьдесят два руб. 53 коп.).</w:t>
      </w:r>
      <w:r>
        <w:rPr>
          <w:rFonts w:ascii="Times New Roman" w:hAnsi="Times New Roman" w:cs="Times New Roman"/>
        </w:rPr>
      </w:r>
      <w:r>
        <w:rPr>
          <w:rFonts w:ascii="Times New Roman" w:hAnsi="Times New Roman" w:cs="Times New Roman"/>
        </w:rPr>
      </w:r>
    </w:p>
    <w:p>
      <w:pPr>
        <w:rPr>
          <w:sz w:val="24"/>
          <w:szCs w:val="24"/>
        </w:rPr>
      </w:pPr>
      <w:r>
        <w:rPr>
          <w:sz w:val="24"/>
          <w:szCs w:val="24"/>
        </w:rPr>
        <w:t xml:space="preserve">Капитальный грант предоставляется, в том числе за счет средств специального казначейского кредита.</w:t>
      </w:r>
      <w:r>
        <w:rPr>
          <w:sz w:val="24"/>
          <w:szCs w:val="24"/>
        </w:rPr>
      </w:r>
      <w:r>
        <w:rPr>
          <w:sz w:val="24"/>
          <w:szCs w:val="24"/>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Концедент принимает на себя часть расходов на </w:t>
      </w:r>
      <w:r>
        <w:rPr>
          <w:rStyle w:val="951"/>
          <w:rFonts w:ascii="Times New Roman" w:hAnsi="Times New Roman" w:cs="Times New Roman"/>
        </w:rPr>
        <w:t xml:space="preserve">реконструкцию о</w:t>
      </w:r>
      <w:r>
        <w:rPr>
          <w:rFonts w:ascii="Times New Roman" w:hAnsi="Times New Roman" w:cs="Times New Roman"/>
        </w:rPr>
        <w:t xml:space="preserve">бъекта Соглашения путем выплаты Концессионеру на этапе реконструкции объекта Соглашения платежей.</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Выплата Концедентом Концессионеру Капитального Гранта осуществляется в соответствии с порядком расчета размера и графиком выплаты Капитального гранта определенным Приложением № 18.</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Концессионер обязан обеспечить целевой характер расходования средств Капитального Гранта, указанный в Приложении № 18.</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Размер Капитального Гранта не подлежит индексации. Сумма Капитального гранта является твердой и включает в себя любые применимые налоги, подлежащие уплате в связи с выплатой Капитального гранта Концессионеру.</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В</w:t>
      </w:r>
      <w:r>
        <w:rPr>
          <w:rFonts w:ascii="Times New Roman" w:hAnsi="Times New Roman" w:cs="Times New Roman"/>
        </w:rPr>
        <w:t xml:space="preserve"> случае, если Концедент нарушает сроки выплаты Капитального гранта Концессионер вправе приостановить выполнение работ по реконструкции объекта Соглашения на срок, равный сроку задержки выплаты Капитального гранта. Нарушение Концессионером сроков реконструк</w:t>
      </w:r>
      <w:r>
        <w:rPr>
          <w:rFonts w:ascii="Times New Roman" w:hAnsi="Times New Roman" w:cs="Times New Roman"/>
        </w:rPr>
        <w:t xml:space="preserve">ции объекта Соглашения по причине нарушения Концедентом выплаты Капитального гранта не будет являться нарушением Концессионером своих обязательств по Концессионному соглашению. В этом случае никакие штрафные санкции на Концессионера не могут быть наложены.</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Капитальный грант </w:t>
      </w:r>
      <w:r>
        <w:rPr>
          <w:rFonts w:ascii="Times New Roman" w:hAnsi="Times New Roman" w:cs="Times New Roman"/>
        </w:rPr>
        <w:t xml:space="preserve">Концессионеру предоставляется в форме бюджетных инвестиций. Настоящим Концессионер выражает согласие на осуществление Концедентом и органами государственного финансового контроля обязательных проверок соблюдения Концессионером условий, цели и порядка их пр</w:t>
      </w:r>
      <w:r>
        <w:rPr>
          <w:rFonts w:ascii="Times New Roman" w:hAnsi="Times New Roman" w:cs="Times New Roman"/>
        </w:rPr>
        <w:t xml:space="preserve">едоставления, обязательство Концессионера включать в договоры (соглашения), заключенные в целях исполнения обязательств по Концессионному соглашению, условия о согласии лиц, являющихся поставщиками (подрядчиками, исполнителями) по договорам (соглашениям), </w:t>
      </w:r>
      <w:r>
        <w:rPr>
          <w:rFonts w:ascii="Times New Roman" w:hAnsi="Times New Roman" w:cs="Times New Roman"/>
        </w:rPr>
        <w:t xml:space="preserve">заключенным в целях исполнения обязательств по Концессионному соглашению на осуществление Концедентом и органами государственного финансового контроля проверок соблюдения ими условий, целей и порядка предоставления Капитального гранта.</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Концедент вправе (не чаще одного раза в месяц по своей инициативе или по мере поступления запроса от контрольно-надзорных органов, органов Прокуратуры, федеральных органов исполнительной власти, исполнительных органов Му</w:t>
      </w:r>
      <w:r>
        <w:rPr>
          <w:rFonts w:ascii="Times New Roman" w:hAnsi="Times New Roman" w:cs="Times New Roman"/>
        </w:rPr>
        <w:t xml:space="preserve">рманской области) направить Концессионеру запрос о предоставлении отчетов и первичных документов, подтверждающих размер фактически понесенных расходов Концессионера за истекшие отчетные периоды, профинансированных (возмещенных) за счет Капитального гранта.</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В качестве первичных документов</w:t>
      </w:r>
      <w:r>
        <w:rPr>
          <w:rFonts w:ascii="Times New Roman" w:hAnsi="Times New Roman" w:cs="Times New Roman"/>
        </w:rPr>
        <w:t xml:space="preserve">, подтверждающих расходы Концессионера, могут быть представлены реестры расходов (затрат), содержащие информацию о расходах (затратах) (в том числе, авансах), понесенных Концессионером на реконструкцию объекта Соглашения, с приложением копий документов, за</w:t>
      </w:r>
      <w:r>
        <w:rPr>
          <w:rFonts w:ascii="Times New Roman" w:hAnsi="Times New Roman" w:cs="Times New Roman"/>
        </w:rPr>
        <w:t xml:space="preserve">веренных Концессионером, подтверждающих такие расходы (затраты) (договоры, акты, справки о стоимости работ и расходов (затрат), платежные поручения, счета-фактуры, сводная ведомость начисления заработной платы, договоры гражданско-правового характера, и ин</w:t>
      </w:r>
      <w:r>
        <w:rPr>
          <w:rFonts w:ascii="Times New Roman" w:hAnsi="Times New Roman" w:cs="Times New Roman"/>
        </w:rPr>
        <w:t xml:space="preserve">ые подтверждающие документы, в зависимости от того, что применимо). Концессионер обязуется предоставить Концеденту запрошенные документы в течение 15 (Пятнадцати) Рабочих Дней с даты поступления такого запроса, если иной срок не будет согласован Сторонами.</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Во избежание сомнений направление Концедентом запроса, предусмотренного п. 145 Концессионного соглашения, не препятствует исполнению обязательства Концедента по выплате Капитального гранта Концессионеру.</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Сопровождения средств, источником финансового обеспечения которых являются средства специального казначейского кредита, осуществляется Федеральным казначейством в соответствии с бюджетным законодательством Российской Федерации (подп. «л» пункта 10 Правил</w:t>
      </w:r>
      <w:r>
        <w:rPr>
          <w:rFonts w:ascii="Times New Roman" w:hAnsi="Times New Roman" w:cs="Times New Roman"/>
        </w:rPr>
        <w:t xml:space="preserve"> предоставления Федеральным казначейством бюджетам субъектов Российской Федерации бюджетных кредитов за счет временно свободных средств единого счета федерального бюджета, утвержденных постановлением Правительства Российской Федерации от 31.03.2023 № 525).</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Порядок казначейского сопровождения определен в Приложении № 19.</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Концессионер обязан открыть лицевой счет в Федеральном казначействе для учета операций со средствами юридического лица, не являющегося участником бюджетного процесса.</w:t>
      </w:r>
      <w:r>
        <w:rPr>
          <w:rFonts w:ascii="Times New Roman" w:hAnsi="Times New Roman" w:cs="Times New Roman"/>
        </w:rPr>
      </w:r>
      <w:r>
        <w:rPr>
          <w:rFonts w:ascii="Times New Roman" w:hAnsi="Times New Roman" w:cs="Times New Roman"/>
        </w:rPr>
      </w:r>
    </w:p>
    <w:p>
      <w:pPr>
        <w:pStyle w:val="959"/>
        <w:ind w:firstLine="680"/>
        <w:jc w:val="both"/>
        <w:rPr>
          <w:rFonts w:ascii="Times New Roman" w:hAnsi="Times New Roman" w:cs="Times New Roman"/>
          <w:strike/>
        </w:rPr>
      </w:pPr>
      <w:r/>
      <w:bookmarkStart w:id="103" w:name="_Hlk154654686"/>
      <w:r>
        <w:rPr>
          <w:rFonts w:ascii="Times New Roman" w:hAnsi="Times New Roman" w:cs="Times New Roman"/>
        </w:rPr>
        <w:t xml:space="preserve">150. Концедент производит выплату Капитального гранта (или его части) в</w:t>
      </w:r>
      <w:r>
        <w:rPr>
          <w:rFonts w:ascii="Times New Roman" w:hAnsi="Times New Roman" w:cs="Times New Roman"/>
        </w:rPr>
        <w:br/>
        <w:t xml:space="preserve">соответствии с лимитами бюджетных обязательств, доведенными администрации Печенгского муниципального округа, по кодам классификации расходов бюджетов Российской Фе</w:t>
      </w:r>
      <w:r>
        <w:rPr>
          <w:rFonts w:ascii="Times New Roman" w:hAnsi="Times New Roman" w:cs="Times New Roman"/>
        </w:rPr>
        <w:t xml:space="preserve">дерации: код главного распорядителя средств бюджета округа 001, раздел 05,  подраздел 02, целевая статья: 7620197040 (капитальные вложения в объекты государственной (муниципальной) собственности (проектирование, строительство, реконструкция (модернизация),</w:t>
      </w:r>
      <w:r>
        <w:rPr>
          <w:rFonts w:ascii="Times New Roman" w:hAnsi="Times New Roman" w:cs="Times New Roman"/>
        </w:rPr>
        <w:t xml:space="preserve"> капитальный ремонт объектов коммунальной (в сферах теплоснабжения, водоснабжения и водоотведения) инфраструктуры), источником финансового обеспечения расходов на реализацию которых являются специальные казначейские кредиты), 76201S7040 (капитальные вложен</w:t>
      </w:r>
      <w:r>
        <w:rPr>
          <w:rFonts w:ascii="Times New Roman" w:hAnsi="Times New Roman" w:cs="Times New Roman"/>
        </w:rPr>
        <w:t xml:space="preserve">ия в объекты государственной (муниципальной) собственности (проектирование, строительство, реконструкция (модернизация), капитальный ремонт объектов коммунальной (в сферах теплоснабжения, водоснабжения и водоотведения) инфраструктуры) за счет средств бюдже</w:t>
      </w:r>
      <w:r>
        <w:rPr>
          <w:rFonts w:ascii="Times New Roman" w:hAnsi="Times New Roman" w:cs="Times New Roman"/>
        </w:rPr>
        <w:t xml:space="preserve">та округа), вид расходов 415, аналитический код специального казначейского кредита 972347004, при наличии у Концессионера открытого в  территориальном органе Федерального казначейства лицевого счета для учета операций со средствами участника казначейского </w:t>
      </w:r>
      <w:r>
        <w:rPr>
          <w:rFonts w:ascii="Times New Roman" w:hAnsi="Times New Roman" w:cs="Times New Roman"/>
        </w:rPr>
        <w:t xml:space="preserve">сопровождения.</w:t>
      </w:r>
      <w:bookmarkEnd w:id="103"/>
      <w:r>
        <w:rPr>
          <w:rFonts w:ascii="Times New Roman" w:hAnsi="Times New Roman" w:cs="Times New Roman"/>
          <w:strike/>
        </w:rPr>
      </w:r>
      <w:r>
        <w:rPr>
          <w:rFonts w:ascii="Times New Roman" w:hAnsi="Times New Roman" w:cs="Times New Roman"/>
          <w:strike/>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Размер и сроки выделяемых Концедентом средств на софинансирование расходов Концессионера на реконструкцию объекта Соглашения установлен в Приложении № 18.</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Контроль за расходованием Концессионером средств, выделяемых Концедентом на софинансирование расходов Концессионера на реконструкцию объекта Соглашения осуществляется в соответствии с условиями Концессионного соглашения.</w:t>
      </w:r>
      <w:r>
        <w:rPr>
          <w:rFonts w:ascii="Times New Roman" w:hAnsi="Times New Roman" w:cs="Times New Roman"/>
        </w:rPr>
      </w:r>
      <w:r>
        <w:rPr>
          <w:rFonts w:ascii="Times New Roman" w:hAnsi="Times New Roman" w:cs="Times New Roman"/>
        </w:rPr>
      </w:r>
    </w:p>
    <w:p>
      <w:pPr>
        <w:ind w:firstLine="680"/>
        <w:rPr>
          <w:sz w:val="24"/>
          <w:szCs w:val="24"/>
        </w:rPr>
      </w:pPr>
      <w:r>
        <w:rPr>
          <w:sz w:val="24"/>
          <w:szCs w:val="24"/>
        </w:rPr>
      </w:r>
      <w:r>
        <w:rPr>
          <w:sz w:val="24"/>
          <w:szCs w:val="24"/>
        </w:rPr>
      </w:r>
      <w:r>
        <w:rPr>
          <w:sz w:val="24"/>
          <w:szCs w:val="24"/>
        </w:rPr>
      </w:r>
    </w:p>
    <w:p>
      <w:pPr>
        <w:pStyle w:val="959"/>
        <w:ind w:firstLine="680"/>
        <w:jc w:val="center"/>
        <w:rPr>
          <w:rFonts w:ascii="Times New Roman" w:hAnsi="Times New Roman" w:cs="Times New Roman"/>
        </w:rPr>
      </w:pPr>
      <w:r/>
      <w:bookmarkStart w:id="104" w:name="sub_11800"/>
      <w:r>
        <w:rPr>
          <w:rStyle w:val="951"/>
          <w:rFonts w:ascii="Times New Roman" w:hAnsi="Times New Roman" w:cs="Times New Roman"/>
        </w:rPr>
        <w:t xml:space="preserve">X</w:t>
      </w:r>
      <w:r>
        <w:rPr>
          <w:rStyle w:val="951"/>
          <w:rFonts w:ascii="Times New Roman" w:hAnsi="Times New Roman" w:cs="Times New Roman"/>
          <w:lang w:val="en-US"/>
        </w:rPr>
        <w:t xml:space="preserve">XII</w:t>
      </w:r>
      <w:r>
        <w:rPr>
          <w:rStyle w:val="951"/>
          <w:rFonts w:ascii="Times New Roman" w:hAnsi="Times New Roman" w:cs="Times New Roman"/>
        </w:rPr>
        <w:t xml:space="preserve">. Размещение информации</w:t>
      </w:r>
      <w:bookmarkEnd w:id="104"/>
      <w:r>
        <w:rPr>
          <w:rFonts w:ascii="Times New Roman" w:hAnsi="Times New Roman" w:cs="Times New Roman"/>
        </w:rPr>
      </w:r>
      <w:r>
        <w:rPr>
          <w:rFonts w:ascii="Times New Roman" w:hAnsi="Times New Roman" w:cs="Times New Roman"/>
        </w:rPr>
      </w:r>
    </w:p>
    <w:p>
      <w:pPr>
        <w:ind w:firstLine="680"/>
        <w:rPr>
          <w:sz w:val="24"/>
          <w:szCs w:val="24"/>
        </w:rPr>
      </w:pPr>
      <w:r>
        <w:rPr>
          <w:sz w:val="24"/>
          <w:szCs w:val="24"/>
        </w:rPr>
      </w:r>
      <w:r>
        <w:rPr>
          <w:sz w:val="24"/>
          <w:szCs w:val="24"/>
        </w:rPr>
      </w:r>
      <w:r>
        <w:rPr>
          <w:sz w:val="24"/>
          <w:szCs w:val="24"/>
        </w:rPr>
      </w:r>
    </w:p>
    <w:p>
      <w:pPr>
        <w:pStyle w:val="959"/>
        <w:numPr>
          <w:ilvl w:val="0"/>
          <w:numId w:val="2"/>
        </w:numPr>
        <w:ind w:left="0" w:firstLine="680"/>
        <w:jc w:val="both"/>
        <w:rPr>
          <w:rFonts w:ascii="Times New Roman" w:hAnsi="Times New Roman" w:cs="Times New Roman"/>
        </w:rPr>
      </w:pPr>
      <w:r/>
      <w:bookmarkStart w:id="105" w:name="sub_118116"/>
      <w:r>
        <w:rPr>
          <w:rFonts w:ascii="Times New Roman" w:hAnsi="Times New Roman" w:cs="Times New Roman"/>
        </w:rPr>
        <w:t xml:space="preserve">Настоящее Соглашение, за исключением сведений, составляющих государственную и коммерческую тайну, подлежит размещению (опубликованию) на официальном сайте для размещения информации о проведении торгов </w:t>
      </w:r>
      <w:hyperlink r:id="rId14" w:tooltip="http://torgi.gov.ru" w:history="1">
        <w:r>
          <w:rPr>
            <w:rStyle w:val="950"/>
            <w:rFonts w:ascii="Times New Roman" w:hAnsi="Times New Roman" w:cs="Times New Roman"/>
          </w:rPr>
          <w:t xml:space="preserve">http://torgi.gov.ru</w:t>
        </w:r>
      </w:hyperlink>
      <w:r>
        <w:rPr>
          <w:rFonts w:ascii="Times New Roman" w:hAnsi="Times New Roman" w:cs="Times New Roman"/>
        </w:rPr>
        <w:t xml:space="preserve"> в порядке, определенном Федеральным законом «О концессионных соглашениях», официальном сайте Концедента в сети Интернет.</w:t>
      </w:r>
      <w:r>
        <w:rPr>
          <w:rFonts w:ascii="Times New Roman" w:hAnsi="Times New Roman" w:cs="Times New Roman"/>
        </w:rPr>
      </w:r>
      <w:r>
        <w:rPr>
          <w:rFonts w:ascii="Times New Roman" w:hAnsi="Times New Roman" w:cs="Times New Roman"/>
        </w:rPr>
      </w:r>
    </w:p>
    <w:p>
      <w:pPr>
        <w:ind w:firstLine="680"/>
        <w:rPr>
          <w:sz w:val="24"/>
          <w:szCs w:val="24"/>
        </w:rPr>
      </w:pPr>
      <w:r>
        <w:rPr>
          <w:sz w:val="24"/>
          <w:szCs w:val="24"/>
        </w:rPr>
      </w:r>
      <w:r>
        <w:rPr>
          <w:sz w:val="24"/>
          <w:szCs w:val="24"/>
        </w:rPr>
      </w:r>
      <w:r>
        <w:rPr>
          <w:sz w:val="24"/>
          <w:szCs w:val="24"/>
        </w:rPr>
      </w:r>
    </w:p>
    <w:p>
      <w:pPr>
        <w:pStyle w:val="959"/>
        <w:ind w:firstLine="680"/>
        <w:jc w:val="center"/>
        <w:rPr>
          <w:rFonts w:ascii="Times New Roman" w:hAnsi="Times New Roman" w:cs="Times New Roman"/>
        </w:rPr>
      </w:pPr>
      <w:r>
        <w:rPr>
          <w:rStyle w:val="951"/>
          <w:rFonts w:ascii="Times New Roman" w:hAnsi="Times New Roman" w:cs="Times New Roman"/>
        </w:rPr>
        <w:t xml:space="preserve">X</w:t>
      </w:r>
      <w:r>
        <w:rPr>
          <w:rStyle w:val="951"/>
          <w:rFonts w:ascii="Times New Roman" w:hAnsi="Times New Roman" w:cs="Times New Roman"/>
          <w:lang w:val="en-US"/>
        </w:rPr>
        <w:t xml:space="preserve">XIII</w:t>
      </w:r>
      <w:r>
        <w:rPr>
          <w:rStyle w:val="951"/>
          <w:rFonts w:ascii="Times New Roman" w:hAnsi="Times New Roman" w:cs="Times New Roman"/>
        </w:rPr>
        <w:t xml:space="preserve">. Заключительные положения</w:t>
      </w:r>
      <w:r>
        <w:rPr>
          <w:rFonts w:ascii="Times New Roman" w:hAnsi="Times New Roman" w:cs="Times New Roman"/>
        </w:rPr>
      </w:r>
      <w:r>
        <w:rPr>
          <w:rFonts w:ascii="Times New Roman" w:hAnsi="Times New Roman" w:cs="Times New Roman"/>
        </w:rPr>
      </w:r>
    </w:p>
    <w:p>
      <w:pPr>
        <w:ind w:firstLine="680"/>
        <w:rPr>
          <w:sz w:val="24"/>
          <w:szCs w:val="24"/>
        </w:rPr>
      </w:pPr>
      <w:r>
        <w:rPr>
          <w:sz w:val="24"/>
          <w:szCs w:val="24"/>
        </w:rPr>
      </w:r>
      <w:r>
        <w:rPr>
          <w:sz w:val="24"/>
          <w:szCs w:val="24"/>
        </w:rPr>
      </w:r>
      <w:r>
        <w:rPr>
          <w:sz w:val="24"/>
          <w:szCs w:val="24"/>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Сторона, изменившая свое местонахождение и (или) реквизиты,</w:t>
      </w:r>
      <w:bookmarkEnd w:id="105"/>
      <w:r>
        <w:rPr>
          <w:rFonts w:ascii="Times New Roman" w:hAnsi="Times New Roman" w:cs="Times New Roman"/>
        </w:rPr>
        <w:t xml:space="preserve"> обязана сообщить об этом другой Стороне в течение 30 календарны</w:t>
      </w:r>
      <w:bookmarkStart w:id="106" w:name="sub_118117"/>
      <w:r>
        <w:rPr>
          <w:rFonts w:ascii="Times New Roman" w:hAnsi="Times New Roman" w:cs="Times New Roman"/>
        </w:rPr>
        <w:t xml:space="preserve">х дней с даты данного изменения.</w:t>
      </w:r>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Настоящее Соглашение составлено на русском языке в </w:t>
      </w:r>
      <w:bookmarkEnd w:id="106"/>
      <w:r>
        <w:rPr>
          <w:rFonts w:ascii="Times New Roman" w:hAnsi="Times New Roman" w:cs="Times New Roman"/>
        </w:rPr>
        <w:t xml:space="preserve">4 (четырех) подлинных экземплярах, имеющих равную юридическую силу, из них 1 (один) экземпляр для Концедента, 1 (один) экземпляр для Концессионера, 1 (один) экземпляр для Субъекта и 1 (один) экземпляр для регистрирующего органа.</w:t>
      </w:r>
      <w:bookmarkStart w:id="107" w:name="sub_118118"/>
      <w:r>
        <w:rPr>
          <w:rFonts w:ascii="Times New Roman" w:hAnsi="Times New Roman" w:cs="Times New Roman"/>
        </w:rPr>
      </w:r>
      <w:r>
        <w:rPr>
          <w:rFonts w:ascii="Times New Roman" w:hAnsi="Times New Roman" w:cs="Times New Roman"/>
        </w:rPr>
      </w:r>
    </w:p>
    <w:p>
      <w:pPr>
        <w:pStyle w:val="959"/>
        <w:numPr>
          <w:ilvl w:val="0"/>
          <w:numId w:val="2"/>
        </w:numPr>
        <w:ind w:left="0" w:firstLine="680"/>
        <w:jc w:val="both"/>
        <w:rPr>
          <w:rFonts w:ascii="Times New Roman" w:hAnsi="Times New Roman" w:cs="Times New Roman"/>
        </w:rPr>
      </w:pPr>
      <w:r>
        <w:rPr>
          <w:rFonts w:ascii="Times New Roman" w:hAnsi="Times New Roman" w:cs="Times New Roman"/>
        </w:rPr>
        <w:t xml:space="preserve">Все приложения и дополнительные соглашения к настоящему</w:t>
      </w:r>
      <w:bookmarkEnd w:id="107"/>
      <w:r>
        <w:rPr>
          <w:rFonts w:ascii="Times New Roman" w:hAnsi="Times New Roman" w:cs="Times New Roman"/>
        </w:rPr>
        <w:t xml:space="preserve"> Соглашению, как заключенные при подписании настоящего Соглашения, так и после вступления в силу настоящего Соглашения, являются его неотъемлемой частью. Указанные приложения и дополнительные соглашения подписываются уполномоченными представителями Сторон.</w:t>
      </w:r>
      <w:r>
        <w:rPr>
          <w:rFonts w:ascii="Times New Roman" w:hAnsi="Times New Roman" w:cs="Times New Roman"/>
        </w:rPr>
      </w:r>
      <w:r>
        <w:rPr>
          <w:rFonts w:ascii="Times New Roman" w:hAnsi="Times New Roman" w:cs="Times New Roman"/>
        </w:rPr>
      </w:r>
    </w:p>
    <w:p>
      <w:pPr>
        <w:ind w:firstLine="680"/>
        <w:rPr>
          <w:sz w:val="24"/>
          <w:szCs w:val="24"/>
        </w:rPr>
      </w:pPr>
      <w:r>
        <w:rPr>
          <w:sz w:val="24"/>
          <w:szCs w:val="24"/>
        </w:rPr>
      </w:r>
      <w:r>
        <w:rPr>
          <w:sz w:val="24"/>
          <w:szCs w:val="24"/>
        </w:rPr>
      </w:r>
      <w:r>
        <w:rPr>
          <w:sz w:val="24"/>
          <w:szCs w:val="24"/>
        </w:rPr>
      </w:r>
    </w:p>
    <w:p>
      <w:pPr>
        <w:rPr>
          <w:b/>
          <w:sz w:val="24"/>
          <w:szCs w:val="24"/>
        </w:rPr>
      </w:pPr>
      <w:r>
        <w:rPr>
          <w:b/>
          <w:sz w:val="24"/>
          <w:szCs w:val="24"/>
        </w:rPr>
        <w:t xml:space="preserve">Приложения: </w:t>
      </w:r>
      <w:r>
        <w:rPr>
          <w:b/>
          <w:sz w:val="24"/>
          <w:szCs w:val="24"/>
        </w:rPr>
      </w:r>
      <w:r>
        <w:rPr>
          <w:b/>
          <w:sz w:val="24"/>
          <w:szCs w:val="24"/>
        </w:rPr>
      </w:r>
    </w:p>
    <w:tbl>
      <w:tblPr>
        <w:tblStyle w:val="937"/>
        <w:tblW w:w="5000" w:type="pc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556"/>
        <w:gridCol w:w="7008"/>
      </w:tblGrid>
      <w:tr>
        <w:tblPrEx/>
        <w:trPr>
          <w:trHeight w:val="639"/>
        </w:trPr>
        <w:tc>
          <w:tcPr>
            <w:tcW w:w="1336" w:type="pct"/>
            <w:textDirection w:val="lrTb"/>
            <w:noWrap w:val="false"/>
          </w:tcPr>
          <w:p>
            <w:pPr>
              <w:rPr>
                <w:b/>
                <w:sz w:val="24"/>
                <w:szCs w:val="24"/>
              </w:rPr>
            </w:pPr>
            <w:r>
              <w:rPr>
                <w:i/>
                <w:sz w:val="24"/>
                <w:szCs w:val="24"/>
                <w:u w:val="single"/>
              </w:rPr>
              <w:t xml:space="preserve">Приложение № 1</w:t>
            </w:r>
            <w:r>
              <w:rPr>
                <w:b/>
                <w:sz w:val="24"/>
                <w:szCs w:val="24"/>
              </w:rPr>
            </w:r>
            <w:r>
              <w:rPr>
                <w:b/>
                <w:sz w:val="24"/>
                <w:szCs w:val="24"/>
              </w:rPr>
            </w:r>
          </w:p>
        </w:tc>
        <w:tc>
          <w:tcPr>
            <w:tcW w:w="3664" w:type="pct"/>
            <w:textDirection w:val="lrTb"/>
            <w:noWrap w:val="false"/>
          </w:tcPr>
          <w:p>
            <w:pPr>
              <w:rPr>
                <w:b/>
                <w:sz w:val="24"/>
                <w:szCs w:val="24"/>
              </w:rPr>
            </w:pPr>
            <w:r>
              <w:rPr>
                <w:sz w:val="24"/>
                <w:szCs w:val="24"/>
              </w:rPr>
              <w:t xml:space="preserve">Сведения о составе недвижимого имущества, входящего в систему теплоснабжения, являющегося объектом по Соглашению</w:t>
            </w:r>
            <w:r>
              <w:rPr>
                <w:b/>
                <w:sz w:val="24"/>
                <w:szCs w:val="24"/>
              </w:rPr>
            </w:r>
            <w:r>
              <w:rPr>
                <w:b/>
                <w:sz w:val="24"/>
                <w:szCs w:val="24"/>
              </w:rPr>
            </w:r>
          </w:p>
        </w:tc>
      </w:tr>
      <w:tr>
        <w:tblPrEx/>
        <w:trPr/>
        <w:tc>
          <w:tcPr>
            <w:tcW w:w="1336" w:type="pct"/>
            <w:textDirection w:val="lrTb"/>
            <w:noWrap w:val="false"/>
          </w:tcPr>
          <w:p>
            <w:pPr>
              <w:rPr>
                <w:b/>
                <w:sz w:val="24"/>
                <w:szCs w:val="24"/>
              </w:rPr>
            </w:pPr>
            <w:r>
              <w:rPr>
                <w:i/>
                <w:sz w:val="24"/>
                <w:szCs w:val="24"/>
                <w:u w:val="single"/>
              </w:rPr>
              <w:t xml:space="preserve">Приложение № 2</w:t>
            </w:r>
            <w:r>
              <w:rPr>
                <w:b/>
                <w:sz w:val="24"/>
                <w:szCs w:val="24"/>
              </w:rPr>
            </w:r>
            <w:r>
              <w:rPr>
                <w:b/>
                <w:sz w:val="24"/>
                <w:szCs w:val="24"/>
              </w:rPr>
            </w:r>
          </w:p>
        </w:tc>
        <w:tc>
          <w:tcPr>
            <w:tcW w:w="3664" w:type="pct"/>
            <w:textDirection w:val="lrTb"/>
            <w:noWrap w:val="false"/>
          </w:tcPr>
          <w:p>
            <w:pPr>
              <w:rPr>
                <w:b/>
                <w:sz w:val="24"/>
                <w:szCs w:val="24"/>
              </w:rPr>
            </w:pPr>
            <w:r>
              <w:rPr>
                <w:sz w:val="24"/>
                <w:szCs w:val="24"/>
              </w:rPr>
              <w:t xml:space="preserve">Задание и перечень основных мероприятий по реконструкции Объекта Соглашения</w:t>
            </w:r>
            <w:r>
              <w:rPr>
                <w:b/>
                <w:sz w:val="24"/>
                <w:szCs w:val="24"/>
              </w:rPr>
            </w:r>
            <w:r>
              <w:rPr>
                <w:b/>
                <w:sz w:val="24"/>
                <w:szCs w:val="24"/>
              </w:rPr>
            </w:r>
          </w:p>
        </w:tc>
      </w:tr>
      <w:tr>
        <w:tblPrEx/>
        <w:trPr/>
        <w:tc>
          <w:tcPr>
            <w:tcW w:w="1336" w:type="pct"/>
            <w:textDirection w:val="lrTb"/>
            <w:noWrap w:val="false"/>
          </w:tcPr>
          <w:p>
            <w:pPr>
              <w:rPr>
                <w:b/>
                <w:sz w:val="24"/>
                <w:szCs w:val="24"/>
              </w:rPr>
            </w:pPr>
            <w:r>
              <w:rPr>
                <w:i/>
                <w:sz w:val="24"/>
                <w:szCs w:val="24"/>
                <w:u w:val="single"/>
              </w:rPr>
              <w:t xml:space="preserve">Приложение № 3</w:t>
            </w:r>
            <w:r>
              <w:rPr>
                <w:b/>
                <w:sz w:val="24"/>
                <w:szCs w:val="24"/>
              </w:rPr>
            </w:r>
            <w:r>
              <w:rPr>
                <w:b/>
                <w:sz w:val="24"/>
                <w:szCs w:val="24"/>
              </w:rPr>
            </w:r>
          </w:p>
        </w:tc>
        <w:tc>
          <w:tcPr>
            <w:tcW w:w="3664" w:type="pct"/>
            <w:textDirection w:val="lrTb"/>
            <w:noWrap w:val="false"/>
          </w:tcPr>
          <w:p>
            <w:pPr>
              <w:rPr>
                <w:b/>
                <w:sz w:val="24"/>
                <w:szCs w:val="24"/>
              </w:rPr>
            </w:pPr>
            <w:r>
              <w:rPr>
                <w:sz w:val="24"/>
                <w:szCs w:val="24"/>
              </w:rPr>
              <w:t xml:space="preserve">Объем инвестиций для реконструкции Объекта Соглашения</w:t>
            </w:r>
            <w:r>
              <w:rPr>
                <w:b/>
                <w:sz w:val="24"/>
                <w:szCs w:val="24"/>
              </w:rPr>
            </w:r>
            <w:r>
              <w:rPr>
                <w:b/>
                <w:sz w:val="24"/>
                <w:szCs w:val="24"/>
              </w:rPr>
            </w:r>
          </w:p>
        </w:tc>
      </w:tr>
      <w:tr>
        <w:tblPrEx/>
        <w:trPr/>
        <w:tc>
          <w:tcPr>
            <w:tcW w:w="1336" w:type="pct"/>
            <w:textDirection w:val="lrTb"/>
            <w:noWrap w:val="false"/>
          </w:tcPr>
          <w:p>
            <w:pPr>
              <w:rPr>
                <w:b/>
                <w:sz w:val="24"/>
                <w:szCs w:val="24"/>
              </w:rPr>
            </w:pPr>
            <w:r>
              <w:rPr>
                <w:i/>
                <w:sz w:val="24"/>
                <w:szCs w:val="24"/>
                <w:u w:val="single"/>
              </w:rPr>
              <w:t xml:space="preserve">Приложение № 4</w:t>
            </w:r>
            <w:r>
              <w:rPr>
                <w:b/>
                <w:sz w:val="24"/>
                <w:szCs w:val="24"/>
              </w:rPr>
            </w:r>
            <w:r>
              <w:rPr>
                <w:b/>
                <w:sz w:val="24"/>
                <w:szCs w:val="24"/>
              </w:rPr>
            </w:r>
          </w:p>
        </w:tc>
        <w:tc>
          <w:tcPr>
            <w:tcW w:w="3664" w:type="pct"/>
            <w:textDirection w:val="lrTb"/>
            <w:noWrap w:val="false"/>
          </w:tcPr>
          <w:p>
            <w:pPr>
              <w:rPr>
                <w:b/>
                <w:sz w:val="24"/>
                <w:szCs w:val="24"/>
              </w:rPr>
            </w:pPr>
            <w:r>
              <w:rPr>
                <w:sz w:val="24"/>
                <w:szCs w:val="24"/>
              </w:rPr>
              <w:t xml:space="preserve">Долгосрочные параметры регулирования деятельности Концессионера в целях исполнения обязательств по Соглашению</w:t>
            </w:r>
            <w:r>
              <w:rPr>
                <w:b/>
                <w:sz w:val="24"/>
                <w:szCs w:val="24"/>
              </w:rPr>
            </w:r>
            <w:r>
              <w:rPr>
                <w:b/>
                <w:sz w:val="24"/>
                <w:szCs w:val="24"/>
              </w:rPr>
            </w:r>
          </w:p>
        </w:tc>
      </w:tr>
      <w:tr>
        <w:tblPrEx/>
        <w:trPr/>
        <w:tc>
          <w:tcPr>
            <w:tcW w:w="1336" w:type="pct"/>
            <w:textDirection w:val="lrTb"/>
            <w:noWrap w:val="false"/>
          </w:tcPr>
          <w:p>
            <w:pPr>
              <w:rPr>
                <w:b/>
                <w:sz w:val="24"/>
                <w:szCs w:val="24"/>
              </w:rPr>
            </w:pPr>
            <w:r>
              <w:rPr>
                <w:i/>
                <w:sz w:val="24"/>
                <w:szCs w:val="24"/>
                <w:u w:val="single"/>
              </w:rPr>
              <w:t xml:space="preserve">Приложение № 5</w:t>
            </w:r>
            <w:r>
              <w:rPr>
                <w:b/>
                <w:sz w:val="24"/>
                <w:szCs w:val="24"/>
              </w:rPr>
            </w:r>
            <w:r>
              <w:rPr>
                <w:b/>
                <w:sz w:val="24"/>
                <w:szCs w:val="24"/>
              </w:rPr>
            </w:r>
          </w:p>
        </w:tc>
        <w:tc>
          <w:tcPr>
            <w:tcW w:w="3664" w:type="pct"/>
            <w:textDirection w:val="lrTb"/>
            <w:noWrap w:val="false"/>
          </w:tcPr>
          <w:p>
            <w:pPr>
              <w:rPr>
                <w:b/>
                <w:sz w:val="24"/>
                <w:szCs w:val="24"/>
              </w:rPr>
            </w:pPr>
            <w:r>
              <w:rPr>
                <w:sz w:val="24"/>
                <w:szCs w:val="24"/>
              </w:rPr>
              <w:t xml:space="preserve">Описание земельных участков, передаваемых Концессионеру в рамках настоящего Соглашения</w:t>
            </w:r>
            <w:r>
              <w:rPr>
                <w:b/>
                <w:sz w:val="24"/>
                <w:szCs w:val="24"/>
              </w:rPr>
            </w:r>
            <w:r>
              <w:rPr>
                <w:b/>
                <w:sz w:val="24"/>
                <w:szCs w:val="24"/>
              </w:rPr>
            </w:r>
          </w:p>
        </w:tc>
      </w:tr>
      <w:tr>
        <w:tblPrEx/>
        <w:trPr/>
        <w:tc>
          <w:tcPr>
            <w:tcW w:w="1336" w:type="pct"/>
            <w:textDirection w:val="lrTb"/>
            <w:noWrap w:val="false"/>
          </w:tcPr>
          <w:p>
            <w:pPr>
              <w:rPr>
                <w:i/>
                <w:sz w:val="24"/>
                <w:szCs w:val="24"/>
                <w:u w:val="single"/>
              </w:rPr>
            </w:pPr>
            <w:r>
              <w:rPr>
                <w:i/>
                <w:sz w:val="24"/>
                <w:szCs w:val="24"/>
                <w:u w:val="single"/>
              </w:rPr>
              <w:t xml:space="preserve">Приложение № 6</w:t>
            </w:r>
            <w:r>
              <w:rPr>
                <w:i/>
                <w:sz w:val="24"/>
                <w:szCs w:val="24"/>
                <w:u w:val="single"/>
              </w:rPr>
            </w:r>
            <w:r>
              <w:rPr>
                <w:i/>
                <w:sz w:val="24"/>
                <w:szCs w:val="24"/>
                <w:u w:val="single"/>
              </w:rPr>
            </w:r>
          </w:p>
        </w:tc>
        <w:tc>
          <w:tcPr>
            <w:tcW w:w="3664" w:type="pct"/>
            <w:textDirection w:val="lrTb"/>
            <w:noWrap w:val="false"/>
          </w:tcPr>
          <w:p>
            <w:pPr>
              <w:rPr>
                <w:b/>
                <w:sz w:val="24"/>
                <w:szCs w:val="24"/>
              </w:rPr>
            </w:pPr>
            <w:r>
              <w:rPr>
                <w:sz w:val="24"/>
                <w:szCs w:val="24"/>
              </w:rPr>
              <w:t xml:space="preserve">Копии документов, удостоверяющих право собственности Концедента в отношении земельных участков, передаваемых Концессионеру для исполнения обязательств по Соглашению</w:t>
            </w:r>
            <w:r>
              <w:rPr>
                <w:b/>
                <w:sz w:val="24"/>
                <w:szCs w:val="24"/>
              </w:rPr>
            </w:r>
            <w:r>
              <w:rPr>
                <w:b/>
                <w:sz w:val="24"/>
                <w:szCs w:val="24"/>
              </w:rPr>
            </w:r>
          </w:p>
        </w:tc>
      </w:tr>
      <w:tr>
        <w:tblPrEx/>
        <w:trPr/>
        <w:tc>
          <w:tcPr>
            <w:tcW w:w="1336" w:type="pct"/>
            <w:textDirection w:val="lrTb"/>
            <w:noWrap w:val="false"/>
          </w:tcPr>
          <w:p>
            <w:pPr>
              <w:rPr>
                <w:i/>
                <w:sz w:val="24"/>
                <w:szCs w:val="24"/>
                <w:u w:val="single"/>
              </w:rPr>
            </w:pPr>
            <w:r>
              <w:rPr>
                <w:i/>
                <w:sz w:val="24"/>
                <w:szCs w:val="24"/>
                <w:u w:val="single"/>
              </w:rPr>
              <w:t xml:space="preserve">Приложение № 7</w:t>
            </w:r>
            <w:r>
              <w:rPr>
                <w:i/>
                <w:sz w:val="24"/>
                <w:szCs w:val="24"/>
                <w:u w:val="single"/>
              </w:rPr>
            </w:r>
            <w:r>
              <w:rPr>
                <w:i/>
                <w:sz w:val="24"/>
                <w:szCs w:val="24"/>
                <w:u w:val="single"/>
              </w:rPr>
            </w:r>
          </w:p>
        </w:tc>
        <w:tc>
          <w:tcPr>
            <w:tcW w:w="3664" w:type="pct"/>
            <w:textDirection w:val="lrTb"/>
            <w:noWrap w:val="false"/>
          </w:tcPr>
          <w:p>
            <w:pPr>
              <w:rPr>
                <w:b/>
                <w:sz w:val="24"/>
                <w:szCs w:val="24"/>
              </w:rPr>
            </w:pPr>
            <w:r>
              <w:rPr>
                <w:sz w:val="24"/>
                <w:szCs w:val="24"/>
              </w:rPr>
              <w:t xml:space="preserve">Показатели надежности и энергетической эффективности объектов теплоснабжения установленных на срок действия концессионного соглашения</w:t>
            </w:r>
            <w:r>
              <w:rPr>
                <w:b/>
                <w:sz w:val="24"/>
                <w:szCs w:val="24"/>
              </w:rPr>
            </w:r>
            <w:r>
              <w:rPr>
                <w:b/>
                <w:sz w:val="24"/>
                <w:szCs w:val="24"/>
              </w:rPr>
            </w:r>
          </w:p>
        </w:tc>
      </w:tr>
      <w:tr>
        <w:tblPrEx/>
        <w:trPr/>
        <w:tc>
          <w:tcPr>
            <w:tcW w:w="1336" w:type="pct"/>
            <w:textDirection w:val="lrTb"/>
            <w:noWrap w:val="false"/>
          </w:tcPr>
          <w:p>
            <w:pPr>
              <w:rPr>
                <w:i/>
                <w:sz w:val="24"/>
                <w:szCs w:val="24"/>
                <w:u w:val="single"/>
              </w:rPr>
            </w:pPr>
            <w:r>
              <w:rPr>
                <w:i/>
                <w:sz w:val="24"/>
                <w:szCs w:val="24"/>
                <w:u w:val="single"/>
              </w:rPr>
              <w:t xml:space="preserve">Приложение № 8</w:t>
            </w:r>
            <w:r>
              <w:rPr>
                <w:i/>
                <w:sz w:val="24"/>
                <w:szCs w:val="24"/>
                <w:u w:val="single"/>
              </w:rPr>
            </w:r>
            <w:r>
              <w:rPr>
                <w:i/>
                <w:sz w:val="24"/>
                <w:szCs w:val="24"/>
                <w:u w:val="single"/>
              </w:rPr>
            </w:r>
          </w:p>
        </w:tc>
        <w:tc>
          <w:tcPr>
            <w:tcW w:w="3664" w:type="pct"/>
            <w:textDirection w:val="lrTb"/>
            <w:noWrap w:val="false"/>
          </w:tcPr>
          <w:p>
            <w:pPr>
              <w:rPr>
                <w:b/>
                <w:sz w:val="24"/>
                <w:szCs w:val="24"/>
              </w:rPr>
            </w:pPr>
            <w:r>
              <w:rPr>
                <w:sz w:val="24"/>
                <w:szCs w:val="24"/>
              </w:rPr>
              <w:t xml:space="preserve">Объем полезного отпуска тепловой энергии (мощности) и (или) теплоносителя в году, предшествующем первому году действия Соглашения, а также прогноз объема полезного отпуска тепловой энергии (мощности) и (или) теплоносителя на срок действия Соглашения</w:t>
            </w:r>
            <w:r>
              <w:rPr>
                <w:b/>
                <w:sz w:val="24"/>
                <w:szCs w:val="24"/>
              </w:rPr>
            </w:r>
            <w:r>
              <w:rPr>
                <w:b/>
                <w:sz w:val="24"/>
                <w:szCs w:val="24"/>
              </w:rPr>
            </w:r>
          </w:p>
        </w:tc>
      </w:tr>
      <w:tr>
        <w:tblPrEx/>
        <w:trPr/>
        <w:tc>
          <w:tcPr>
            <w:tcW w:w="1336" w:type="pct"/>
            <w:textDirection w:val="lrTb"/>
            <w:noWrap w:val="false"/>
          </w:tcPr>
          <w:p>
            <w:pPr>
              <w:rPr>
                <w:i/>
                <w:sz w:val="24"/>
                <w:szCs w:val="24"/>
                <w:u w:val="single"/>
              </w:rPr>
            </w:pPr>
            <w:r>
              <w:rPr>
                <w:i/>
                <w:sz w:val="24"/>
                <w:szCs w:val="24"/>
                <w:u w:val="single"/>
              </w:rPr>
              <w:t xml:space="preserve">Приложение № 9</w:t>
            </w:r>
            <w:r>
              <w:rPr>
                <w:i/>
                <w:sz w:val="24"/>
                <w:szCs w:val="24"/>
                <w:u w:val="single"/>
              </w:rPr>
            </w:r>
            <w:r>
              <w:rPr>
                <w:i/>
                <w:sz w:val="24"/>
                <w:szCs w:val="24"/>
                <w:u w:val="single"/>
              </w:rPr>
            </w:r>
          </w:p>
        </w:tc>
        <w:tc>
          <w:tcPr>
            <w:tcW w:w="3664" w:type="pct"/>
            <w:textDirection w:val="lrTb"/>
            <w:noWrap w:val="false"/>
          </w:tcPr>
          <w:p>
            <w:pPr>
              <w:rPr>
                <w:b/>
                <w:sz w:val="24"/>
                <w:szCs w:val="24"/>
              </w:rPr>
            </w:pPr>
            <w:r>
              <w:rPr>
                <w:sz w:val="24"/>
                <w:szCs w:val="24"/>
              </w:rPr>
              <w:t xml:space="preserve">Порядок возмещения расходов Концессионера, подлежащих </w:t>
            </w:r>
            <w:r>
              <w:rPr>
                <w:sz w:val="24"/>
                <w:szCs w:val="24"/>
              </w:rPr>
              <w:t xml:space="preserve">возмещению в соответствии с законодательством Российской Федерации в сфере регулирования цен (тарифов) и не возмещенных ему на момент окончания срока действия Соглашения, а также связанных с досрочным расторжением Соглашения</w:t>
            </w:r>
            <w:r>
              <w:rPr>
                <w:b/>
                <w:sz w:val="24"/>
                <w:szCs w:val="24"/>
              </w:rPr>
            </w:r>
            <w:r>
              <w:rPr>
                <w:b/>
                <w:sz w:val="24"/>
                <w:szCs w:val="24"/>
              </w:rPr>
            </w:r>
          </w:p>
        </w:tc>
      </w:tr>
      <w:tr>
        <w:tblPrEx/>
        <w:trPr/>
        <w:tc>
          <w:tcPr>
            <w:tcW w:w="1336" w:type="pct"/>
            <w:textDirection w:val="lrTb"/>
            <w:noWrap w:val="false"/>
          </w:tcPr>
          <w:p>
            <w:pPr>
              <w:rPr>
                <w:i/>
                <w:sz w:val="24"/>
                <w:szCs w:val="24"/>
                <w:u w:val="single"/>
              </w:rPr>
            </w:pPr>
            <w:r>
              <w:rPr>
                <w:i/>
                <w:sz w:val="24"/>
                <w:szCs w:val="24"/>
                <w:u w:val="single"/>
              </w:rPr>
              <w:t xml:space="preserve">Приложение № 10</w:t>
            </w:r>
            <w:r>
              <w:rPr>
                <w:i/>
                <w:sz w:val="24"/>
                <w:szCs w:val="24"/>
                <w:u w:val="single"/>
              </w:rPr>
            </w:r>
            <w:r>
              <w:rPr>
                <w:i/>
                <w:sz w:val="24"/>
                <w:szCs w:val="24"/>
                <w:u w:val="single"/>
              </w:rPr>
            </w:r>
          </w:p>
        </w:tc>
        <w:tc>
          <w:tcPr>
            <w:tcW w:w="3664" w:type="pct"/>
            <w:textDirection w:val="lrTb"/>
            <w:noWrap w:val="false"/>
          </w:tcPr>
          <w:p>
            <w:pPr>
              <w:rPr>
                <w:b/>
                <w:sz w:val="24"/>
                <w:szCs w:val="24"/>
              </w:rPr>
            </w:pPr>
            <w:r>
              <w:rPr>
                <w:sz w:val="24"/>
                <w:szCs w:val="24"/>
              </w:rPr>
              <w:t xml:space="preserve">Форма акта о реализации концессионного соглашения</w:t>
            </w:r>
            <w:r>
              <w:rPr>
                <w:b/>
                <w:sz w:val="24"/>
                <w:szCs w:val="24"/>
              </w:rPr>
            </w:r>
            <w:r>
              <w:rPr>
                <w:b/>
                <w:sz w:val="24"/>
                <w:szCs w:val="24"/>
              </w:rPr>
            </w:r>
          </w:p>
        </w:tc>
      </w:tr>
      <w:tr>
        <w:tblPrEx/>
        <w:trPr/>
        <w:tc>
          <w:tcPr>
            <w:tcW w:w="1336" w:type="pct"/>
            <w:textDirection w:val="lrTb"/>
            <w:noWrap w:val="false"/>
          </w:tcPr>
          <w:p>
            <w:pPr>
              <w:rPr>
                <w:i/>
                <w:sz w:val="24"/>
                <w:szCs w:val="24"/>
                <w:u w:val="single"/>
              </w:rPr>
            </w:pPr>
            <w:r>
              <w:rPr>
                <w:i/>
                <w:sz w:val="24"/>
                <w:szCs w:val="24"/>
                <w:u w:val="single"/>
              </w:rPr>
              <w:t xml:space="preserve">Приложение № 11</w:t>
            </w:r>
            <w:r>
              <w:rPr>
                <w:i/>
                <w:sz w:val="24"/>
                <w:szCs w:val="24"/>
                <w:u w:val="single"/>
              </w:rPr>
            </w:r>
            <w:r>
              <w:rPr>
                <w:i/>
                <w:sz w:val="24"/>
                <w:szCs w:val="24"/>
                <w:u w:val="single"/>
              </w:rPr>
            </w:r>
          </w:p>
        </w:tc>
        <w:tc>
          <w:tcPr>
            <w:tcW w:w="3664" w:type="pct"/>
            <w:textDirection w:val="lrTb"/>
            <w:noWrap w:val="false"/>
          </w:tcPr>
          <w:p>
            <w:pPr>
              <w:rPr>
                <w:b/>
                <w:sz w:val="24"/>
                <w:szCs w:val="24"/>
              </w:rPr>
            </w:pPr>
            <w:r>
              <w:rPr>
                <w:sz w:val="24"/>
                <w:szCs w:val="24"/>
              </w:rPr>
              <w:t xml:space="preserve">Акт приема – передачи имущества в рамках реализации концессионного соглашения</w:t>
            </w:r>
            <w:r>
              <w:rPr>
                <w:b/>
                <w:sz w:val="24"/>
                <w:szCs w:val="24"/>
              </w:rPr>
            </w:r>
            <w:r>
              <w:rPr>
                <w:b/>
                <w:sz w:val="24"/>
                <w:szCs w:val="24"/>
              </w:rPr>
            </w:r>
          </w:p>
        </w:tc>
      </w:tr>
      <w:tr>
        <w:tblPrEx/>
        <w:trPr/>
        <w:tc>
          <w:tcPr>
            <w:tcW w:w="1336" w:type="pct"/>
            <w:textDirection w:val="lrTb"/>
            <w:noWrap w:val="false"/>
          </w:tcPr>
          <w:p>
            <w:pPr>
              <w:rPr>
                <w:i/>
                <w:sz w:val="24"/>
                <w:szCs w:val="24"/>
                <w:u w:val="single"/>
              </w:rPr>
            </w:pPr>
            <w:r>
              <w:rPr>
                <w:i/>
                <w:sz w:val="24"/>
                <w:szCs w:val="24"/>
                <w:u w:val="single"/>
              </w:rPr>
              <w:t xml:space="preserve">Приложение № 12</w:t>
            </w:r>
            <w:r>
              <w:rPr>
                <w:i/>
                <w:sz w:val="24"/>
                <w:szCs w:val="24"/>
                <w:u w:val="single"/>
              </w:rPr>
            </w:r>
            <w:r>
              <w:rPr>
                <w:i/>
                <w:sz w:val="24"/>
                <w:szCs w:val="24"/>
                <w:u w:val="single"/>
              </w:rPr>
            </w:r>
          </w:p>
        </w:tc>
        <w:tc>
          <w:tcPr>
            <w:tcW w:w="3664" w:type="pct"/>
            <w:textDirection w:val="lrTb"/>
            <w:noWrap w:val="false"/>
          </w:tcPr>
          <w:p>
            <w:pPr>
              <w:rPr>
                <w:b/>
                <w:sz w:val="24"/>
                <w:szCs w:val="24"/>
              </w:rPr>
            </w:pPr>
            <w:r>
              <w:rPr>
                <w:sz w:val="24"/>
                <w:szCs w:val="24"/>
              </w:rPr>
              <w:t xml:space="preserve">Копии документов, удостоверяющих право собственности Концедента в отношении объекта соглашения, передаваемых Концессионеру для исполнения обязательств по Соглашению.</w:t>
            </w:r>
            <w:r>
              <w:rPr>
                <w:b/>
                <w:sz w:val="24"/>
                <w:szCs w:val="24"/>
              </w:rPr>
            </w:r>
            <w:r>
              <w:rPr>
                <w:b/>
                <w:sz w:val="24"/>
                <w:szCs w:val="24"/>
              </w:rPr>
            </w:r>
          </w:p>
        </w:tc>
      </w:tr>
      <w:tr>
        <w:tblPrEx/>
        <w:trPr/>
        <w:tc>
          <w:tcPr>
            <w:tcW w:w="1336" w:type="pct"/>
            <w:textDirection w:val="lrTb"/>
            <w:noWrap w:val="false"/>
          </w:tcPr>
          <w:p>
            <w:pPr>
              <w:rPr>
                <w:i/>
                <w:sz w:val="24"/>
                <w:szCs w:val="24"/>
                <w:u w:val="single"/>
              </w:rPr>
            </w:pPr>
            <w:r>
              <w:rPr>
                <w:i/>
                <w:sz w:val="24"/>
                <w:szCs w:val="24"/>
                <w:u w:val="single"/>
              </w:rPr>
              <w:t xml:space="preserve">Приложение № 13</w:t>
            </w:r>
            <w:r>
              <w:rPr>
                <w:i/>
                <w:sz w:val="24"/>
                <w:szCs w:val="24"/>
                <w:u w:val="single"/>
              </w:rPr>
            </w:r>
            <w:r>
              <w:rPr>
                <w:i/>
                <w:sz w:val="24"/>
                <w:szCs w:val="24"/>
                <w:u w:val="single"/>
              </w:rPr>
            </w:r>
          </w:p>
        </w:tc>
        <w:tc>
          <w:tcPr>
            <w:tcW w:w="3664" w:type="pct"/>
            <w:textDirection w:val="lrTb"/>
            <w:noWrap w:val="false"/>
          </w:tcPr>
          <w:p>
            <w:pPr>
              <w:rPr>
                <w:sz w:val="24"/>
                <w:szCs w:val="24"/>
              </w:rPr>
            </w:pPr>
            <w:r>
              <w:rPr>
                <w:sz w:val="24"/>
                <w:szCs w:val="24"/>
              </w:rPr>
              <w:t xml:space="preserve">Технико-экономические показатели системы теплоснабжения, входящей в состав Объекта Соглашения</w:t>
            </w:r>
            <w:r>
              <w:rPr>
                <w:sz w:val="24"/>
                <w:szCs w:val="24"/>
              </w:rPr>
            </w:r>
            <w:r>
              <w:rPr>
                <w:sz w:val="24"/>
                <w:szCs w:val="24"/>
              </w:rPr>
            </w:r>
          </w:p>
        </w:tc>
      </w:tr>
      <w:tr>
        <w:tblPrEx/>
        <w:trPr/>
        <w:tc>
          <w:tcPr>
            <w:tcW w:w="1336" w:type="pct"/>
            <w:textDirection w:val="lrTb"/>
            <w:noWrap w:val="false"/>
          </w:tcPr>
          <w:p>
            <w:pPr>
              <w:rPr>
                <w:i/>
                <w:sz w:val="24"/>
                <w:szCs w:val="24"/>
                <w:u w:val="single"/>
              </w:rPr>
            </w:pPr>
            <w:r>
              <w:rPr>
                <w:i/>
                <w:sz w:val="24"/>
                <w:szCs w:val="24"/>
                <w:u w:val="single"/>
              </w:rPr>
              <w:t xml:space="preserve">Приложение № 14</w:t>
            </w:r>
            <w:r>
              <w:rPr>
                <w:i/>
                <w:sz w:val="24"/>
                <w:szCs w:val="24"/>
                <w:u w:val="single"/>
              </w:rPr>
            </w:r>
            <w:r>
              <w:rPr>
                <w:i/>
                <w:sz w:val="24"/>
                <w:szCs w:val="24"/>
                <w:u w:val="single"/>
              </w:rPr>
            </w:r>
          </w:p>
        </w:tc>
        <w:tc>
          <w:tcPr>
            <w:tcW w:w="3664" w:type="pct"/>
            <w:textDirection w:val="lrTb"/>
            <w:noWrap w:val="false"/>
          </w:tcPr>
          <w:p>
            <w:pPr>
              <w:rPr>
                <w:sz w:val="24"/>
                <w:szCs w:val="24"/>
              </w:rPr>
            </w:pPr>
            <w:r>
              <w:rPr>
                <w:sz w:val="24"/>
                <w:szCs w:val="24"/>
              </w:rPr>
              <w:t xml:space="preserve">Порядок обмена информации между Концессионером, Концедентом и Субъектом</w:t>
            </w:r>
            <w:r>
              <w:rPr>
                <w:sz w:val="24"/>
                <w:szCs w:val="24"/>
              </w:rPr>
            </w:r>
            <w:r>
              <w:rPr>
                <w:sz w:val="24"/>
                <w:szCs w:val="24"/>
              </w:rPr>
            </w:r>
          </w:p>
        </w:tc>
      </w:tr>
      <w:tr>
        <w:tblPrEx/>
        <w:trPr>
          <w:trHeight w:val="237"/>
        </w:trPr>
        <w:tc>
          <w:tcPr>
            <w:tcW w:w="1336" w:type="pct"/>
            <w:textDirection w:val="lrTb"/>
            <w:noWrap w:val="false"/>
          </w:tcPr>
          <w:p>
            <w:pPr>
              <w:rPr>
                <w:i/>
                <w:sz w:val="24"/>
                <w:szCs w:val="24"/>
                <w:u w:val="single"/>
              </w:rPr>
            </w:pPr>
            <w:r>
              <w:rPr>
                <w:i/>
                <w:sz w:val="24"/>
                <w:szCs w:val="24"/>
                <w:u w:val="single"/>
              </w:rPr>
              <w:t xml:space="preserve">Приложение № 15</w:t>
            </w:r>
            <w:r>
              <w:rPr>
                <w:i/>
                <w:sz w:val="24"/>
                <w:szCs w:val="24"/>
                <w:u w:val="single"/>
              </w:rPr>
            </w:r>
            <w:r>
              <w:rPr>
                <w:i/>
                <w:sz w:val="24"/>
                <w:szCs w:val="24"/>
                <w:u w:val="single"/>
              </w:rPr>
            </w:r>
          </w:p>
        </w:tc>
        <w:tc>
          <w:tcPr>
            <w:tcW w:w="3664" w:type="pct"/>
            <w:textDirection w:val="lrTb"/>
            <w:noWrap w:val="false"/>
          </w:tcPr>
          <w:p>
            <w:pPr>
              <w:rPr>
                <w:b/>
                <w:sz w:val="24"/>
                <w:szCs w:val="24"/>
              </w:rPr>
            </w:pPr>
            <w:r>
              <w:rPr>
                <w:sz w:val="24"/>
                <w:szCs w:val="24"/>
              </w:rPr>
              <w:t xml:space="preserve">Проект договора аренды земельного участка № 1</w:t>
            </w:r>
            <w:r>
              <w:rPr>
                <w:b/>
                <w:sz w:val="24"/>
                <w:szCs w:val="24"/>
              </w:rPr>
            </w:r>
            <w:r>
              <w:rPr>
                <w:b/>
                <w:sz w:val="24"/>
                <w:szCs w:val="24"/>
              </w:rPr>
            </w:r>
          </w:p>
        </w:tc>
      </w:tr>
      <w:tr>
        <w:tblPrEx/>
        <w:trPr/>
        <w:tc>
          <w:tcPr>
            <w:tcW w:w="1336" w:type="pct"/>
            <w:textDirection w:val="lrTb"/>
            <w:noWrap w:val="false"/>
          </w:tcPr>
          <w:p>
            <w:pPr>
              <w:rPr>
                <w:i/>
                <w:sz w:val="24"/>
                <w:szCs w:val="24"/>
                <w:u w:val="single"/>
              </w:rPr>
            </w:pPr>
            <w:r>
              <w:rPr>
                <w:i/>
                <w:sz w:val="24"/>
                <w:szCs w:val="24"/>
                <w:u w:val="single"/>
              </w:rPr>
              <w:t xml:space="preserve">Приложение № 16</w:t>
            </w:r>
            <w:r>
              <w:rPr>
                <w:i/>
                <w:sz w:val="24"/>
                <w:szCs w:val="24"/>
                <w:u w:val="single"/>
              </w:rPr>
            </w:r>
            <w:r>
              <w:rPr>
                <w:i/>
                <w:sz w:val="24"/>
                <w:szCs w:val="24"/>
                <w:u w:val="single"/>
              </w:rPr>
            </w:r>
          </w:p>
          <w:p>
            <w:pPr>
              <w:rPr>
                <w:i/>
                <w:sz w:val="24"/>
                <w:szCs w:val="24"/>
                <w:u w:val="single"/>
              </w:rPr>
            </w:pPr>
            <w:r>
              <w:rPr>
                <w:i/>
                <w:sz w:val="24"/>
                <w:szCs w:val="24"/>
                <w:u w:val="single"/>
              </w:rPr>
            </w:r>
            <w:r>
              <w:rPr>
                <w:i/>
                <w:sz w:val="24"/>
                <w:szCs w:val="24"/>
                <w:u w:val="single"/>
              </w:rPr>
            </w:r>
            <w:r>
              <w:rPr>
                <w:i/>
                <w:sz w:val="24"/>
                <w:szCs w:val="24"/>
                <w:u w:val="single"/>
              </w:rPr>
            </w:r>
          </w:p>
        </w:tc>
        <w:tc>
          <w:tcPr>
            <w:tcW w:w="3664" w:type="pct"/>
            <w:textDirection w:val="lrTb"/>
            <w:noWrap w:val="false"/>
          </w:tcPr>
          <w:p>
            <w:pPr>
              <w:rPr>
                <w:sz w:val="24"/>
                <w:szCs w:val="24"/>
              </w:rPr>
            </w:pPr>
            <w:r>
              <w:rPr>
                <w:sz w:val="24"/>
                <w:szCs w:val="24"/>
              </w:rPr>
              <w:t xml:space="preserve">Сведения о составе иного имущества,  передаваемого  по Соглашению</w:t>
            </w:r>
            <w:r>
              <w:rPr>
                <w:sz w:val="24"/>
                <w:szCs w:val="24"/>
              </w:rPr>
            </w:r>
            <w:r>
              <w:rPr>
                <w:sz w:val="24"/>
                <w:szCs w:val="24"/>
              </w:rPr>
            </w:r>
          </w:p>
        </w:tc>
      </w:tr>
      <w:tr>
        <w:tblPrEx/>
        <w:trPr/>
        <w:tc>
          <w:tcPr>
            <w:tcW w:w="1336" w:type="pct"/>
            <w:textDirection w:val="lrTb"/>
            <w:noWrap w:val="false"/>
          </w:tcPr>
          <w:p>
            <w:pPr>
              <w:rPr>
                <w:i/>
                <w:sz w:val="24"/>
                <w:szCs w:val="24"/>
                <w:u w:val="single"/>
              </w:rPr>
            </w:pPr>
            <w:r>
              <w:rPr>
                <w:i/>
                <w:sz w:val="24"/>
                <w:szCs w:val="24"/>
                <w:u w:val="single"/>
              </w:rPr>
              <w:t xml:space="preserve">Приложение № 17</w:t>
            </w:r>
            <w:r>
              <w:rPr>
                <w:i/>
                <w:sz w:val="24"/>
                <w:szCs w:val="24"/>
                <w:u w:val="single"/>
              </w:rPr>
            </w:r>
            <w:r>
              <w:rPr>
                <w:i/>
                <w:sz w:val="24"/>
                <w:szCs w:val="24"/>
                <w:u w:val="single"/>
              </w:rPr>
            </w:r>
          </w:p>
        </w:tc>
        <w:tc>
          <w:tcPr>
            <w:tcW w:w="3664" w:type="pct"/>
            <w:textDirection w:val="lrTb"/>
            <w:noWrap w:val="false"/>
          </w:tcPr>
          <w:p>
            <w:pPr>
              <w:rPr>
                <w:b/>
                <w:sz w:val="24"/>
                <w:szCs w:val="24"/>
              </w:rPr>
            </w:pPr>
            <w:r>
              <w:rPr>
                <w:sz w:val="24"/>
                <w:szCs w:val="24"/>
              </w:rPr>
              <w:t xml:space="preserve">Термины и определения</w:t>
            </w:r>
            <w:r>
              <w:rPr>
                <w:b/>
                <w:sz w:val="24"/>
                <w:szCs w:val="24"/>
              </w:rPr>
            </w:r>
            <w:r>
              <w:rPr>
                <w:b/>
                <w:sz w:val="24"/>
                <w:szCs w:val="24"/>
              </w:rPr>
            </w:r>
          </w:p>
        </w:tc>
      </w:tr>
      <w:tr>
        <w:tblPrEx/>
        <w:trPr/>
        <w:tc>
          <w:tcPr>
            <w:tcW w:w="1336" w:type="pct"/>
            <w:textDirection w:val="lrTb"/>
            <w:noWrap w:val="false"/>
          </w:tcPr>
          <w:p>
            <w:pPr>
              <w:rPr>
                <w:i/>
                <w:sz w:val="24"/>
                <w:szCs w:val="24"/>
                <w:u w:val="single"/>
              </w:rPr>
            </w:pPr>
            <w:r/>
            <w:bookmarkStart w:id="108" w:name="sub_11900"/>
            <w:r>
              <w:rPr>
                <w:i/>
                <w:sz w:val="24"/>
                <w:szCs w:val="24"/>
                <w:u w:val="single"/>
              </w:rPr>
              <w:t xml:space="preserve">Приложение № 18</w:t>
            </w:r>
            <w:r>
              <w:rPr>
                <w:i/>
                <w:sz w:val="24"/>
                <w:szCs w:val="24"/>
                <w:u w:val="single"/>
              </w:rPr>
            </w:r>
            <w:r>
              <w:rPr>
                <w:i/>
                <w:sz w:val="24"/>
                <w:szCs w:val="24"/>
                <w:u w:val="single"/>
              </w:rPr>
            </w:r>
          </w:p>
        </w:tc>
        <w:tc>
          <w:tcPr>
            <w:tcW w:w="3664" w:type="pct"/>
            <w:textDirection w:val="lrTb"/>
            <w:noWrap w:val="false"/>
          </w:tcPr>
          <w:p>
            <w:pPr>
              <w:rPr>
                <w:b/>
                <w:sz w:val="24"/>
                <w:szCs w:val="24"/>
              </w:rPr>
            </w:pPr>
            <w:r>
              <w:rPr>
                <w:sz w:val="24"/>
                <w:szCs w:val="24"/>
              </w:rPr>
              <w:t xml:space="preserve">Порядок расчета размера и график выплаты Капитального гранта</w:t>
            </w:r>
            <w:r>
              <w:rPr>
                <w:b/>
                <w:sz w:val="24"/>
                <w:szCs w:val="24"/>
              </w:rPr>
            </w:r>
            <w:r>
              <w:rPr>
                <w:b/>
                <w:sz w:val="24"/>
                <w:szCs w:val="24"/>
              </w:rPr>
            </w:r>
          </w:p>
        </w:tc>
      </w:tr>
      <w:tr>
        <w:tblPrEx/>
        <w:trPr/>
        <w:tc>
          <w:tcPr>
            <w:tcW w:w="1336" w:type="pct"/>
            <w:textDirection w:val="lrTb"/>
            <w:noWrap w:val="false"/>
          </w:tcPr>
          <w:p>
            <w:pPr>
              <w:rPr>
                <w:i/>
                <w:sz w:val="24"/>
                <w:szCs w:val="24"/>
                <w:u w:val="single"/>
              </w:rPr>
            </w:pPr>
            <w:r>
              <w:rPr>
                <w:i/>
                <w:sz w:val="24"/>
                <w:szCs w:val="24"/>
                <w:u w:val="single"/>
              </w:rPr>
              <w:t xml:space="preserve">Приложение № 19</w:t>
            </w:r>
            <w:r>
              <w:rPr>
                <w:i/>
                <w:sz w:val="24"/>
                <w:szCs w:val="24"/>
                <w:u w:val="single"/>
              </w:rPr>
            </w:r>
            <w:r>
              <w:rPr>
                <w:i/>
                <w:sz w:val="24"/>
                <w:szCs w:val="24"/>
                <w:u w:val="single"/>
              </w:rPr>
            </w:r>
          </w:p>
        </w:tc>
        <w:tc>
          <w:tcPr>
            <w:tcW w:w="3664" w:type="pct"/>
            <w:textDirection w:val="lrTb"/>
            <w:noWrap w:val="false"/>
          </w:tcPr>
          <w:p>
            <w:pPr>
              <w:rPr>
                <w:b/>
                <w:sz w:val="24"/>
                <w:szCs w:val="24"/>
              </w:rPr>
            </w:pPr>
            <w:r>
              <w:rPr>
                <w:sz w:val="24"/>
                <w:szCs w:val="24"/>
              </w:rPr>
              <w:t xml:space="preserve">Порядок казначейского сопровождения</w:t>
            </w:r>
            <w:r>
              <w:rPr>
                <w:b/>
                <w:sz w:val="24"/>
                <w:szCs w:val="24"/>
              </w:rPr>
            </w:r>
            <w:r>
              <w:rPr>
                <w:b/>
                <w:sz w:val="24"/>
                <w:szCs w:val="24"/>
              </w:rPr>
            </w:r>
          </w:p>
        </w:tc>
      </w:tr>
      <w:tr>
        <w:tblPrEx/>
        <w:trPr/>
        <w:tc>
          <w:tcPr>
            <w:tcW w:w="1336" w:type="pct"/>
            <w:textDirection w:val="lrTb"/>
            <w:noWrap w:val="false"/>
          </w:tcPr>
          <w:p>
            <w:pPr>
              <w:rPr>
                <w:i/>
                <w:sz w:val="24"/>
                <w:szCs w:val="24"/>
                <w:u w:val="single"/>
              </w:rPr>
            </w:pPr>
            <w:r>
              <w:rPr>
                <w:i/>
                <w:sz w:val="24"/>
                <w:szCs w:val="24"/>
                <w:u w:val="single"/>
              </w:rPr>
              <w:t xml:space="preserve">Приложение № 20</w:t>
            </w:r>
            <w:r>
              <w:rPr>
                <w:i/>
                <w:sz w:val="24"/>
                <w:szCs w:val="24"/>
                <w:u w:val="single"/>
              </w:rPr>
            </w:r>
            <w:r>
              <w:rPr>
                <w:i/>
                <w:sz w:val="24"/>
                <w:szCs w:val="24"/>
                <w:u w:val="single"/>
              </w:rPr>
            </w:r>
          </w:p>
        </w:tc>
        <w:tc>
          <w:tcPr>
            <w:tcW w:w="3664" w:type="pct"/>
            <w:textDirection w:val="lrTb"/>
            <w:noWrap w:val="false"/>
          </w:tcPr>
          <w:p>
            <w:pPr>
              <w:rPr>
                <w:sz w:val="24"/>
                <w:szCs w:val="24"/>
              </w:rPr>
            </w:pPr>
            <w:r>
              <w:rPr>
                <w:sz w:val="24"/>
                <w:szCs w:val="24"/>
              </w:rPr>
              <w:t xml:space="preserve">Требования к банковской гарантии</w:t>
            </w:r>
            <w:r>
              <w:rPr>
                <w:sz w:val="24"/>
                <w:szCs w:val="24"/>
              </w:rPr>
            </w:r>
            <w:r>
              <w:rPr>
                <w:sz w:val="24"/>
                <w:szCs w:val="24"/>
              </w:rPr>
            </w:r>
          </w:p>
        </w:tc>
      </w:tr>
      <w:tr>
        <w:tblPrEx/>
        <w:trPr/>
        <w:tc>
          <w:tcPr>
            <w:tcW w:w="1336" w:type="pct"/>
            <w:textDirection w:val="lrTb"/>
            <w:noWrap w:val="false"/>
          </w:tcPr>
          <w:p>
            <w:pPr>
              <w:rPr>
                <w:i/>
                <w:sz w:val="24"/>
                <w:szCs w:val="24"/>
                <w:u w:val="single"/>
              </w:rPr>
            </w:pPr>
            <w:r>
              <w:rPr>
                <w:i/>
                <w:sz w:val="24"/>
                <w:szCs w:val="24"/>
                <w:u w:val="single"/>
              </w:rPr>
            </w:r>
            <w:r>
              <w:rPr>
                <w:i/>
                <w:sz w:val="24"/>
                <w:szCs w:val="24"/>
                <w:u w:val="single"/>
              </w:rPr>
            </w:r>
            <w:r>
              <w:rPr>
                <w:i/>
                <w:sz w:val="24"/>
                <w:szCs w:val="24"/>
                <w:u w:val="single"/>
              </w:rPr>
            </w:r>
          </w:p>
        </w:tc>
        <w:tc>
          <w:tcPr>
            <w:tcW w:w="3664" w:type="pct"/>
            <w:textDirection w:val="lrTb"/>
            <w:noWrap w:val="false"/>
          </w:tcPr>
          <w:p>
            <w:pPr>
              <w:rPr>
                <w:sz w:val="24"/>
                <w:szCs w:val="24"/>
              </w:rPr>
            </w:pPr>
            <w:r>
              <w:rPr>
                <w:sz w:val="24"/>
                <w:szCs w:val="24"/>
              </w:rPr>
            </w:r>
            <w:r>
              <w:rPr>
                <w:sz w:val="24"/>
                <w:szCs w:val="24"/>
              </w:rPr>
            </w:r>
            <w:r>
              <w:rPr>
                <w:sz w:val="24"/>
                <w:szCs w:val="24"/>
              </w:rPr>
            </w:r>
          </w:p>
        </w:tc>
      </w:tr>
    </w:tbl>
    <w:p>
      <w:pPr>
        <w:pStyle w:val="959"/>
        <w:ind w:firstLine="680"/>
        <w:jc w:val="both"/>
        <w:rPr>
          <w:rStyle w:val="951"/>
          <w:rFonts w:ascii="Times New Roman" w:hAnsi="Times New Roman" w:cs="Times New Roman"/>
        </w:rPr>
      </w:pPr>
      <w:r>
        <w:rPr>
          <w:rFonts w:ascii="Times New Roman" w:hAnsi="Times New Roman" w:cs="Times New Roman"/>
        </w:rPr>
      </w:r>
      <w:r>
        <w:rPr>
          <w:rStyle w:val="951"/>
          <w:rFonts w:ascii="Times New Roman" w:hAnsi="Times New Roman" w:cs="Times New Roman"/>
        </w:rPr>
      </w:r>
      <w:r>
        <w:rPr>
          <w:rStyle w:val="951"/>
          <w:rFonts w:ascii="Times New Roman" w:hAnsi="Times New Roman" w:cs="Times New Roman"/>
        </w:rPr>
      </w:r>
    </w:p>
    <w:p>
      <w:pPr>
        <w:pStyle w:val="959"/>
        <w:ind w:firstLine="680"/>
        <w:jc w:val="center"/>
        <w:rPr>
          <w:rFonts w:ascii="Times New Roman" w:hAnsi="Times New Roman" w:cs="Times New Roman"/>
        </w:rPr>
      </w:pPr>
      <w:r>
        <w:rPr>
          <w:rStyle w:val="951"/>
          <w:rFonts w:ascii="Times New Roman" w:hAnsi="Times New Roman" w:cs="Times New Roman"/>
        </w:rPr>
        <w:t xml:space="preserve">XX</w:t>
      </w:r>
      <w:r>
        <w:rPr>
          <w:rStyle w:val="951"/>
          <w:rFonts w:ascii="Times New Roman" w:hAnsi="Times New Roman" w:cs="Times New Roman"/>
          <w:lang w:val="en-US"/>
        </w:rPr>
        <w:t xml:space="preserve">IV</w:t>
      </w:r>
      <w:r>
        <w:rPr>
          <w:rStyle w:val="951"/>
          <w:rFonts w:ascii="Times New Roman" w:hAnsi="Times New Roman" w:cs="Times New Roman"/>
        </w:rPr>
        <w:t xml:space="preserve">. Адреса и реквизиты Сторон</w:t>
      </w:r>
      <w:bookmarkEnd w:id="108"/>
      <w:r>
        <w:rPr>
          <w:rFonts w:ascii="Times New Roman" w:hAnsi="Times New Roman" w:cs="Times New Roman"/>
        </w:rPr>
      </w:r>
      <w:r>
        <w:rPr>
          <w:rFonts w:ascii="Times New Roman" w:hAnsi="Times New Roman" w:cs="Times New Roman"/>
        </w:rPr>
      </w:r>
    </w:p>
    <w:p>
      <w:pPr>
        <w:ind w:firstLine="680"/>
        <w:rPr>
          <w:sz w:val="24"/>
          <w:szCs w:val="24"/>
        </w:rPr>
      </w:pPr>
      <w:r>
        <w:rPr>
          <w:sz w:val="24"/>
          <w:szCs w:val="24"/>
        </w:rPr>
      </w:r>
      <w:r>
        <w:rPr>
          <w:sz w:val="24"/>
          <w:szCs w:val="24"/>
        </w:rPr>
      </w:r>
      <w:r>
        <w:rPr>
          <w:sz w:val="24"/>
          <w:szCs w:val="24"/>
        </w:rPr>
      </w:r>
    </w:p>
    <w:tbl>
      <w:tblPr>
        <w:tblStyle w:val="937"/>
        <w:tblW w:w="5000" w:type="pc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194"/>
        <w:gridCol w:w="3233"/>
        <w:gridCol w:w="3137"/>
      </w:tblGrid>
      <w:tr>
        <w:tblPrEx/>
        <w:trPr>
          <w:trHeight w:val="291"/>
        </w:trPr>
        <w:tc>
          <w:tcPr>
            <w:tcW w:w="1670" w:type="pct"/>
            <w:textDirection w:val="lrTb"/>
            <w:noWrap w:val="false"/>
          </w:tcPr>
          <w:p>
            <w:pPr>
              <w:contextualSpacing/>
              <w:jc w:val="center"/>
              <w:rPr>
                <w:b/>
                <w:sz w:val="24"/>
                <w:szCs w:val="24"/>
              </w:rPr>
            </w:pPr>
            <w:r>
              <w:rPr>
                <w:b/>
                <w:sz w:val="24"/>
                <w:szCs w:val="24"/>
              </w:rPr>
              <w:t xml:space="preserve">Концедент</w:t>
            </w:r>
            <w:r>
              <w:rPr>
                <w:b/>
                <w:sz w:val="24"/>
                <w:szCs w:val="24"/>
              </w:rPr>
            </w:r>
            <w:r>
              <w:rPr>
                <w:b/>
                <w:sz w:val="24"/>
                <w:szCs w:val="24"/>
              </w:rPr>
            </w:r>
          </w:p>
        </w:tc>
        <w:tc>
          <w:tcPr>
            <w:tcW w:w="1690" w:type="pct"/>
            <w:textDirection w:val="lrTb"/>
            <w:noWrap w:val="false"/>
          </w:tcPr>
          <w:p>
            <w:pPr>
              <w:contextualSpacing/>
              <w:jc w:val="center"/>
              <w:rPr>
                <w:b/>
                <w:sz w:val="24"/>
                <w:szCs w:val="24"/>
              </w:rPr>
            </w:pPr>
            <w:r>
              <w:rPr>
                <w:b/>
                <w:sz w:val="24"/>
                <w:szCs w:val="24"/>
              </w:rPr>
              <w:t xml:space="preserve">Концессионер</w:t>
            </w:r>
            <w:r>
              <w:rPr>
                <w:b/>
                <w:sz w:val="24"/>
                <w:szCs w:val="24"/>
              </w:rPr>
            </w:r>
            <w:r>
              <w:rPr>
                <w:b/>
                <w:sz w:val="24"/>
                <w:szCs w:val="24"/>
              </w:rPr>
            </w:r>
          </w:p>
        </w:tc>
        <w:tc>
          <w:tcPr>
            <w:tcW w:w="1640" w:type="pct"/>
            <w:textDirection w:val="lrTb"/>
            <w:noWrap w:val="false"/>
          </w:tcPr>
          <w:p>
            <w:pPr>
              <w:contextualSpacing/>
              <w:jc w:val="center"/>
              <w:rPr>
                <w:b/>
                <w:sz w:val="24"/>
                <w:szCs w:val="24"/>
              </w:rPr>
            </w:pPr>
            <w:r>
              <w:rPr>
                <w:b/>
                <w:sz w:val="24"/>
                <w:szCs w:val="24"/>
              </w:rPr>
              <w:t xml:space="preserve">Субъект</w:t>
            </w:r>
            <w:r>
              <w:rPr>
                <w:b/>
                <w:sz w:val="24"/>
                <w:szCs w:val="24"/>
              </w:rPr>
            </w:r>
            <w:r>
              <w:rPr>
                <w:b/>
                <w:sz w:val="24"/>
                <w:szCs w:val="24"/>
              </w:rPr>
            </w:r>
          </w:p>
        </w:tc>
      </w:tr>
      <w:tr>
        <w:tblPrEx/>
        <w:trPr/>
        <w:tc>
          <w:tcPr>
            <w:tcW w:w="1670" w:type="pct"/>
            <w:textDirection w:val="lrTb"/>
            <w:noWrap w:val="false"/>
          </w:tcPr>
          <w:p>
            <w:pPr>
              <w:jc w:val="center"/>
              <w:rPr>
                <w:b/>
                <w:sz w:val="24"/>
                <w:szCs w:val="24"/>
              </w:rPr>
            </w:pPr>
            <w:r>
              <w:rPr>
                <w:b/>
                <w:sz w:val="24"/>
                <w:szCs w:val="24"/>
              </w:rPr>
              <w:t xml:space="preserve">Муниципальное образование Печенгский муниципальный округ  Мурманской области</w:t>
            </w:r>
            <w:r>
              <w:rPr>
                <w:b/>
                <w:sz w:val="24"/>
                <w:szCs w:val="24"/>
              </w:rPr>
            </w:r>
            <w:r>
              <w:rPr>
                <w:b/>
                <w:sz w:val="24"/>
                <w:szCs w:val="24"/>
              </w:rPr>
            </w:r>
          </w:p>
        </w:tc>
        <w:tc>
          <w:tcPr>
            <w:tcW w:w="1690" w:type="pct"/>
            <w:textDirection w:val="lrTb"/>
            <w:noWrap w:val="false"/>
          </w:tcPr>
          <w:p>
            <w:pPr>
              <w:jc w:val="center"/>
              <w:rPr>
                <w:b/>
                <w:sz w:val="24"/>
                <w:szCs w:val="24"/>
              </w:rPr>
            </w:pPr>
            <w:r>
              <w:rPr>
                <w:b/>
                <w:sz w:val="24"/>
                <w:szCs w:val="24"/>
              </w:rPr>
              <w:t xml:space="preserve">Общество с ограниченной ответственностью «ПромВоенСтрой»</w:t>
            </w:r>
            <w:r>
              <w:rPr>
                <w:b/>
                <w:sz w:val="24"/>
                <w:szCs w:val="24"/>
              </w:rPr>
            </w:r>
            <w:r>
              <w:rPr>
                <w:b/>
                <w:sz w:val="24"/>
                <w:szCs w:val="24"/>
              </w:rPr>
            </w:r>
          </w:p>
        </w:tc>
        <w:tc>
          <w:tcPr>
            <w:tcW w:w="1640" w:type="pct"/>
            <w:textDirection w:val="lrTb"/>
            <w:noWrap w:val="false"/>
          </w:tcPr>
          <w:p>
            <w:pPr>
              <w:jc w:val="center"/>
              <w:rPr>
                <w:b/>
                <w:sz w:val="24"/>
                <w:szCs w:val="24"/>
              </w:rPr>
            </w:pPr>
            <w:r>
              <w:rPr>
                <w:b/>
                <w:sz w:val="24"/>
                <w:szCs w:val="24"/>
              </w:rPr>
              <w:t xml:space="preserve">Мурманская область</w:t>
            </w:r>
            <w:r>
              <w:rPr>
                <w:b/>
                <w:sz w:val="24"/>
                <w:szCs w:val="24"/>
              </w:rPr>
            </w:r>
            <w:r>
              <w:rPr>
                <w:b/>
                <w:sz w:val="24"/>
                <w:szCs w:val="24"/>
              </w:rPr>
            </w:r>
          </w:p>
          <w:p>
            <w:pPr>
              <w:jc w:val="center"/>
              <w:rPr>
                <w:b/>
                <w:sz w:val="24"/>
                <w:szCs w:val="24"/>
              </w:rPr>
            </w:pPr>
            <w:r>
              <w:rPr>
                <w:b/>
                <w:sz w:val="24"/>
                <w:szCs w:val="24"/>
              </w:rPr>
            </w:r>
            <w:r>
              <w:rPr>
                <w:b/>
                <w:sz w:val="24"/>
                <w:szCs w:val="24"/>
              </w:rPr>
            </w:r>
            <w:r>
              <w:rPr>
                <w:b/>
                <w:sz w:val="24"/>
                <w:szCs w:val="24"/>
              </w:rPr>
            </w:r>
          </w:p>
        </w:tc>
      </w:tr>
      <w:tr>
        <w:tblPrEx/>
        <w:trPr/>
        <w:tc>
          <w:tcPr>
            <w:tcW w:w="1670" w:type="pct"/>
            <w:textDirection w:val="lrTb"/>
            <w:noWrap w:val="false"/>
          </w:tcPr>
          <w:p>
            <w:pPr>
              <w:rPr>
                <w:sz w:val="24"/>
                <w:szCs w:val="24"/>
              </w:rPr>
            </w:pPr>
            <w:r>
              <w:rPr>
                <w:sz w:val="24"/>
                <w:szCs w:val="24"/>
              </w:rPr>
              <w:t xml:space="preserve">Юридический/почтовый адрес: 184430, Мурманская область, Печенгский район, г. Заполярный, ул. Ленина, д.6</w:t>
            </w:r>
            <w:r>
              <w:rPr>
                <w:sz w:val="24"/>
                <w:szCs w:val="24"/>
              </w:rPr>
            </w:r>
            <w:r>
              <w:rPr>
                <w:sz w:val="24"/>
                <w:szCs w:val="24"/>
              </w:rPr>
            </w:r>
          </w:p>
          <w:p>
            <w:pPr>
              <w:rPr>
                <w:sz w:val="24"/>
                <w:szCs w:val="24"/>
              </w:rPr>
            </w:pPr>
            <w:r>
              <w:rPr>
                <w:sz w:val="24"/>
                <w:szCs w:val="24"/>
              </w:rPr>
              <w:t xml:space="preserve">Телефон: (815-54) 5-07-38</w:t>
            </w:r>
            <w:r>
              <w:rPr>
                <w:sz w:val="24"/>
                <w:szCs w:val="24"/>
              </w:rPr>
            </w:r>
            <w:r>
              <w:rPr>
                <w:sz w:val="24"/>
                <w:szCs w:val="24"/>
              </w:rPr>
            </w:r>
          </w:p>
          <w:p>
            <w:pPr>
              <w:rPr>
                <w:sz w:val="24"/>
                <w:szCs w:val="24"/>
              </w:rPr>
            </w:pPr>
            <w:r>
              <w:rPr>
                <w:sz w:val="24"/>
                <w:szCs w:val="24"/>
              </w:rPr>
              <w:t xml:space="preserve">Факс: (815-54) 5-21-23</w:t>
            </w:r>
            <w:r>
              <w:rPr>
                <w:sz w:val="24"/>
                <w:szCs w:val="24"/>
              </w:rPr>
            </w:r>
            <w:r>
              <w:rPr>
                <w:sz w:val="24"/>
                <w:szCs w:val="24"/>
              </w:rPr>
            </w:r>
          </w:p>
          <w:p>
            <w:pPr>
              <w:rPr>
                <w:sz w:val="24"/>
                <w:szCs w:val="24"/>
              </w:rPr>
            </w:pPr>
            <w:r>
              <w:rPr>
                <w:sz w:val="24"/>
                <w:szCs w:val="24"/>
                <w:lang w:val="en-US"/>
              </w:rPr>
              <w:t xml:space="preserve">E</w:t>
            </w:r>
            <w:r>
              <w:rPr>
                <w:sz w:val="24"/>
                <w:szCs w:val="24"/>
              </w:rPr>
              <w:t xml:space="preserve">-</w:t>
            </w:r>
            <w:r>
              <w:rPr>
                <w:sz w:val="24"/>
                <w:szCs w:val="24"/>
                <w:lang w:val="en-US"/>
              </w:rPr>
              <w:t xml:space="preserve">Mail</w:t>
            </w:r>
            <w:r>
              <w:rPr>
                <w:sz w:val="24"/>
                <w:szCs w:val="24"/>
              </w:rPr>
              <w:t xml:space="preserve">: </w:t>
            </w:r>
            <w:r>
              <w:rPr>
                <w:sz w:val="24"/>
                <w:szCs w:val="24"/>
                <w:lang w:val="en-US"/>
              </w:rPr>
              <w:t xml:space="preserve">adm</w:t>
            </w:r>
            <w:r>
              <w:rPr>
                <w:sz w:val="24"/>
                <w:szCs w:val="24"/>
              </w:rPr>
              <w:t xml:space="preserve">_</w:t>
            </w:r>
            <w:r>
              <w:rPr>
                <w:sz w:val="24"/>
                <w:szCs w:val="24"/>
                <w:lang w:val="en-US"/>
              </w:rPr>
              <w:t xml:space="preserve">pech</w:t>
            </w:r>
            <w:r>
              <w:rPr>
                <w:sz w:val="24"/>
                <w:szCs w:val="24"/>
              </w:rPr>
              <w:t xml:space="preserve">@</w:t>
            </w:r>
            <w:r>
              <w:rPr>
                <w:sz w:val="24"/>
                <w:szCs w:val="24"/>
                <w:lang w:val="en-US"/>
              </w:rPr>
              <w:t xml:space="preserve">mail</w:t>
            </w:r>
            <w:r>
              <w:rPr>
                <w:sz w:val="24"/>
                <w:szCs w:val="24"/>
              </w:rPr>
              <w:t xml:space="preserve">.</w:t>
            </w:r>
            <w:r>
              <w:rPr>
                <w:sz w:val="24"/>
                <w:szCs w:val="24"/>
                <w:lang w:val="en-US"/>
              </w:rPr>
              <w:t xml:space="preserve">ru</w:t>
            </w:r>
            <w:r>
              <w:rPr>
                <w:sz w:val="24"/>
                <w:szCs w:val="24"/>
              </w:rPr>
            </w:r>
            <w:r>
              <w:rPr>
                <w:sz w:val="24"/>
                <w:szCs w:val="24"/>
              </w:rPr>
            </w:r>
          </w:p>
        </w:tc>
        <w:tc>
          <w:tcPr>
            <w:tcW w:w="1690" w:type="pct"/>
            <w:textDirection w:val="lrTb"/>
            <w:noWrap w:val="false"/>
          </w:tcPr>
          <w:p>
            <w:pPr>
              <w:rPr>
                <w:sz w:val="24"/>
                <w:szCs w:val="24"/>
              </w:rPr>
            </w:pPr>
            <w:r>
              <w:rPr>
                <w:sz w:val="24"/>
                <w:szCs w:val="24"/>
              </w:rPr>
              <w:t xml:space="preserve">Юридический/почтовый адрес: 191124, г. Санкт-Петербург, ул. Орловская, д. 1, лит. А, пом. 55-Н,</w:t>
            </w:r>
            <w:r>
              <w:rPr>
                <w:sz w:val="24"/>
                <w:szCs w:val="24"/>
              </w:rPr>
            </w:r>
            <w:r>
              <w:rPr>
                <w:sz w:val="24"/>
                <w:szCs w:val="24"/>
              </w:rPr>
            </w:r>
          </w:p>
          <w:p>
            <w:pPr>
              <w:rPr>
                <w:sz w:val="24"/>
                <w:szCs w:val="24"/>
              </w:rPr>
            </w:pPr>
            <w:r>
              <w:rPr>
                <w:sz w:val="24"/>
                <w:szCs w:val="24"/>
              </w:rPr>
              <w:t xml:space="preserve">тел/факс (812) 616-01-21 </w:t>
            </w:r>
            <w:r>
              <w:rPr>
                <w:sz w:val="24"/>
                <w:szCs w:val="24"/>
                <w:lang w:val="en-US"/>
              </w:rPr>
              <w:t xml:space="preserve">e</w:t>
            </w:r>
            <w:r>
              <w:rPr>
                <w:sz w:val="24"/>
                <w:szCs w:val="24"/>
              </w:rPr>
              <w:t xml:space="preserve">:</w:t>
            </w:r>
            <w:r>
              <w:rPr>
                <w:sz w:val="24"/>
                <w:szCs w:val="24"/>
                <w:lang w:val="en-US"/>
              </w:rPr>
              <w:t xml:space="preserve">mail</w:t>
            </w:r>
            <w:r>
              <w:rPr>
                <w:sz w:val="24"/>
                <w:szCs w:val="24"/>
              </w:rPr>
              <w:t xml:space="preserve">; </w:t>
            </w:r>
            <w:r>
              <w:rPr>
                <w:sz w:val="24"/>
                <w:szCs w:val="24"/>
                <w:lang w:val="en-US"/>
              </w:rPr>
              <w:t xml:space="preserve">promvoenstroy</w:t>
            </w:r>
            <w:r>
              <w:rPr>
                <w:sz w:val="24"/>
                <w:szCs w:val="24"/>
              </w:rPr>
              <w:t xml:space="preserve">@</w:t>
            </w:r>
            <w:r>
              <w:rPr>
                <w:sz w:val="24"/>
                <w:szCs w:val="24"/>
                <w:lang w:val="en-US"/>
              </w:rPr>
              <w:t xml:space="preserve">gmail</w:t>
            </w:r>
            <w:r>
              <w:rPr>
                <w:sz w:val="24"/>
                <w:szCs w:val="24"/>
              </w:rPr>
              <w:t xml:space="preserve">.</w:t>
            </w:r>
            <w:r>
              <w:rPr>
                <w:sz w:val="24"/>
                <w:szCs w:val="24"/>
                <w:lang w:val="en-US"/>
              </w:rPr>
              <w:t xml:space="preserve">com</w:t>
            </w:r>
            <w:r>
              <w:rPr>
                <w:sz w:val="24"/>
                <w:szCs w:val="24"/>
              </w:rPr>
            </w:r>
            <w:r>
              <w:rPr>
                <w:sz w:val="24"/>
                <w:szCs w:val="24"/>
              </w:rPr>
            </w:r>
          </w:p>
        </w:tc>
        <w:tc>
          <w:tcPr>
            <w:tcW w:w="1640" w:type="pct"/>
            <w:textDirection w:val="lrTb"/>
            <w:noWrap w:val="false"/>
          </w:tcPr>
          <w:p>
            <w:pPr>
              <w:rPr>
                <w:sz w:val="24"/>
                <w:szCs w:val="24"/>
              </w:rPr>
            </w:pPr>
            <w:r>
              <w:rPr>
                <w:sz w:val="24"/>
                <w:szCs w:val="24"/>
              </w:rPr>
              <w:t xml:space="preserve">Адрес: 183006, г. Мурманск, пр. Ленина, д. 75</w:t>
            </w:r>
            <w:r>
              <w:rPr>
                <w:sz w:val="24"/>
                <w:szCs w:val="24"/>
              </w:rPr>
            </w:r>
            <w:r>
              <w:rPr>
                <w:sz w:val="24"/>
                <w:szCs w:val="24"/>
              </w:rPr>
            </w:r>
          </w:p>
        </w:tc>
      </w:tr>
      <w:tr>
        <w:tblPrEx/>
        <w:trPr/>
        <w:tc>
          <w:tcPr>
            <w:tcW w:w="1670" w:type="pct"/>
            <w:textDirection w:val="lrTb"/>
            <w:noWrap w:val="false"/>
          </w:tcPr>
          <w:p>
            <w:pPr>
              <w:rPr>
                <w:sz w:val="24"/>
                <w:szCs w:val="24"/>
              </w:rPr>
            </w:pPr>
            <w:r>
              <w:rPr>
                <w:sz w:val="24"/>
                <w:szCs w:val="24"/>
              </w:rPr>
              <w:t xml:space="preserve">Казначейский счет: 03231643475150004900</w:t>
            </w:r>
            <w:r>
              <w:rPr>
                <w:sz w:val="24"/>
                <w:szCs w:val="24"/>
              </w:rPr>
            </w:r>
            <w:r>
              <w:rPr>
                <w:sz w:val="24"/>
                <w:szCs w:val="24"/>
              </w:rPr>
            </w:r>
          </w:p>
          <w:p>
            <w:pPr>
              <w:rPr>
                <w:sz w:val="24"/>
                <w:szCs w:val="24"/>
              </w:rPr>
            </w:pPr>
            <w:r>
              <w:rPr>
                <w:sz w:val="24"/>
                <w:szCs w:val="24"/>
              </w:rPr>
              <w:t xml:space="preserve">Единый казначейский счет: 40102810745370000041</w:t>
            </w:r>
            <w:r>
              <w:rPr>
                <w:sz w:val="24"/>
                <w:szCs w:val="24"/>
              </w:rPr>
            </w:r>
            <w:r>
              <w:rPr>
                <w:sz w:val="24"/>
                <w:szCs w:val="24"/>
              </w:rPr>
            </w:r>
          </w:p>
          <w:p>
            <w:pPr>
              <w:rPr>
                <w:sz w:val="24"/>
                <w:szCs w:val="24"/>
              </w:rPr>
            </w:pPr>
            <w:r>
              <w:rPr>
                <w:sz w:val="24"/>
                <w:szCs w:val="24"/>
              </w:rPr>
              <w:t xml:space="preserve">в Отделении Мурманск Банка России //УФК по Мурманской области, г. Мурманск</w:t>
            </w:r>
            <w:r>
              <w:rPr>
                <w:sz w:val="24"/>
                <w:szCs w:val="24"/>
              </w:rPr>
            </w:r>
            <w:r>
              <w:rPr>
                <w:sz w:val="24"/>
                <w:szCs w:val="24"/>
              </w:rPr>
            </w:r>
          </w:p>
          <w:p>
            <w:pPr>
              <w:rPr>
                <w:sz w:val="24"/>
                <w:szCs w:val="24"/>
              </w:rPr>
            </w:pPr>
            <w:r>
              <w:rPr>
                <w:sz w:val="24"/>
                <w:szCs w:val="24"/>
              </w:rPr>
              <w:t xml:space="preserve">Лицевой счет 03493D50400</w:t>
            </w:r>
            <w:r>
              <w:rPr>
                <w:sz w:val="24"/>
                <w:szCs w:val="24"/>
              </w:rPr>
            </w:r>
            <w:r>
              <w:rPr>
                <w:sz w:val="24"/>
                <w:szCs w:val="24"/>
              </w:rPr>
            </w:r>
          </w:p>
          <w:p>
            <w:pPr>
              <w:rPr>
                <w:sz w:val="24"/>
                <w:szCs w:val="24"/>
              </w:rPr>
            </w:pPr>
            <w:r>
              <w:rPr>
                <w:sz w:val="24"/>
                <w:szCs w:val="24"/>
              </w:rPr>
              <w:t xml:space="preserve">БИК: 014705901</w:t>
            </w:r>
            <w:r>
              <w:rPr>
                <w:sz w:val="24"/>
                <w:szCs w:val="24"/>
              </w:rPr>
            </w:r>
            <w:r>
              <w:rPr>
                <w:sz w:val="24"/>
                <w:szCs w:val="24"/>
              </w:rPr>
            </w:r>
          </w:p>
          <w:p>
            <w:pPr>
              <w:rPr>
                <w:sz w:val="24"/>
                <w:szCs w:val="24"/>
              </w:rPr>
            </w:pPr>
            <w:r>
              <w:rPr>
                <w:sz w:val="24"/>
                <w:szCs w:val="24"/>
              </w:rPr>
              <w:t xml:space="preserve">ИНН: 5105013648</w:t>
            </w:r>
            <w:r>
              <w:rPr>
                <w:sz w:val="24"/>
                <w:szCs w:val="24"/>
              </w:rPr>
            </w:r>
            <w:r>
              <w:rPr>
                <w:sz w:val="24"/>
                <w:szCs w:val="24"/>
              </w:rPr>
            </w:r>
          </w:p>
          <w:p>
            <w:pPr>
              <w:rPr>
                <w:sz w:val="24"/>
                <w:szCs w:val="24"/>
              </w:rPr>
            </w:pPr>
            <w:r>
              <w:rPr>
                <w:sz w:val="24"/>
                <w:szCs w:val="24"/>
              </w:rPr>
              <w:t xml:space="preserve">КПП: 510501001</w:t>
            </w:r>
            <w:r>
              <w:rPr>
                <w:sz w:val="24"/>
                <w:szCs w:val="24"/>
              </w:rPr>
            </w:r>
            <w:r>
              <w:rPr>
                <w:sz w:val="24"/>
                <w:szCs w:val="24"/>
              </w:rPr>
            </w:r>
          </w:p>
          <w:p>
            <w:pPr>
              <w:rPr>
                <w:sz w:val="24"/>
                <w:szCs w:val="24"/>
              </w:rPr>
            </w:pPr>
            <w:r>
              <w:rPr>
                <w:sz w:val="24"/>
                <w:szCs w:val="24"/>
              </w:rPr>
              <w:t xml:space="preserve">ОГРН: 1205100004394</w:t>
            </w:r>
            <w:r>
              <w:rPr>
                <w:sz w:val="24"/>
                <w:szCs w:val="24"/>
              </w:rPr>
            </w:r>
            <w:r>
              <w:rPr>
                <w:sz w:val="24"/>
                <w:szCs w:val="24"/>
              </w:rPr>
            </w:r>
          </w:p>
          <w:p>
            <w:pPr>
              <w:rPr>
                <w:sz w:val="24"/>
                <w:szCs w:val="24"/>
              </w:rPr>
            </w:pPr>
            <w:r>
              <w:rPr>
                <w:sz w:val="24"/>
                <w:szCs w:val="24"/>
              </w:rPr>
              <w:t xml:space="preserve">ОКАТО: 47215503000</w:t>
            </w:r>
            <w:r>
              <w:rPr>
                <w:sz w:val="24"/>
                <w:szCs w:val="24"/>
              </w:rPr>
            </w:r>
            <w:r>
              <w:rPr>
                <w:sz w:val="24"/>
                <w:szCs w:val="24"/>
              </w:rPr>
            </w:r>
          </w:p>
        </w:tc>
        <w:tc>
          <w:tcPr>
            <w:tcW w:w="1690" w:type="pct"/>
            <w:textDirection w:val="lrTb"/>
            <w:noWrap w:val="false"/>
          </w:tcPr>
          <w:p>
            <w:pPr>
              <w:rPr>
                <w:sz w:val="24"/>
                <w:szCs w:val="24"/>
              </w:rPr>
            </w:pPr>
            <w:r>
              <w:rPr>
                <w:sz w:val="24"/>
                <w:szCs w:val="24"/>
              </w:rPr>
              <w:t xml:space="preserve">ИНН 7842410730</w:t>
            </w:r>
            <w:r>
              <w:rPr>
                <w:sz w:val="24"/>
                <w:szCs w:val="24"/>
              </w:rPr>
            </w:r>
            <w:r>
              <w:rPr>
                <w:sz w:val="24"/>
                <w:szCs w:val="24"/>
              </w:rPr>
            </w:r>
          </w:p>
          <w:p>
            <w:pPr>
              <w:rPr>
                <w:sz w:val="24"/>
                <w:szCs w:val="24"/>
              </w:rPr>
            </w:pPr>
            <w:r>
              <w:rPr>
                <w:sz w:val="24"/>
                <w:szCs w:val="24"/>
              </w:rPr>
              <w:t xml:space="preserve">КПП 784201001</w:t>
            </w:r>
            <w:r>
              <w:rPr>
                <w:sz w:val="24"/>
                <w:szCs w:val="24"/>
              </w:rPr>
            </w:r>
            <w:r>
              <w:rPr>
                <w:sz w:val="24"/>
                <w:szCs w:val="24"/>
              </w:rPr>
            </w:r>
          </w:p>
          <w:p>
            <w:pPr>
              <w:rPr>
                <w:sz w:val="24"/>
                <w:szCs w:val="24"/>
              </w:rPr>
            </w:pPr>
            <w:r>
              <w:rPr>
                <w:sz w:val="24"/>
                <w:szCs w:val="24"/>
              </w:rPr>
              <w:t xml:space="preserve">р/сч 40702810600024678895</w:t>
            </w:r>
            <w:r>
              <w:rPr>
                <w:sz w:val="24"/>
                <w:szCs w:val="24"/>
              </w:rPr>
            </w:r>
            <w:r>
              <w:rPr>
                <w:sz w:val="24"/>
                <w:szCs w:val="24"/>
              </w:rPr>
            </w:r>
          </w:p>
          <w:p>
            <w:pPr>
              <w:rPr>
                <w:sz w:val="24"/>
                <w:szCs w:val="24"/>
              </w:rPr>
            </w:pPr>
            <w:r>
              <w:rPr>
                <w:sz w:val="24"/>
                <w:szCs w:val="24"/>
              </w:rPr>
              <w:t xml:space="preserve">Петербургский филиал</w:t>
            </w:r>
            <w:r>
              <w:rPr>
                <w:sz w:val="24"/>
                <w:szCs w:val="24"/>
              </w:rPr>
            </w:r>
            <w:r>
              <w:rPr>
                <w:sz w:val="24"/>
                <w:szCs w:val="24"/>
              </w:rPr>
            </w:r>
          </w:p>
          <w:p>
            <w:pPr>
              <w:rPr>
                <w:sz w:val="24"/>
                <w:szCs w:val="24"/>
              </w:rPr>
            </w:pPr>
            <w:r>
              <w:rPr>
                <w:sz w:val="24"/>
                <w:szCs w:val="24"/>
              </w:rPr>
              <w:t xml:space="preserve">АО ЮниКредит Банк</w:t>
            </w:r>
            <w:r>
              <w:rPr>
                <w:sz w:val="24"/>
                <w:szCs w:val="24"/>
              </w:rPr>
            </w:r>
            <w:r>
              <w:rPr>
                <w:sz w:val="24"/>
                <w:szCs w:val="24"/>
              </w:rPr>
            </w:r>
          </w:p>
          <w:p>
            <w:pPr>
              <w:rPr>
                <w:sz w:val="24"/>
                <w:szCs w:val="24"/>
              </w:rPr>
            </w:pPr>
            <w:r>
              <w:rPr>
                <w:sz w:val="24"/>
                <w:szCs w:val="24"/>
              </w:rPr>
              <w:t xml:space="preserve">к/с. 30101810800000000858</w:t>
            </w:r>
            <w:r>
              <w:rPr>
                <w:sz w:val="24"/>
                <w:szCs w:val="24"/>
              </w:rPr>
            </w:r>
            <w:r>
              <w:rPr>
                <w:sz w:val="24"/>
                <w:szCs w:val="24"/>
              </w:rPr>
            </w:r>
          </w:p>
          <w:p>
            <w:pPr>
              <w:rPr>
                <w:sz w:val="24"/>
                <w:szCs w:val="24"/>
              </w:rPr>
            </w:pPr>
            <w:r>
              <w:rPr>
                <w:sz w:val="24"/>
                <w:szCs w:val="24"/>
              </w:rPr>
              <w:t xml:space="preserve">БИК: 044030858</w:t>
            </w:r>
            <w:r>
              <w:rPr>
                <w:sz w:val="24"/>
                <w:szCs w:val="24"/>
              </w:rPr>
            </w:r>
            <w:r>
              <w:rPr>
                <w:sz w:val="24"/>
                <w:szCs w:val="24"/>
              </w:rPr>
            </w:r>
          </w:p>
          <w:p>
            <w:pPr>
              <w:rPr>
                <w:sz w:val="24"/>
                <w:szCs w:val="24"/>
              </w:rPr>
            </w:pPr>
            <w:r>
              <w:rPr>
                <w:sz w:val="24"/>
                <w:szCs w:val="24"/>
              </w:rPr>
              <w:t xml:space="preserve">ОКАТО 402 985 630 00</w:t>
            </w:r>
            <w:r>
              <w:rPr>
                <w:sz w:val="24"/>
                <w:szCs w:val="24"/>
              </w:rPr>
            </w:r>
            <w:r>
              <w:rPr>
                <w:sz w:val="24"/>
                <w:szCs w:val="24"/>
              </w:rPr>
            </w:r>
          </w:p>
          <w:p>
            <w:pPr>
              <w:rPr>
                <w:sz w:val="24"/>
                <w:szCs w:val="24"/>
              </w:rPr>
            </w:pPr>
            <w:r>
              <w:rPr>
                <w:sz w:val="24"/>
                <w:szCs w:val="24"/>
              </w:rPr>
              <w:t xml:space="preserve">ОГРН 109 784 717 23 67</w:t>
            </w:r>
            <w:r>
              <w:rPr>
                <w:sz w:val="24"/>
                <w:szCs w:val="24"/>
              </w:rPr>
            </w:r>
            <w:r>
              <w:rPr>
                <w:sz w:val="24"/>
                <w:szCs w:val="24"/>
              </w:rPr>
            </w:r>
          </w:p>
        </w:tc>
        <w:tc>
          <w:tcPr>
            <w:tcW w:w="1640" w:type="pct"/>
            <w:textDirection w:val="lrTb"/>
            <w:noWrap w:val="false"/>
          </w:tcPr>
          <w:p>
            <w:pPr>
              <w:rPr>
                <w:sz w:val="24"/>
                <w:szCs w:val="24"/>
              </w:rPr>
            </w:pPr>
            <w:r>
              <w:rPr>
                <w:sz w:val="24"/>
                <w:szCs w:val="24"/>
              </w:rPr>
            </w:r>
            <w:r>
              <w:rPr>
                <w:sz w:val="24"/>
                <w:szCs w:val="24"/>
              </w:rPr>
            </w:r>
            <w:r>
              <w:rPr>
                <w:sz w:val="24"/>
                <w:szCs w:val="24"/>
              </w:rPr>
            </w:r>
          </w:p>
        </w:tc>
      </w:tr>
      <w:tr>
        <w:tblPrEx/>
        <w:trPr/>
        <w:tc>
          <w:tcPr>
            <w:tcW w:w="1670" w:type="pct"/>
            <w:textDirection w:val="lrTb"/>
            <w:noWrap w:val="false"/>
          </w:tcPr>
          <w:p>
            <w:pPr>
              <w:rPr>
                <w:sz w:val="24"/>
                <w:szCs w:val="24"/>
              </w:rPr>
            </w:pPr>
            <w:r>
              <w:rPr>
                <w:sz w:val="24"/>
                <w:szCs w:val="24"/>
              </w:rPr>
            </w:r>
            <w:r>
              <w:rPr>
                <w:sz w:val="24"/>
                <w:szCs w:val="24"/>
              </w:rPr>
            </w:r>
            <w:r>
              <w:rPr>
                <w:sz w:val="24"/>
                <w:szCs w:val="24"/>
              </w:rPr>
            </w:r>
          </w:p>
          <w:p>
            <w:pPr>
              <w:rPr>
                <w:sz w:val="24"/>
                <w:szCs w:val="24"/>
              </w:rPr>
            </w:pPr>
            <w:r>
              <w:rPr>
                <w:sz w:val="24"/>
                <w:szCs w:val="24"/>
              </w:rPr>
              <w:t xml:space="preserve">Глава Печенгского муниципального округа  Мурманской области</w:t>
            </w:r>
            <w:r>
              <w:rPr>
                <w:sz w:val="24"/>
                <w:szCs w:val="24"/>
              </w:rPr>
            </w:r>
            <w:r>
              <w:rPr>
                <w:sz w:val="24"/>
                <w:szCs w:val="24"/>
              </w:rPr>
            </w:r>
          </w:p>
        </w:tc>
        <w:tc>
          <w:tcPr>
            <w:tcW w:w="1690" w:type="pct"/>
            <w:textDirection w:val="lrTb"/>
            <w:noWrap w:val="false"/>
          </w:tcPr>
          <w:p>
            <w:pPr>
              <w:rPr>
                <w:sz w:val="24"/>
                <w:szCs w:val="24"/>
              </w:rPr>
            </w:pPr>
            <w:r>
              <w:rPr>
                <w:sz w:val="24"/>
                <w:szCs w:val="24"/>
              </w:rPr>
            </w:r>
            <w:r>
              <w:rPr>
                <w:sz w:val="24"/>
                <w:szCs w:val="24"/>
              </w:rPr>
            </w:r>
            <w:r>
              <w:rPr>
                <w:sz w:val="24"/>
                <w:szCs w:val="24"/>
              </w:rPr>
            </w:r>
          </w:p>
          <w:p>
            <w:pPr>
              <w:rPr>
                <w:sz w:val="24"/>
                <w:szCs w:val="24"/>
              </w:rPr>
            </w:pPr>
            <w:r>
              <w:rPr>
                <w:sz w:val="24"/>
                <w:szCs w:val="24"/>
              </w:rPr>
              <w:t xml:space="preserve">Генеральный директор ООО «ПромВоенСтрой» </w:t>
            </w:r>
            <w:r>
              <w:rPr>
                <w:sz w:val="24"/>
                <w:szCs w:val="24"/>
              </w:rPr>
            </w:r>
            <w:r>
              <w:rPr>
                <w:sz w:val="24"/>
                <w:szCs w:val="24"/>
              </w:rPr>
            </w:r>
          </w:p>
          <w:p>
            <w:pPr>
              <w:rPr>
                <w:sz w:val="24"/>
                <w:szCs w:val="24"/>
              </w:rPr>
            </w:pPr>
            <w:r>
              <w:rPr>
                <w:sz w:val="24"/>
                <w:szCs w:val="24"/>
              </w:rPr>
            </w:r>
            <w:r>
              <w:rPr>
                <w:sz w:val="24"/>
                <w:szCs w:val="24"/>
              </w:rPr>
            </w:r>
            <w:r>
              <w:rPr>
                <w:sz w:val="24"/>
                <w:szCs w:val="24"/>
              </w:rPr>
            </w:r>
          </w:p>
        </w:tc>
        <w:tc>
          <w:tcPr>
            <w:tcW w:w="1640" w:type="pct"/>
            <w:textDirection w:val="lrTb"/>
            <w:noWrap w:val="false"/>
          </w:tcPr>
          <w:p>
            <w:pPr>
              <w:rPr>
                <w:sz w:val="24"/>
                <w:szCs w:val="24"/>
              </w:rPr>
            </w:pPr>
            <w:r>
              <w:rPr>
                <w:sz w:val="24"/>
                <w:szCs w:val="24"/>
              </w:rPr>
              <w:t xml:space="preserve"> </w:t>
            </w:r>
            <w:r>
              <w:rPr>
                <w:sz w:val="24"/>
                <w:szCs w:val="24"/>
              </w:rPr>
            </w:r>
            <w:r>
              <w:rPr>
                <w:sz w:val="24"/>
                <w:szCs w:val="24"/>
              </w:rPr>
            </w:r>
          </w:p>
          <w:p>
            <w:pPr>
              <w:rPr>
                <w:sz w:val="24"/>
                <w:szCs w:val="24"/>
              </w:rPr>
            </w:pPr>
            <w:r>
              <w:rPr>
                <w:sz w:val="24"/>
                <w:szCs w:val="24"/>
              </w:rPr>
              <w:t xml:space="preserve">Губернатор Мурманской области</w:t>
            </w:r>
            <w:r>
              <w:rPr>
                <w:sz w:val="24"/>
                <w:szCs w:val="24"/>
              </w:rPr>
            </w:r>
            <w:r>
              <w:rPr>
                <w:sz w:val="24"/>
                <w:szCs w:val="24"/>
              </w:rPr>
            </w:r>
          </w:p>
        </w:tc>
      </w:tr>
      <w:tr>
        <w:tblPrEx/>
        <w:trPr>
          <w:trHeight w:val="456"/>
        </w:trPr>
        <w:tc>
          <w:tcPr>
            <w:tcW w:w="1670" w:type="pct"/>
            <w:textDirection w:val="lrTb"/>
            <w:noWrap w:val="false"/>
          </w:tcPr>
          <w:p>
            <w:pPr>
              <w:rPr>
                <w:sz w:val="24"/>
                <w:szCs w:val="24"/>
              </w:rPr>
            </w:pPr>
            <w:r>
              <w:rPr>
                <w:sz w:val="24"/>
                <w:szCs w:val="24"/>
              </w:rPr>
            </w:r>
            <w:r>
              <w:rPr>
                <w:sz w:val="24"/>
                <w:szCs w:val="24"/>
              </w:rPr>
            </w:r>
            <w:r>
              <w:rPr>
                <w:sz w:val="24"/>
                <w:szCs w:val="24"/>
              </w:rPr>
            </w:r>
          </w:p>
          <w:p>
            <w:pPr>
              <w:rPr>
                <w:sz w:val="24"/>
                <w:szCs w:val="24"/>
              </w:rPr>
            </w:pPr>
            <w:r>
              <w:rPr>
                <w:sz w:val="24"/>
                <w:szCs w:val="24"/>
              </w:rPr>
              <w:t xml:space="preserve">___________________</w:t>
            </w:r>
            <w:r>
              <w:rPr>
                <w:sz w:val="24"/>
                <w:szCs w:val="24"/>
              </w:rPr>
            </w:r>
            <w:r>
              <w:rPr>
                <w:sz w:val="24"/>
                <w:szCs w:val="24"/>
              </w:rPr>
            </w:r>
          </w:p>
        </w:tc>
        <w:tc>
          <w:tcPr>
            <w:tcW w:w="1690" w:type="pct"/>
            <w:textDirection w:val="lrTb"/>
            <w:noWrap w:val="false"/>
          </w:tcPr>
          <w:p>
            <w:pPr>
              <w:rPr>
                <w:sz w:val="24"/>
                <w:szCs w:val="24"/>
              </w:rPr>
            </w:pPr>
            <w:r>
              <w:rPr>
                <w:sz w:val="24"/>
                <w:szCs w:val="24"/>
              </w:rPr>
            </w:r>
            <w:r>
              <w:rPr>
                <w:sz w:val="24"/>
                <w:szCs w:val="24"/>
              </w:rPr>
            </w:r>
            <w:r>
              <w:rPr>
                <w:sz w:val="24"/>
                <w:szCs w:val="24"/>
              </w:rPr>
            </w:r>
          </w:p>
          <w:p>
            <w:pPr>
              <w:rPr>
                <w:sz w:val="24"/>
                <w:szCs w:val="24"/>
              </w:rPr>
            </w:pPr>
            <w:r>
              <w:rPr>
                <w:sz w:val="24"/>
                <w:szCs w:val="24"/>
              </w:rPr>
              <w:t xml:space="preserve">______________________</w:t>
            </w:r>
            <w:r>
              <w:rPr>
                <w:sz w:val="24"/>
                <w:szCs w:val="24"/>
              </w:rPr>
            </w:r>
            <w:r>
              <w:rPr>
                <w:sz w:val="24"/>
                <w:szCs w:val="24"/>
              </w:rPr>
            </w:r>
          </w:p>
        </w:tc>
        <w:tc>
          <w:tcPr>
            <w:tcW w:w="1640" w:type="pct"/>
            <w:textDirection w:val="lrTb"/>
            <w:noWrap w:val="false"/>
          </w:tcPr>
          <w:p>
            <w:pPr>
              <w:rPr>
                <w:sz w:val="24"/>
                <w:szCs w:val="24"/>
              </w:rPr>
            </w:pPr>
            <w:r>
              <w:rPr>
                <w:sz w:val="24"/>
                <w:szCs w:val="24"/>
              </w:rPr>
            </w:r>
            <w:r>
              <w:rPr>
                <w:sz w:val="24"/>
                <w:szCs w:val="24"/>
              </w:rPr>
            </w:r>
            <w:r>
              <w:rPr>
                <w:sz w:val="24"/>
                <w:szCs w:val="24"/>
              </w:rPr>
            </w:r>
          </w:p>
          <w:p>
            <w:pPr>
              <w:rPr>
                <w:sz w:val="24"/>
                <w:szCs w:val="24"/>
              </w:rPr>
            </w:pPr>
            <w:r>
              <w:rPr>
                <w:sz w:val="24"/>
                <w:szCs w:val="24"/>
              </w:rPr>
              <w:t xml:space="preserve">___________________</w:t>
            </w:r>
            <w:r>
              <w:rPr>
                <w:sz w:val="24"/>
                <w:szCs w:val="24"/>
              </w:rPr>
            </w:r>
            <w:r>
              <w:rPr>
                <w:sz w:val="24"/>
                <w:szCs w:val="24"/>
              </w:rPr>
            </w:r>
          </w:p>
        </w:tc>
      </w:tr>
      <w:tr>
        <w:tblPrEx/>
        <w:trPr/>
        <w:tc>
          <w:tcPr>
            <w:tcW w:w="1670" w:type="pct"/>
            <w:textDirection w:val="lrTb"/>
            <w:noWrap w:val="false"/>
          </w:tcPr>
          <w:p>
            <w:pPr>
              <w:rPr>
                <w:sz w:val="24"/>
                <w:szCs w:val="24"/>
              </w:rPr>
            </w:pPr>
            <w:r>
              <w:rPr>
                <w:sz w:val="24"/>
                <w:szCs w:val="24"/>
              </w:rPr>
              <w:t xml:space="preserve">/Кузнецов А.В./ МП</w:t>
            </w:r>
            <w:r>
              <w:rPr>
                <w:sz w:val="24"/>
                <w:szCs w:val="24"/>
              </w:rPr>
            </w:r>
            <w:r>
              <w:rPr>
                <w:sz w:val="24"/>
                <w:szCs w:val="24"/>
              </w:rPr>
            </w:r>
          </w:p>
        </w:tc>
        <w:tc>
          <w:tcPr>
            <w:tcW w:w="1690" w:type="pct"/>
            <w:textDirection w:val="lrTb"/>
            <w:noWrap w:val="false"/>
          </w:tcPr>
          <w:p>
            <w:pPr>
              <w:rPr>
                <w:sz w:val="24"/>
                <w:szCs w:val="24"/>
              </w:rPr>
            </w:pPr>
            <w:r>
              <w:rPr>
                <w:sz w:val="24"/>
                <w:szCs w:val="24"/>
              </w:rPr>
              <w:t xml:space="preserve">/ Аршакян А.Р./ МП</w:t>
            </w:r>
            <w:r>
              <w:rPr>
                <w:sz w:val="24"/>
                <w:szCs w:val="24"/>
              </w:rPr>
            </w:r>
            <w:r>
              <w:rPr>
                <w:sz w:val="24"/>
                <w:szCs w:val="24"/>
              </w:rPr>
            </w:r>
          </w:p>
        </w:tc>
        <w:tc>
          <w:tcPr>
            <w:tcW w:w="1640" w:type="pct"/>
            <w:textDirection w:val="lrTb"/>
            <w:noWrap w:val="false"/>
          </w:tcPr>
          <w:p>
            <w:pPr>
              <w:rPr>
                <w:sz w:val="24"/>
                <w:szCs w:val="24"/>
              </w:rPr>
            </w:pPr>
            <w:r>
              <w:rPr>
                <w:sz w:val="24"/>
                <w:szCs w:val="24"/>
              </w:rPr>
              <w:t xml:space="preserve">/Чибис А.В/ МП</w:t>
            </w:r>
            <w:r>
              <w:rPr>
                <w:sz w:val="24"/>
                <w:szCs w:val="24"/>
              </w:rPr>
            </w:r>
            <w:r>
              <w:rPr>
                <w:sz w:val="24"/>
                <w:szCs w:val="24"/>
              </w:rPr>
            </w:r>
          </w:p>
        </w:tc>
      </w:tr>
      <w:tr>
        <w:tblPrEx/>
        <w:trPr/>
        <w:tc>
          <w:tcPr>
            <w:tcW w:w="1670" w:type="pct"/>
            <w:textDirection w:val="lrTb"/>
            <w:noWrap w:val="false"/>
          </w:tcPr>
          <w:p>
            <w:pPr>
              <w:rPr>
                <w:sz w:val="24"/>
                <w:szCs w:val="24"/>
              </w:rPr>
            </w:pPr>
            <w:r>
              <w:rPr>
                <w:sz w:val="24"/>
                <w:szCs w:val="24"/>
              </w:rPr>
              <w:t xml:space="preserve">«___»_______ 202_ г.</w:t>
            </w:r>
            <w:r>
              <w:rPr>
                <w:sz w:val="24"/>
                <w:szCs w:val="24"/>
              </w:rPr>
            </w:r>
            <w:r>
              <w:rPr>
                <w:sz w:val="24"/>
                <w:szCs w:val="24"/>
              </w:rPr>
            </w:r>
          </w:p>
        </w:tc>
        <w:tc>
          <w:tcPr>
            <w:tcW w:w="1690" w:type="pct"/>
            <w:textDirection w:val="lrTb"/>
            <w:noWrap w:val="false"/>
          </w:tcPr>
          <w:p>
            <w:pPr>
              <w:rPr>
                <w:sz w:val="24"/>
                <w:szCs w:val="24"/>
              </w:rPr>
            </w:pPr>
            <w:r>
              <w:rPr>
                <w:sz w:val="24"/>
                <w:szCs w:val="24"/>
              </w:rPr>
              <w:t xml:space="preserve">«___»__________ 202_ г.</w:t>
            </w:r>
            <w:r>
              <w:rPr>
                <w:sz w:val="24"/>
                <w:szCs w:val="24"/>
              </w:rPr>
            </w:r>
            <w:r>
              <w:rPr>
                <w:sz w:val="24"/>
                <w:szCs w:val="24"/>
              </w:rPr>
            </w:r>
          </w:p>
        </w:tc>
        <w:tc>
          <w:tcPr>
            <w:tcW w:w="1640" w:type="pct"/>
            <w:textDirection w:val="lrTb"/>
            <w:noWrap w:val="false"/>
          </w:tcPr>
          <w:p>
            <w:pPr>
              <w:rPr>
                <w:sz w:val="24"/>
                <w:szCs w:val="24"/>
              </w:rPr>
            </w:pPr>
            <w:r>
              <w:rPr>
                <w:sz w:val="24"/>
                <w:szCs w:val="24"/>
              </w:rPr>
              <w:t xml:space="preserve">«___»_______202_ г.</w:t>
            </w:r>
            <w:r>
              <w:rPr>
                <w:sz w:val="24"/>
                <w:szCs w:val="24"/>
              </w:rPr>
            </w:r>
            <w:r>
              <w:rPr>
                <w:sz w:val="24"/>
                <w:szCs w:val="24"/>
              </w:rPr>
            </w:r>
          </w:p>
        </w:tc>
      </w:tr>
    </w:tbl>
    <w:p>
      <w:pPr>
        <w:rPr>
          <w:sz w:val="24"/>
          <w:szCs w:val="24"/>
        </w:rPr>
      </w:pPr>
      <w:r>
        <w:rPr>
          <w:sz w:val="24"/>
          <w:szCs w:val="24"/>
        </w:rPr>
      </w:r>
      <w:r>
        <w:rPr>
          <w:sz w:val="24"/>
          <w:szCs w:val="24"/>
        </w:rPr>
      </w:r>
      <w:r>
        <w:rPr>
          <w:sz w:val="24"/>
          <w:szCs w:val="24"/>
        </w:rPr>
      </w:r>
    </w:p>
    <w:p>
      <w:pPr>
        <w:shd w:val="nil" w:color="auto"/>
        <w:rPr>
          <w:b/>
          <w:bCs/>
          <w:sz w:val="24"/>
          <w:szCs w:val="24"/>
        </w:rPr>
      </w:pPr>
      <w:r>
        <w:rPr>
          <w:b/>
          <w:sz w:val="24"/>
          <w:szCs w:val="24"/>
        </w:rPr>
        <w:br w:type="page" w:clear="all"/>
      </w:r>
      <w:r>
        <w:rPr>
          <w:b/>
          <w:sz w:val="24"/>
          <w:szCs w:val="24"/>
        </w:rPr>
      </w:r>
      <w:r>
        <w:rPr>
          <w:b/>
          <w:bCs/>
          <w:sz w:val="24"/>
          <w:szCs w:val="24"/>
        </w:rPr>
      </w:r>
    </w:p>
    <w:p>
      <w:pPr>
        <w:ind w:left="5528" w:right="0" w:firstLine="0"/>
        <w:jc w:val="both"/>
        <w:rPr>
          <w:sz w:val="24"/>
          <w:szCs w:val="24"/>
        </w:rPr>
      </w:pPr>
      <w:r>
        <w:rPr>
          <w:sz w:val="24"/>
          <w:szCs w:val="24"/>
        </w:rPr>
        <w:t xml:space="preserve">Приложение № 1</w:t>
      </w:r>
      <w:r>
        <w:rPr>
          <w:sz w:val="24"/>
          <w:szCs w:val="24"/>
        </w:rPr>
      </w:r>
      <w:r>
        <w:rPr>
          <w:sz w:val="24"/>
          <w:szCs w:val="24"/>
        </w:rPr>
      </w:r>
    </w:p>
    <w:p>
      <w:pPr>
        <w:ind w:left="5528" w:right="0" w:firstLine="0"/>
        <w:jc w:val="both"/>
        <w:rPr>
          <w:sz w:val="24"/>
          <w:szCs w:val="24"/>
        </w:rPr>
      </w:pPr>
      <w:r>
        <w:rPr>
          <w:sz w:val="24"/>
          <w:szCs w:val="24"/>
        </w:rPr>
        <w:t xml:space="preserve">к Концессионному соглашению</w:t>
      </w:r>
      <w:r>
        <w:rPr>
          <w:sz w:val="24"/>
          <w:szCs w:val="24"/>
        </w:rPr>
      </w:r>
      <w:r>
        <w:rPr>
          <w:sz w:val="24"/>
          <w:szCs w:val="24"/>
        </w:rPr>
      </w:r>
    </w:p>
    <w:p>
      <w:pPr>
        <w:ind w:left="5528" w:right="0" w:firstLine="0"/>
        <w:jc w:val="both"/>
        <w:rPr>
          <w:sz w:val="24"/>
          <w:szCs w:val="24"/>
        </w:rPr>
      </w:pPr>
      <w:r>
        <w:rPr>
          <w:sz w:val="24"/>
          <w:szCs w:val="24"/>
        </w:rPr>
        <w:t xml:space="preserve">от «__»______ 2024 года №_____</w:t>
      </w:r>
      <w:r>
        <w:rPr>
          <w:sz w:val="24"/>
          <w:szCs w:val="24"/>
        </w:rPr>
      </w:r>
      <w:r>
        <w:rPr>
          <w:sz w:val="24"/>
          <w:szCs w:val="24"/>
        </w:rPr>
      </w:r>
    </w:p>
    <w:p>
      <w:pPr>
        <w:ind w:firstLine="680"/>
        <w:jc w:val="both"/>
        <w:rPr>
          <w:b/>
          <w:sz w:val="24"/>
          <w:szCs w:val="24"/>
        </w:rPr>
      </w:pPr>
      <w:r>
        <w:rPr>
          <w:b/>
          <w:sz w:val="24"/>
          <w:szCs w:val="24"/>
        </w:rPr>
      </w:r>
      <w:r>
        <w:rPr>
          <w:b/>
          <w:sz w:val="24"/>
          <w:szCs w:val="24"/>
        </w:rPr>
      </w:r>
      <w:r>
        <w:rPr>
          <w:b/>
          <w:sz w:val="24"/>
          <w:szCs w:val="24"/>
        </w:rPr>
      </w:r>
    </w:p>
    <w:p>
      <w:pPr>
        <w:ind w:firstLine="680"/>
        <w:jc w:val="both"/>
        <w:rPr>
          <w:b/>
          <w:sz w:val="24"/>
          <w:szCs w:val="24"/>
        </w:rPr>
      </w:pPr>
      <w:r>
        <w:rPr>
          <w:b/>
          <w:sz w:val="24"/>
          <w:szCs w:val="24"/>
        </w:rPr>
        <w:t xml:space="preserve">Сведения о составе недвижимого имущества, входящего в систему теплоснабжения, являющегося объектом по Соглашению</w:t>
      </w:r>
      <w:r>
        <w:rPr>
          <w:b/>
          <w:sz w:val="24"/>
          <w:szCs w:val="24"/>
        </w:rPr>
      </w:r>
      <w:r>
        <w:rPr>
          <w:b/>
          <w:sz w:val="24"/>
          <w:szCs w:val="24"/>
        </w:rPr>
      </w:r>
    </w:p>
    <w:p>
      <w:pPr>
        <w:ind w:firstLine="680"/>
        <w:jc w:val="both"/>
        <w:rPr>
          <w:b/>
          <w:sz w:val="24"/>
          <w:szCs w:val="24"/>
        </w:rPr>
      </w:pPr>
      <w:r>
        <w:rPr>
          <w:b/>
          <w:sz w:val="24"/>
          <w:szCs w:val="24"/>
        </w:rPr>
      </w:r>
      <w:r>
        <w:rPr>
          <w:b/>
          <w:sz w:val="24"/>
          <w:szCs w:val="24"/>
        </w:rPr>
      </w:r>
      <w:r>
        <w:rPr>
          <w:b/>
          <w:sz w:val="24"/>
          <w:szCs w:val="24"/>
        </w:rPr>
      </w:r>
    </w:p>
    <w:tbl>
      <w:tblPr>
        <w:tblW w:w="494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40"/>
        <w:gridCol w:w="1884"/>
        <w:gridCol w:w="2154"/>
        <w:gridCol w:w="2670"/>
        <w:gridCol w:w="2217"/>
      </w:tblGrid>
      <w:tr>
        <w:tblPrEx/>
        <w:trPr/>
        <w:tc>
          <w:tcPr>
            <w:tcW w:w="285" w:type="pct"/>
            <w:vAlign w:val="center"/>
            <w:textDirection w:val="lrTb"/>
            <w:noWrap w:val="false"/>
          </w:tcPr>
          <w:p>
            <w:pPr>
              <w:jc w:val="both"/>
              <w:rPr>
                <w:sz w:val="20"/>
                <w:szCs w:val="20"/>
              </w:rPr>
            </w:pPr>
            <w:r>
              <w:rPr>
                <w:sz w:val="22"/>
                <w:szCs w:val="22"/>
              </w:rPr>
              <w:t xml:space="preserve">№ п/п</w:t>
            </w:r>
            <w:r>
              <w:rPr>
                <w:sz w:val="20"/>
                <w:szCs w:val="20"/>
              </w:rPr>
            </w:r>
            <w:r>
              <w:rPr>
                <w:sz w:val="20"/>
                <w:szCs w:val="20"/>
              </w:rPr>
            </w:r>
          </w:p>
        </w:tc>
        <w:tc>
          <w:tcPr>
            <w:tcW w:w="1021" w:type="pct"/>
            <w:textDirection w:val="lrTb"/>
            <w:noWrap w:val="false"/>
          </w:tcPr>
          <w:p>
            <w:pPr>
              <w:jc w:val="both"/>
              <w:rPr>
                <w:sz w:val="20"/>
                <w:szCs w:val="20"/>
              </w:rPr>
            </w:pPr>
            <w:r>
              <w:rPr>
                <w:sz w:val="22"/>
                <w:szCs w:val="22"/>
              </w:rPr>
              <w:t xml:space="preserve">Наименование объекта</w:t>
            </w:r>
            <w:r>
              <w:rPr>
                <w:sz w:val="20"/>
                <w:szCs w:val="20"/>
              </w:rPr>
            </w:r>
            <w:r>
              <w:rPr>
                <w:sz w:val="20"/>
                <w:szCs w:val="20"/>
              </w:rPr>
            </w:r>
          </w:p>
        </w:tc>
        <w:tc>
          <w:tcPr>
            <w:tcW w:w="1164" w:type="pct"/>
            <w:textDirection w:val="lrTb"/>
            <w:noWrap w:val="false"/>
          </w:tcPr>
          <w:p>
            <w:pPr>
              <w:jc w:val="both"/>
              <w:rPr>
                <w:sz w:val="20"/>
                <w:szCs w:val="20"/>
              </w:rPr>
            </w:pPr>
            <w:r>
              <w:rPr>
                <w:sz w:val="22"/>
                <w:szCs w:val="22"/>
              </w:rPr>
              <w:t xml:space="preserve">Местонахождение (адрес)</w:t>
            </w:r>
            <w:r>
              <w:rPr>
                <w:sz w:val="20"/>
                <w:szCs w:val="20"/>
              </w:rPr>
            </w:r>
            <w:r>
              <w:rPr>
                <w:sz w:val="20"/>
                <w:szCs w:val="20"/>
              </w:rPr>
            </w:r>
          </w:p>
        </w:tc>
        <w:tc>
          <w:tcPr>
            <w:tcW w:w="1411" w:type="pct"/>
            <w:textDirection w:val="lrTb"/>
            <w:noWrap w:val="false"/>
          </w:tcPr>
          <w:p>
            <w:pPr>
              <w:jc w:val="both"/>
              <w:rPr>
                <w:sz w:val="20"/>
                <w:szCs w:val="20"/>
              </w:rPr>
            </w:pPr>
            <w:r>
              <w:rPr>
                <w:sz w:val="22"/>
                <w:szCs w:val="22"/>
              </w:rPr>
              <w:t xml:space="preserve">Индивидуализирующие характеристики </w:t>
            </w:r>
            <w:r>
              <w:rPr>
                <w:sz w:val="20"/>
                <w:szCs w:val="20"/>
              </w:rPr>
            </w:r>
            <w:r>
              <w:rPr>
                <w:sz w:val="20"/>
                <w:szCs w:val="20"/>
              </w:rPr>
            </w:r>
          </w:p>
          <w:p>
            <w:pPr>
              <w:jc w:val="both"/>
              <w:rPr>
                <w:sz w:val="20"/>
                <w:szCs w:val="20"/>
              </w:rPr>
            </w:pPr>
            <w:r>
              <w:rPr>
                <w:sz w:val="22"/>
                <w:szCs w:val="22"/>
              </w:rPr>
              <w:t xml:space="preserve">(площадь, кв. м.; протяженность в двухтрубном исчислении, п.м.)</w:t>
            </w:r>
            <w:r>
              <w:rPr>
                <w:sz w:val="20"/>
                <w:szCs w:val="20"/>
              </w:rPr>
            </w:r>
            <w:r>
              <w:rPr>
                <w:sz w:val="20"/>
                <w:szCs w:val="20"/>
              </w:rPr>
            </w:r>
          </w:p>
        </w:tc>
        <w:tc>
          <w:tcPr>
            <w:tcW w:w="1118" w:type="pct"/>
            <w:textDirection w:val="lrTb"/>
            <w:noWrap w:val="false"/>
          </w:tcPr>
          <w:p>
            <w:pPr>
              <w:jc w:val="both"/>
              <w:rPr>
                <w:sz w:val="20"/>
                <w:szCs w:val="20"/>
              </w:rPr>
            </w:pPr>
            <w:r>
              <w:rPr>
                <w:sz w:val="22"/>
                <w:szCs w:val="22"/>
              </w:rPr>
              <w:t xml:space="preserve">Кадастровый номер</w:t>
            </w:r>
            <w:r>
              <w:rPr>
                <w:sz w:val="20"/>
                <w:szCs w:val="20"/>
              </w:rPr>
            </w:r>
            <w:r>
              <w:rPr>
                <w:sz w:val="20"/>
                <w:szCs w:val="20"/>
              </w:rPr>
            </w:r>
          </w:p>
        </w:tc>
      </w:tr>
      <w:tr>
        <w:tblPrEx/>
        <w:trPr/>
        <w:tc>
          <w:tcPr>
            <w:tcW w:w="285" w:type="pct"/>
            <w:vAlign w:val="center"/>
            <w:textDirection w:val="lrTb"/>
            <w:noWrap w:val="false"/>
          </w:tcPr>
          <w:p>
            <w:pPr>
              <w:numPr>
                <w:ilvl w:val="0"/>
                <w:numId w:val="3"/>
              </w:numPr>
              <w:ind w:left="0" w:firstLine="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1021" w:type="pct"/>
            <w:textDirection w:val="lrTb"/>
            <w:noWrap w:val="false"/>
          </w:tcPr>
          <w:p>
            <w:pPr>
              <w:jc w:val="both"/>
              <w:rPr>
                <w:sz w:val="20"/>
                <w:szCs w:val="20"/>
              </w:rPr>
            </w:pPr>
            <w:r>
              <w:rPr>
                <w:sz w:val="22"/>
                <w:szCs w:val="22"/>
              </w:rPr>
              <w:t xml:space="preserve">Здание (нежилое здание, котельная № 13/73).</w:t>
            </w:r>
            <w:r>
              <w:rPr>
                <w:sz w:val="20"/>
                <w:szCs w:val="20"/>
              </w:rPr>
            </w:r>
            <w:r>
              <w:rPr>
                <w:sz w:val="20"/>
                <w:szCs w:val="20"/>
              </w:rPr>
            </w:r>
          </w:p>
        </w:tc>
        <w:tc>
          <w:tcPr>
            <w:tcW w:w="1164" w:type="pct"/>
            <w:textDirection w:val="lrTb"/>
            <w:noWrap w:val="false"/>
          </w:tcPr>
          <w:p>
            <w:pPr>
              <w:jc w:val="both"/>
              <w:rPr>
                <w:sz w:val="20"/>
                <w:szCs w:val="20"/>
              </w:rPr>
            </w:pPr>
            <w:r>
              <w:rPr>
                <w:sz w:val="22"/>
                <w:szCs w:val="22"/>
              </w:rPr>
              <w:t xml:space="preserve">Мурманская область, Печенгский район, г.п. Печенга, ул. Стадионная</w:t>
            </w:r>
            <w:r>
              <w:rPr>
                <w:sz w:val="20"/>
                <w:szCs w:val="20"/>
              </w:rPr>
            </w:r>
            <w:r>
              <w:rPr>
                <w:sz w:val="20"/>
                <w:szCs w:val="20"/>
              </w:rPr>
            </w:r>
          </w:p>
        </w:tc>
        <w:tc>
          <w:tcPr>
            <w:tcW w:w="1411" w:type="pct"/>
            <w:textDirection w:val="lrTb"/>
            <w:noWrap w:val="false"/>
          </w:tcPr>
          <w:p>
            <w:pPr>
              <w:jc w:val="both"/>
              <w:rPr>
                <w:sz w:val="20"/>
                <w:szCs w:val="20"/>
              </w:rPr>
            </w:pPr>
            <w:r>
              <w:rPr>
                <w:sz w:val="22"/>
                <w:szCs w:val="22"/>
              </w:rPr>
              <w:t xml:space="preserve">601,1 кв.м.</w:t>
            </w:r>
            <w:r>
              <w:rPr>
                <w:sz w:val="20"/>
                <w:szCs w:val="20"/>
              </w:rPr>
            </w:r>
            <w:r>
              <w:rPr>
                <w:sz w:val="20"/>
                <w:szCs w:val="20"/>
              </w:rPr>
            </w:r>
          </w:p>
          <w:p>
            <w:pPr>
              <w:jc w:val="both"/>
              <w:rPr>
                <w:sz w:val="20"/>
                <w:szCs w:val="20"/>
              </w:rPr>
            </w:pPr>
            <w:r>
              <w:rPr>
                <w:sz w:val="22"/>
                <w:szCs w:val="22"/>
              </w:rPr>
              <w:t xml:space="preserve">Этажей – 2, </w:t>
            </w:r>
            <w:r>
              <w:rPr>
                <w:sz w:val="20"/>
                <w:szCs w:val="20"/>
              </w:rPr>
            </w:r>
            <w:r>
              <w:rPr>
                <w:sz w:val="20"/>
                <w:szCs w:val="20"/>
              </w:rPr>
            </w:r>
          </w:p>
          <w:p>
            <w:pPr>
              <w:jc w:val="both"/>
              <w:rPr>
                <w:sz w:val="20"/>
                <w:szCs w:val="20"/>
              </w:rPr>
            </w:pPr>
            <w:r>
              <w:rPr>
                <w:sz w:val="22"/>
                <w:szCs w:val="22"/>
              </w:rPr>
              <w:t xml:space="preserve">подземных -0.</w:t>
            </w:r>
            <w:r>
              <w:rPr>
                <w:sz w:val="20"/>
                <w:szCs w:val="20"/>
              </w:rPr>
            </w:r>
            <w:r>
              <w:rPr>
                <w:sz w:val="20"/>
                <w:szCs w:val="20"/>
              </w:rPr>
            </w:r>
          </w:p>
          <w:p>
            <w:pPr>
              <w:jc w:val="both"/>
              <w:rPr>
                <w:sz w:val="20"/>
                <w:szCs w:val="20"/>
              </w:rPr>
            </w:pPr>
            <w:r>
              <w:rPr>
                <w:sz w:val="22"/>
                <w:szCs w:val="22"/>
              </w:rPr>
              <w:t xml:space="preserve">1972 г. постройки.</w:t>
            </w:r>
            <w:r>
              <w:rPr>
                <w:sz w:val="20"/>
                <w:szCs w:val="20"/>
              </w:rPr>
            </w:r>
            <w:r>
              <w:rPr>
                <w:sz w:val="20"/>
                <w:szCs w:val="20"/>
              </w:rPr>
            </w:r>
          </w:p>
        </w:tc>
        <w:tc>
          <w:tcPr>
            <w:tcW w:w="1118" w:type="pct"/>
            <w:textDirection w:val="lrTb"/>
            <w:noWrap w:val="false"/>
          </w:tcPr>
          <w:p>
            <w:pPr>
              <w:jc w:val="both"/>
              <w:rPr>
                <w:sz w:val="20"/>
                <w:szCs w:val="20"/>
              </w:rPr>
            </w:pPr>
            <w:r>
              <w:rPr>
                <w:sz w:val="22"/>
                <w:szCs w:val="22"/>
              </w:rPr>
              <w:t xml:space="preserve">51:03:0000000:1404</w:t>
            </w:r>
            <w:r>
              <w:rPr>
                <w:sz w:val="20"/>
                <w:szCs w:val="20"/>
              </w:rPr>
            </w:r>
            <w:r>
              <w:rPr>
                <w:sz w:val="20"/>
                <w:szCs w:val="20"/>
              </w:rPr>
            </w:r>
          </w:p>
        </w:tc>
      </w:tr>
      <w:tr>
        <w:tblPrEx/>
        <w:trPr>
          <w:trHeight w:val="70"/>
        </w:trPr>
        <w:tc>
          <w:tcPr>
            <w:tcW w:w="285" w:type="pct"/>
            <w:vAlign w:val="center"/>
            <w:textDirection w:val="lrTb"/>
            <w:noWrap w:val="false"/>
          </w:tcPr>
          <w:p>
            <w:pPr>
              <w:numPr>
                <w:ilvl w:val="0"/>
                <w:numId w:val="3"/>
              </w:numPr>
              <w:ind w:left="0" w:firstLine="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1021" w:type="pct"/>
            <w:textDirection w:val="lrTb"/>
            <w:noWrap w:val="false"/>
          </w:tcPr>
          <w:p>
            <w:pPr>
              <w:jc w:val="both"/>
              <w:rPr>
                <w:sz w:val="20"/>
                <w:szCs w:val="20"/>
              </w:rPr>
            </w:pPr>
            <w:r>
              <w:rPr>
                <w:sz w:val="22"/>
                <w:szCs w:val="22"/>
              </w:rPr>
              <w:t xml:space="preserve">Тепловые сети котельной № 13/73.</w:t>
            </w:r>
            <w:r>
              <w:rPr>
                <w:sz w:val="20"/>
                <w:szCs w:val="20"/>
              </w:rPr>
            </w:r>
            <w:r>
              <w:rPr>
                <w:sz w:val="20"/>
                <w:szCs w:val="20"/>
              </w:rPr>
            </w:r>
          </w:p>
        </w:tc>
        <w:tc>
          <w:tcPr>
            <w:tcW w:w="1164" w:type="pct"/>
            <w:textDirection w:val="lrTb"/>
            <w:noWrap w:val="false"/>
          </w:tcPr>
          <w:p>
            <w:pPr>
              <w:jc w:val="both"/>
              <w:rPr>
                <w:sz w:val="20"/>
                <w:szCs w:val="20"/>
              </w:rPr>
            </w:pPr>
            <w:r>
              <w:rPr>
                <w:sz w:val="22"/>
                <w:szCs w:val="22"/>
              </w:rPr>
              <w:t xml:space="preserve">Мурманская область, Печенгский район, г.п. Печенга, ул. Стадионная</w:t>
            </w:r>
            <w:r>
              <w:rPr>
                <w:sz w:val="20"/>
                <w:szCs w:val="20"/>
              </w:rPr>
            </w:r>
            <w:r>
              <w:rPr>
                <w:sz w:val="20"/>
                <w:szCs w:val="20"/>
              </w:rPr>
            </w:r>
          </w:p>
        </w:tc>
        <w:tc>
          <w:tcPr>
            <w:tcW w:w="1411" w:type="pct"/>
            <w:textDirection w:val="lrTb"/>
            <w:noWrap w:val="false"/>
          </w:tcPr>
          <w:p>
            <w:pPr>
              <w:jc w:val="both"/>
              <w:rPr>
                <w:sz w:val="20"/>
                <w:szCs w:val="20"/>
              </w:rPr>
            </w:pPr>
            <w:r>
              <w:rPr>
                <w:sz w:val="22"/>
                <w:szCs w:val="22"/>
              </w:rPr>
              <w:t xml:space="preserve">Сеть отопления в двух трубном исчислении</w:t>
            </w:r>
            <w:r>
              <w:rPr>
                <w:sz w:val="20"/>
                <w:szCs w:val="20"/>
              </w:rPr>
            </w:r>
            <w:r>
              <w:rPr>
                <w:sz w:val="20"/>
                <w:szCs w:val="20"/>
              </w:rPr>
            </w:r>
          </w:p>
          <w:p>
            <w:pPr>
              <w:jc w:val="both"/>
              <w:rPr>
                <w:sz w:val="20"/>
                <w:szCs w:val="20"/>
              </w:rPr>
            </w:pPr>
            <w:r>
              <w:rPr>
                <w:sz w:val="22"/>
                <w:szCs w:val="22"/>
              </w:rPr>
              <w:t xml:space="preserve">– 623 п.м.</w:t>
            </w:r>
            <w:r>
              <w:rPr>
                <w:sz w:val="20"/>
                <w:szCs w:val="20"/>
              </w:rPr>
            </w:r>
            <w:r>
              <w:rPr>
                <w:sz w:val="20"/>
                <w:szCs w:val="20"/>
              </w:rPr>
            </w:r>
          </w:p>
          <w:p>
            <w:pPr>
              <w:jc w:val="both"/>
              <w:rPr>
                <w:sz w:val="20"/>
                <w:szCs w:val="20"/>
              </w:rPr>
            </w:pPr>
            <w:r>
              <w:rPr>
                <w:sz w:val="22"/>
                <w:szCs w:val="22"/>
              </w:rPr>
              <w:t xml:space="preserve">1972 г. постройки.</w:t>
            </w:r>
            <w:r>
              <w:rPr>
                <w:sz w:val="20"/>
                <w:szCs w:val="20"/>
              </w:rPr>
            </w:r>
            <w:r>
              <w:rPr>
                <w:sz w:val="20"/>
                <w:szCs w:val="20"/>
              </w:rPr>
            </w:r>
          </w:p>
        </w:tc>
        <w:tc>
          <w:tcPr>
            <w:tcW w:w="1118" w:type="pct"/>
            <w:textDirection w:val="lrTb"/>
            <w:noWrap w:val="false"/>
          </w:tcPr>
          <w:p>
            <w:pPr>
              <w:jc w:val="both"/>
              <w:rPr>
                <w:sz w:val="20"/>
                <w:szCs w:val="20"/>
              </w:rPr>
            </w:pPr>
            <w:r>
              <w:rPr>
                <w:sz w:val="22"/>
                <w:szCs w:val="22"/>
              </w:rPr>
              <w:t xml:space="preserve">51:03:0000000:3315</w:t>
            </w:r>
            <w:r>
              <w:rPr>
                <w:sz w:val="20"/>
                <w:szCs w:val="20"/>
              </w:rPr>
            </w:r>
            <w:r>
              <w:rPr>
                <w:sz w:val="20"/>
                <w:szCs w:val="20"/>
              </w:rPr>
            </w:r>
          </w:p>
          <w:p>
            <w:pPr>
              <w:jc w:val="both"/>
              <w:rPr>
                <w:sz w:val="20"/>
                <w:szCs w:val="20"/>
              </w:rPr>
            </w:pPr>
            <w:r>
              <w:rPr>
                <w:sz w:val="22"/>
                <w:szCs w:val="22"/>
              </w:rPr>
            </w:r>
            <w:r>
              <w:rPr>
                <w:sz w:val="20"/>
                <w:szCs w:val="20"/>
              </w:rPr>
            </w:r>
            <w:r>
              <w:rPr>
                <w:sz w:val="20"/>
                <w:szCs w:val="20"/>
              </w:rPr>
            </w:r>
          </w:p>
        </w:tc>
      </w:tr>
      <w:tr>
        <w:tblPrEx/>
        <w:trPr>
          <w:trHeight w:val="70"/>
        </w:trPr>
        <w:tc>
          <w:tcPr>
            <w:tcW w:w="285" w:type="pct"/>
            <w:vAlign w:val="center"/>
            <w:textDirection w:val="lrTb"/>
            <w:noWrap w:val="false"/>
          </w:tcPr>
          <w:p>
            <w:pPr>
              <w:numPr>
                <w:ilvl w:val="0"/>
                <w:numId w:val="3"/>
              </w:numPr>
              <w:ind w:left="0" w:firstLine="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1021" w:type="pct"/>
            <w:textDirection w:val="lrTb"/>
            <w:noWrap w:val="false"/>
          </w:tcPr>
          <w:p>
            <w:pPr>
              <w:jc w:val="both"/>
              <w:rPr>
                <w:sz w:val="20"/>
                <w:szCs w:val="20"/>
              </w:rPr>
            </w:pPr>
            <w:r>
              <w:rPr>
                <w:sz w:val="22"/>
                <w:szCs w:val="22"/>
              </w:rPr>
              <w:t xml:space="preserve">Сети горячего водоснабжения  от котельной № 13/73.</w:t>
            </w:r>
            <w:r>
              <w:rPr>
                <w:sz w:val="20"/>
                <w:szCs w:val="20"/>
              </w:rPr>
            </w:r>
            <w:r>
              <w:rPr>
                <w:sz w:val="20"/>
                <w:szCs w:val="20"/>
              </w:rPr>
            </w:r>
          </w:p>
        </w:tc>
        <w:tc>
          <w:tcPr>
            <w:tcW w:w="1164" w:type="pct"/>
            <w:textDirection w:val="lrTb"/>
            <w:noWrap w:val="false"/>
          </w:tcPr>
          <w:p>
            <w:pPr>
              <w:jc w:val="both"/>
              <w:rPr>
                <w:sz w:val="20"/>
                <w:szCs w:val="20"/>
              </w:rPr>
            </w:pPr>
            <w:r>
              <w:rPr>
                <w:sz w:val="22"/>
                <w:szCs w:val="22"/>
              </w:rPr>
              <w:t xml:space="preserve">Мурманская область, Печенгский район, г.п. Печенга, ул. Стадионная</w:t>
            </w:r>
            <w:r>
              <w:rPr>
                <w:sz w:val="20"/>
                <w:szCs w:val="20"/>
              </w:rPr>
            </w:r>
            <w:r>
              <w:rPr>
                <w:sz w:val="20"/>
                <w:szCs w:val="20"/>
              </w:rPr>
            </w:r>
          </w:p>
        </w:tc>
        <w:tc>
          <w:tcPr>
            <w:tcW w:w="1411" w:type="pct"/>
            <w:textDirection w:val="lrTb"/>
            <w:noWrap w:val="false"/>
          </w:tcPr>
          <w:p>
            <w:pPr>
              <w:jc w:val="both"/>
              <w:rPr>
                <w:sz w:val="20"/>
                <w:szCs w:val="20"/>
              </w:rPr>
            </w:pPr>
            <w:r>
              <w:rPr>
                <w:sz w:val="22"/>
                <w:szCs w:val="22"/>
              </w:rPr>
              <w:t xml:space="preserve">Сеть горячего водоснабжения в двух трубном исчислении</w:t>
            </w:r>
            <w:r>
              <w:rPr>
                <w:sz w:val="20"/>
                <w:szCs w:val="20"/>
              </w:rPr>
            </w:r>
            <w:r>
              <w:rPr>
                <w:sz w:val="20"/>
                <w:szCs w:val="20"/>
              </w:rPr>
            </w:r>
          </w:p>
          <w:p>
            <w:pPr>
              <w:jc w:val="both"/>
              <w:rPr>
                <w:sz w:val="20"/>
                <w:szCs w:val="20"/>
              </w:rPr>
            </w:pPr>
            <w:r>
              <w:rPr>
                <w:sz w:val="22"/>
                <w:szCs w:val="22"/>
              </w:rPr>
              <w:t xml:space="preserve">–654,7 п.м. </w:t>
            </w:r>
            <w:r>
              <w:rPr>
                <w:sz w:val="20"/>
                <w:szCs w:val="20"/>
              </w:rPr>
            </w:r>
            <w:r>
              <w:rPr>
                <w:sz w:val="20"/>
                <w:szCs w:val="20"/>
              </w:rPr>
            </w:r>
          </w:p>
          <w:p>
            <w:pPr>
              <w:jc w:val="both"/>
              <w:rPr>
                <w:sz w:val="20"/>
                <w:szCs w:val="20"/>
              </w:rPr>
            </w:pPr>
            <w:r>
              <w:rPr>
                <w:sz w:val="22"/>
                <w:szCs w:val="22"/>
              </w:rPr>
              <w:t xml:space="preserve">1972 г. постройки.</w:t>
            </w:r>
            <w:r>
              <w:rPr>
                <w:sz w:val="20"/>
                <w:szCs w:val="20"/>
              </w:rPr>
            </w:r>
            <w:r>
              <w:rPr>
                <w:sz w:val="20"/>
                <w:szCs w:val="20"/>
              </w:rPr>
            </w:r>
          </w:p>
        </w:tc>
        <w:tc>
          <w:tcPr>
            <w:tcW w:w="1118" w:type="pct"/>
            <w:textDirection w:val="lrTb"/>
            <w:noWrap w:val="false"/>
          </w:tcPr>
          <w:p>
            <w:pPr>
              <w:jc w:val="both"/>
              <w:rPr>
                <w:sz w:val="20"/>
                <w:szCs w:val="20"/>
              </w:rPr>
            </w:pPr>
            <w:r>
              <w:rPr>
                <w:sz w:val="22"/>
                <w:szCs w:val="22"/>
              </w:rPr>
              <w:t xml:space="preserve">51:03:0000000:1098</w:t>
            </w:r>
            <w:r>
              <w:rPr>
                <w:sz w:val="20"/>
                <w:szCs w:val="20"/>
              </w:rPr>
            </w:r>
            <w:r>
              <w:rPr>
                <w:sz w:val="20"/>
                <w:szCs w:val="20"/>
              </w:rPr>
            </w:r>
          </w:p>
        </w:tc>
      </w:tr>
      <w:tr>
        <w:tblPrEx/>
        <w:trPr>
          <w:trHeight w:val="70"/>
        </w:trPr>
        <w:tc>
          <w:tcPr>
            <w:tcW w:w="285" w:type="pct"/>
            <w:vAlign w:val="center"/>
            <w:textDirection w:val="lrTb"/>
            <w:noWrap w:val="false"/>
          </w:tcPr>
          <w:p>
            <w:pPr>
              <w:numPr>
                <w:ilvl w:val="0"/>
                <w:numId w:val="3"/>
              </w:numPr>
              <w:ind w:left="0" w:firstLine="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1021" w:type="pct"/>
            <w:textDirection w:val="lrTb"/>
            <w:noWrap w:val="false"/>
          </w:tcPr>
          <w:p>
            <w:pPr>
              <w:jc w:val="both"/>
              <w:rPr>
                <w:sz w:val="20"/>
                <w:szCs w:val="20"/>
              </w:rPr>
            </w:pPr>
            <w:r>
              <w:rPr>
                <w:sz w:val="22"/>
                <w:szCs w:val="22"/>
              </w:rPr>
              <w:t xml:space="preserve">Здание (нежилое здание, котельная № 13/55).</w:t>
            </w:r>
            <w:r>
              <w:rPr>
                <w:sz w:val="20"/>
                <w:szCs w:val="20"/>
              </w:rPr>
            </w:r>
            <w:r>
              <w:rPr>
                <w:sz w:val="20"/>
                <w:szCs w:val="20"/>
              </w:rPr>
            </w:r>
          </w:p>
        </w:tc>
        <w:tc>
          <w:tcPr>
            <w:tcW w:w="1164" w:type="pct"/>
            <w:textDirection w:val="lrTb"/>
            <w:noWrap w:val="false"/>
          </w:tcPr>
          <w:p>
            <w:pPr>
              <w:jc w:val="both"/>
              <w:rPr>
                <w:sz w:val="20"/>
                <w:szCs w:val="20"/>
              </w:rPr>
            </w:pPr>
            <w:r>
              <w:rPr>
                <w:sz w:val="22"/>
                <w:szCs w:val="22"/>
              </w:rPr>
              <w:t xml:space="preserve">Мурманская область, Печенгский район, г.п. Печенга, Печенгское шоссе.</w:t>
            </w:r>
            <w:r>
              <w:rPr>
                <w:sz w:val="20"/>
                <w:szCs w:val="20"/>
              </w:rPr>
            </w:r>
            <w:r>
              <w:rPr>
                <w:sz w:val="20"/>
                <w:szCs w:val="20"/>
              </w:rPr>
            </w:r>
          </w:p>
        </w:tc>
        <w:tc>
          <w:tcPr>
            <w:tcW w:w="1411" w:type="pct"/>
            <w:textDirection w:val="lrTb"/>
            <w:noWrap w:val="false"/>
          </w:tcPr>
          <w:p>
            <w:pPr>
              <w:jc w:val="both"/>
              <w:rPr>
                <w:sz w:val="20"/>
                <w:szCs w:val="20"/>
              </w:rPr>
            </w:pPr>
            <w:r>
              <w:rPr>
                <w:sz w:val="22"/>
                <w:szCs w:val="22"/>
              </w:rPr>
              <w:t xml:space="preserve">181,9 кв.м. </w:t>
            </w:r>
            <w:r>
              <w:rPr>
                <w:sz w:val="20"/>
                <w:szCs w:val="20"/>
              </w:rPr>
            </w:r>
            <w:r>
              <w:rPr>
                <w:sz w:val="20"/>
                <w:szCs w:val="20"/>
              </w:rPr>
            </w:r>
          </w:p>
          <w:p>
            <w:pPr>
              <w:jc w:val="both"/>
              <w:rPr>
                <w:sz w:val="20"/>
                <w:szCs w:val="20"/>
              </w:rPr>
            </w:pPr>
            <w:r>
              <w:rPr>
                <w:sz w:val="22"/>
                <w:szCs w:val="22"/>
              </w:rPr>
              <w:t xml:space="preserve">Этажей – 1, </w:t>
            </w:r>
            <w:r>
              <w:rPr>
                <w:sz w:val="20"/>
                <w:szCs w:val="20"/>
              </w:rPr>
            </w:r>
            <w:r>
              <w:rPr>
                <w:sz w:val="20"/>
                <w:szCs w:val="20"/>
              </w:rPr>
            </w:r>
          </w:p>
          <w:p>
            <w:pPr>
              <w:jc w:val="both"/>
              <w:rPr>
                <w:sz w:val="20"/>
                <w:szCs w:val="20"/>
              </w:rPr>
            </w:pPr>
            <w:r>
              <w:rPr>
                <w:sz w:val="22"/>
                <w:szCs w:val="22"/>
              </w:rPr>
              <w:t xml:space="preserve">подземных -0.</w:t>
            </w:r>
            <w:r>
              <w:rPr>
                <w:sz w:val="20"/>
                <w:szCs w:val="20"/>
              </w:rPr>
            </w:r>
            <w:r>
              <w:rPr>
                <w:sz w:val="20"/>
                <w:szCs w:val="20"/>
              </w:rPr>
            </w:r>
          </w:p>
          <w:p>
            <w:pPr>
              <w:jc w:val="both"/>
              <w:rPr>
                <w:sz w:val="20"/>
                <w:szCs w:val="20"/>
              </w:rPr>
            </w:pPr>
            <w:r>
              <w:rPr>
                <w:sz w:val="22"/>
                <w:szCs w:val="22"/>
              </w:rPr>
              <w:t xml:space="preserve">1961 г. постройки.</w:t>
            </w:r>
            <w:r>
              <w:rPr>
                <w:sz w:val="20"/>
                <w:szCs w:val="20"/>
              </w:rPr>
            </w:r>
            <w:r>
              <w:rPr>
                <w:sz w:val="20"/>
                <w:szCs w:val="20"/>
              </w:rPr>
            </w:r>
          </w:p>
        </w:tc>
        <w:tc>
          <w:tcPr>
            <w:tcW w:w="1118" w:type="pct"/>
            <w:textDirection w:val="lrTb"/>
            <w:noWrap w:val="false"/>
          </w:tcPr>
          <w:p>
            <w:pPr>
              <w:jc w:val="both"/>
              <w:rPr>
                <w:sz w:val="20"/>
                <w:szCs w:val="20"/>
              </w:rPr>
            </w:pPr>
            <w:r>
              <w:rPr>
                <w:sz w:val="22"/>
                <w:szCs w:val="22"/>
              </w:rPr>
              <w:t xml:space="preserve">51:03:0000000:1905</w:t>
            </w:r>
            <w:r>
              <w:rPr>
                <w:sz w:val="20"/>
                <w:szCs w:val="20"/>
              </w:rPr>
            </w:r>
            <w:r>
              <w:rPr>
                <w:sz w:val="20"/>
                <w:szCs w:val="20"/>
              </w:rPr>
            </w:r>
          </w:p>
        </w:tc>
      </w:tr>
      <w:tr>
        <w:tblPrEx/>
        <w:trPr>
          <w:trHeight w:val="70"/>
        </w:trPr>
        <w:tc>
          <w:tcPr>
            <w:tcW w:w="285" w:type="pct"/>
            <w:vAlign w:val="center"/>
            <w:textDirection w:val="lrTb"/>
            <w:noWrap w:val="false"/>
          </w:tcPr>
          <w:p>
            <w:pPr>
              <w:numPr>
                <w:ilvl w:val="0"/>
                <w:numId w:val="3"/>
              </w:numPr>
              <w:ind w:left="0" w:firstLine="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1021" w:type="pct"/>
            <w:textDirection w:val="lrTb"/>
            <w:noWrap w:val="false"/>
          </w:tcPr>
          <w:p>
            <w:pPr>
              <w:jc w:val="both"/>
              <w:rPr>
                <w:sz w:val="20"/>
                <w:szCs w:val="20"/>
              </w:rPr>
            </w:pPr>
            <w:r>
              <w:rPr>
                <w:sz w:val="22"/>
                <w:szCs w:val="22"/>
              </w:rPr>
              <w:t xml:space="preserve">Тепловые сети от котельной № 13/55.</w:t>
            </w:r>
            <w:r>
              <w:rPr>
                <w:sz w:val="20"/>
                <w:szCs w:val="20"/>
              </w:rPr>
            </w:r>
            <w:r>
              <w:rPr>
                <w:sz w:val="20"/>
                <w:szCs w:val="20"/>
              </w:rPr>
            </w:r>
          </w:p>
        </w:tc>
        <w:tc>
          <w:tcPr>
            <w:tcW w:w="1164" w:type="pct"/>
            <w:textDirection w:val="lrTb"/>
            <w:noWrap w:val="false"/>
          </w:tcPr>
          <w:p>
            <w:pPr>
              <w:jc w:val="both"/>
              <w:rPr>
                <w:sz w:val="20"/>
                <w:szCs w:val="20"/>
              </w:rPr>
            </w:pPr>
            <w:r>
              <w:rPr>
                <w:sz w:val="22"/>
                <w:szCs w:val="22"/>
              </w:rPr>
              <w:t xml:space="preserve">Мурманская область, Печенгский район, г.п. Печенга, Печенгское шоссе</w:t>
            </w:r>
            <w:r>
              <w:rPr>
                <w:sz w:val="20"/>
                <w:szCs w:val="20"/>
              </w:rPr>
            </w:r>
            <w:r>
              <w:rPr>
                <w:sz w:val="20"/>
                <w:szCs w:val="20"/>
              </w:rPr>
            </w:r>
          </w:p>
        </w:tc>
        <w:tc>
          <w:tcPr>
            <w:tcW w:w="1411" w:type="pct"/>
            <w:textDirection w:val="lrTb"/>
            <w:noWrap w:val="false"/>
          </w:tcPr>
          <w:p>
            <w:pPr>
              <w:jc w:val="both"/>
              <w:rPr>
                <w:sz w:val="20"/>
                <w:szCs w:val="20"/>
              </w:rPr>
            </w:pPr>
            <w:r>
              <w:rPr>
                <w:sz w:val="22"/>
                <w:szCs w:val="22"/>
              </w:rPr>
              <w:t xml:space="preserve">Сеть отопления в двух трубном исчислении</w:t>
            </w:r>
            <w:r>
              <w:rPr>
                <w:sz w:val="20"/>
                <w:szCs w:val="20"/>
              </w:rPr>
            </w:r>
            <w:r>
              <w:rPr>
                <w:sz w:val="20"/>
                <w:szCs w:val="20"/>
              </w:rPr>
            </w:r>
          </w:p>
          <w:p>
            <w:pPr>
              <w:jc w:val="both"/>
              <w:rPr>
                <w:sz w:val="20"/>
                <w:szCs w:val="20"/>
              </w:rPr>
            </w:pPr>
            <w:r>
              <w:rPr>
                <w:sz w:val="22"/>
                <w:szCs w:val="22"/>
              </w:rPr>
              <w:t xml:space="preserve">– 648 п.м</w:t>
            </w:r>
            <w:r>
              <w:rPr>
                <w:sz w:val="20"/>
                <w:szCs w:val="20"/>
              </w:rPr>
            </w:r>
            <w:r>
              <w:rPr>
                <w:sz w:val="20"/>
                <w:szCs w:val="20"/>
              </w:rPr>
            </w:r>
          </w:p>
        </w:tc>
        <w:tc>
          <w:tcPr>
            <w:tcW w:w="1118" w:type="pct"/>
            <w:textDirection w:val="lrTb"/>
            <w:noWrap w:val="false"/>
          </w:tcPr>
          <w:p>
            <w:pPr>
              <w:jc w:val="both"/>
              <w:rPr>
                <w:sz w:val="20"/>
                <w:szCs w:val="20"/>
              </w:rPr>
            </w:pPr>
            <w:r>
              <w:rPr>
                <w:sz w:val="22"/>
                <w:szCs w:val="22"/>
              </w:rPr>
              <w:t xml:space="preserve">51:03:0000000:3460</w:t>
            </w:r>
            <w:r>
              <w:rPr>
                <w:sz w:val="20"/>
                <w:szCs w:val="20"/>
              </w:rPr>
            </w:r>
            <w:r>
              <w:rPr>
                <w:sz w:val="20"/>
                <w:szCs w:val="20"/>
              </w:rPr>
            </w:r>
          </w:p>
          <w:p>
            <w:pPr>
              <w:jc w:val="both"/>
              <w:rPr>
                <w:sz w:val="20"/>
                <w:szCs w:val="20"/>
              </w:rPr>
            </w:pPr>
            <w:r>
              <w:rPr>
                <w:sz w:val="22"/>
                <w:szCs w:val="22"/>
              </w:rPr>
            </w:r>
            <w:r>
              <w:rPr>
                <w:sz w:val="20"/>
                <w:szCs w:val="20"/>
              </w:rPr>
            </w:r>
            <w:r>
              <w:rPr>
                <w:sz w:val="20"/>
                <w:szCs w:val="20"/>
              </w:rPr>
            </w:r>
          </w:p>
        </w:tc>
      </w:tr>
      <w:tr>
        <w:tblPrEx/>
        <w:trPr>
          <w:trHeight w:val="70"/>
        </w:trPr>
        <w:tc>
          <w:tcPr>
            <w:tcW w:w="285" w:type="pct"/>
            <w:vAlign w:val="center"/>
            <w:textDirection w:val="lrTb"/>
            <w:noWrap w:val="false"/>
          </w:tcPr>
          <w:p>
            <w:pPr>
              <w:numPr>
                <w:ilvl w:val="0"/>
                <w:numId w:val="3"/>
              </w:numPr>
              <w:ind w:left="0" w:firstLine="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1021" w:type="pct"/>
            <w:textDirection w:val="lrTb"/>
            <w:noWrap w:val="false"/>
          </w:tcPr>
          <w:p>
            <w:pPr>
              <w:jc w:val="both"/>
              <w:rPr>
                <w:sz w:val="20"/>
                <w:szCs w:val="20"/>
              </w:rPr>
            </w:pPr>
            <w:r>
              <w:rPr>
                <w:sz w:val="22"/>
                <w:szCs w:val="22"/>
              </w:rPr>
              <w:t xml:space="preserve">Здание (нежилое здание, котельная № 4/152).</w:t>
            </w:r>
            <w:r>
              <w:rPr>
                <w:sz w:val="20"/>
                <w:szCs w:val="20"/>
              </w:rPr>
            </w:r>
            <w:r>
              <w:rPr>
                <w:sz w:val="20"/>
                <w:szCs w:val="20"/>
              </w:rPr>
            </w:r>
          </w:p>
        </w:tc>
        <w:tc>
          <w:tcPr>
            <w:tcW w:w="1164" w:type="pct"/>
            <w:textDirection w:val="lrTb"/>
            <w:noWrap w:val="false"/>
          </w:tcPr>
          <w:p>
            <w:pPr>
              <w:jc w:val="both"/>
              <w:rPr>
                <w:sz w:val="20"/>
                <w:szCs w:val="20"/>
              </w:rPr>
            </w:pPr>
            <w:r>
              <w:rPr>
                <w:sz w:val="22"/>
                <w:szCs w:val="22"/>
              </w:rPr>
              <w:t xml:space="preserve">Мурманская область, Печенгский район, п. Печенга, 19-й км. Д № б/н.</w:t>
            </w:r>
            <w:r>
              <w:rPr>
                <w:sz w:val="20"/>
                <w:szCs w:val="20"/>
              </w:rPr>
            </w:r>
            <w:r>
              <w:rPr>
                <w:sz w:val="20"/>
                <w:szCs w:val="20"/>
              </w:rPr>
            </w:r>
          </w:p>
        </w:tc>
        <w:tc>
          <w:tcPr>
            <w:tcW w:w="1411" w:type="pct"/>
            <w:textDirection w:val="lrTb"/>
            <w:noWrap w:val="false"/>
          </w:tcPr>
          <w:p>
            <w:pPr>
              <w:jc w:val="both"/>
              <w:rPr>
                <w:sz w:val="20"/>
                <w:szCs w:val="20"/>
              </w:rPr>
            </w:pPr>
            <w:r>
              <w:rPr>
                <w:sz w:val="22"/>
                <w:szCs w:val="22"/>
              </w:rPr>
              <w:t xml:space="preserve">435,9 кв.м.</w:t>
            </w:r>
            <w:r>
              <w:rPr>
                <w:sz w:val="20"/>
                <w:szCs w:val="20"/>
              </w:rPr>
            </w:r>
            <w:r>
              <w:rPr>
                <w:sz w:val="20"/>
                <w:szCs w:val="20"/>
              </w:rPr>
            </w:r>
          </w:p>
          <w:p>
            <w:pPr>
              <w:jc w:val="both"/>
              <w:rPr>
                <w:sz w:val="20"/>
                <w:szCs w:val="20"/>
              </w:rPr>
            </w:pPr>
            <w:r>
              <w:rPr>
                <w:sz w:val="22"/>
                <w:szCs w:val="22"/>
              </w:rPr>
              <w:t xml:space="preserve">Этажей – 2, </w:t>
            </w:r>
            <w:r>
              <w:rPr>
                <w:sz w:val="20"/>
                <w:szCs w:val="20"/>
              </w:rPr>
            </w:r>
            <w:r>
              <w:rPr>
                <w:sz w:val="20"/>
                <w:szCs w:val="20"/>
              </w:rPr>
            </w:r>
          </w:p>
          <w:p>
            <w:pPr>
              <w:jc w:val="both"/>
              <w:rPr>
                <w:sz w:val="20"/>
                <w:szCs w:val="20"/>
              </w:rPr>
            </w:pPr>
            <w:r>
              <w:rPr>
                <w:sz w:val="22"/>
                <w:szCs w:val="22"/>
              </w:rPr>
              <w:t xml:space="preserve">подземных -0.</w:t>
            </w:r>
            <w:r>
              <w:rPr>
                <w:sz w:val="20"/>
                <w:szCs w:val="20"/>
              </w:rPr>
            </w:r>
            <w:r>
              <w:rPr>
                <w:sz w:val="20"/>
                <w:szCs w:val="20"/>
              </w:rPr>
            </w:r>
          </w:p>
          <w:p>
            <w:pPr>
              <w:jc w:val="both"/>
              <w:rPr>
                <w:sz w:val="20"/>
                <w:szCs w:val="20"/>
              </w:rPr>
            </w:pPr>
            <w:r>
              <w:rPr>
                <w:sz w:val="22"/>
                <w:szCs w:val="22"/>
              </w:rPr>
              <w:t xml:space="preserve">1969 г. постройки.</w:t>
            </w:r>
            <w:r>
              <w:rPr>
                <w:sz w:val="20"/>
                <w:szCs w:val="20"/>
              </w:rPr>
            </w:r>
            <w:r>
              <w:rPr>
                <w:sz w:val="20"/>
                <w:szCs w:val="20"/>
              </w:rPr>
            </w:r>
          </w:p>
        </w:tc>
        <w:tc>
          <w:tcPr>
            <w:tcW w:w="1118" w:type="pct"/>
            <w:textDirection w:val="lrTb"/>
            <w:noWrap w:val="false"/>
          </w:tcPr>
          <w:p>
            <w:pPr>
              <w:jc w:val="both"/>
              <w:rPr>
                <w:sz w:val="20"/>
                <w:szCs w:val="20"/>
              </w:rPr>
            </w:pPr>
            <w:r>
              <w:rPr>
                <w:sz w:val="22"/>
                <w:szCs w:val="22"/>
              </w:rPr>
              <w:t xml:space="preserve">51:03:0000000:1339</w:t>
            </w:r>
            <w:r>
              <w:rPr>
                <w:sz w:val="20"/>
                <w:szCs w:val="20"/>
              </w:rPr>
            </w:r>
            <w:r>
              <w:rPr>
                <w:sz w:val="20"/>
                <w:szCs w:val="20"/>
              </w:rPr>
            </w:r>
          </w:p>
        </w:tc>
      </w:tr>
      <w:tr>
        <w:tblPrEx/>
        <w:trPr>
          <w:trHeight w:val="70"/>
        </w:trPr>
        <w:tc>
          <w:tcPr>
            <w:tcW w:w="285" w:type="pct"/>
            <w:vAlign w:val="center"/>
            <w:textDirection w:val="lrTb"/>
            <w:noWrap w:val="false"/>
          </w:tcPr>
          <w:p>
            <w:pPr>
              <w:numPr>
                <w:ilvl w:val="0"/>
                <w:numId w:val="3"/>
              </w:numPr>
              <w:ind w:left="0" w:firstLine="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1021" w:type="pct"/>
            <w:textDirection w:val="lrTb"/>
            <w:noWrap w:val="false"/>
          </w:tcPr>
          <w:p>
            <w:pPr>
              <w:jc w:val="both"/>
              <w:rPr>
                <w:sz w:val="20"/>
                <w:szCs w:val="20"/>
              </w:rPr>
            </w:pPr>
            <w:r>
              <w:rPr>
                <w:sz w:val="22"/>
                <w:szCs w:val="22"/>
              </w:rPr>
              <w:t xml:space="preserve">Тепловые сети котельной № 4/152.</w:t>
            </w:r>
            <w:r>
              <w:rPr>
                <w:sz w:val="20"/>
                <w:szCs w:val="20"/>
              </w:rPr>
            </w:r>
            <w:r>
              <w:rPr>
                <w:sz w:val="20"/>
                <w:szCs w:val="20"/>
              </w:rPr>
            </w:r>
          </w:p>
        </w:tc>
        <w:tc>
          <w:tcPr>
            <w:tcW w:w="1164" w:type="pct"/>
            <w:textDirection w:val="lrTb"/>
            <w:noWrap w:val="false"/>
          </w:tcPr>
          <w:p>
            <w:pPr>
              <w:jc w:val="both"/>
              <w:rPr>
                <w:sz w:val="20"/>
                <w:szCs w:val="20"/>
              </w:rPr>
            </w:pPr>
            <w:r>
              <w:rPr>
                <w:sz w:val="22"/>
                <w:szCs w:val="22"/>
              </w:rPr>
              <w:t xml:space="preserve">Мурманская область, Печенгский район, п.г.т. Печенга, военный городок № 4.</w:t>
            </w:r>
            <w:r>
              <w:rPr>
                <w:sz w:val="20"/>
                <w:szCs w:val="20"/>
              </w:rPr>
            </w:r>
            <w:r>
              <w:rPr>
                <w:sz w:val="20"/>
                <w:szCs w:val="20"/>
              </w:rPr>
            </w:r>
          </w:p>
        </w:tc>
        <w:tc>
          <w:tcPr>
            <w:tcW w:w="1411" w:type="pct"/>
            <w:textDirection w:val="lrTb"/>
            <w:noWrap w:val="false"/>
          </w:tcPr>
          <w:p>
            <w:pPr>
              <w:jc w:val="both"/>
              <w:rPr>
                <w:sz w:val="20"/>
                <w:szCs w:val="20"/>
              </w:rPr>
            </w:pPr>
            <w:r>
              <w:rPr>
                <w:sz w:val="22"/>
                <w:szCs w:val="22"/>
              </w:rPr>
              <w:t xml:space="preserve">Сеть отопления в двух трубном исчислении</w:t>
            </w:r>
            <w:r>
              <w:rPr>
                <w:sz w:val="20"/>
                <w:szCs w:val="20"/>
              </w:rPr>
            </w:r>
            <w:r>
              <w:rPr>
                <w:sz w:val="20"/>
                <w:szCs w:val="20"/>
              </w:rPr>
            </w:r>
          </w:p>
          <w:p>
            <w:pPr>
              <w:jc w:val="both"/>
              <w:rPr>
                <w:sz w:val="20"/>
                <w:szCs w:val="20"/>
              </w:rPr>
            </w:pPr>
            <w:r>
              <w:rPr>
                <w:sz w:val="22"/>
                <w:szCs w:val="22"/>
              </w:rPr>
              <w:t xml:space="preserve">– 1175 п.м.</w:t>
            </w:r>
            <w:r>
              <w:rPr>
                <w:sz w:val="20"/>
                <w:szCs w:val="20"/>
              </w:rPr>
            </w:r>
            <w:r>
              <w:rPr>
                <w:sz w:val="20"/>
                <w:szCs w:val="20"/>
              </w:rPr>
            </w:r>
          </w:p>
          <w:p>
            <w:pPr>
              <w:jc w:val="both"/>
              <w:rPr>
                <w:sz w:val="20"/>
                <w:szCs w:val="20"/>
              </w:rPr>
            </w:pPr>
            <w:r>
              <w:rPr>
                <w:sz w:val="22"/>
                <w:szCs w:val="22"/>
              </w:rPr>
              <w:t xml:space="preserve">2008 г. постройки.</w:t>
            </w:r>
            <w:r>
              <w:rPr>
                <w:sz w:val="20"/>
                <w:szCs w:val="20"/>
              </w:rPr>
            </w:r>
            <w:r>
              <w:rPr>
                <w:sz w:val="20"/>
                <w:szCs w:val="20"/>
              </w:rPr>
            </w:r>
          </w:p>
        </w:tc>
        <w:tc>
          <w:tcPr>
            <w:tcW w:w="1118" w:type="pct"/>
            <w:textDirection w:val="lrTb"/>
            <w:noWrap w:val="false"/>
          </w:tcPr>
          <w:p>
            <w:pPr>
              <w:jc w:val="both"/>
              <w:rPr>
                <w:sz w:val="20"/>
                <w:szCs w:val="20"/>
              </w:rPr>
            </w:pPr>
            <w:r>
              <w:rPr>
                <w:sz w:val="22"/>
                <w:szCs w:val="22"/>
              </w:rPr>
              <w:t xml:space="preserve">51:03:0050104:43</w:t>
            </w:r>
            <w:r>
              <w:rPr>
                <w:sz w:val="20"/>
                <w:szCs w:val="20"/>
              </w:rPr>
            </w:r>
            <w:r>
              <w:rPr>
                <w:sz w:val="20"/>
                <w:szCs w:val="20"/>
              </w:rPr>
            </w:r>
          </w:p>
          <w:p>
            <w:pPr>
              <w:jc w:val="both"/>
              <w:rPr>
                <w:sz w:val="20"/>
                <w:szCs w:val="20"/>
              </w:rPr>
            </w:pPr>
            <w:r>
              <w:rPr>
                <w:sz w:val="22"/>
                <w:szCs w:val="22"/>
              </w:rPr>
            </w:r>
            <w:r>
              <w:rPr>
                <w:sz w:val="20"/>
                <w:szCs w:val="20"/>
              </w:rPr>
            </w:r>
            <w:r>
              <w:rPr>
                <w:sz w:val="20"/>
                <w:szCs w:val="20"/>
              </w:rPr>
            </w:r>
          </w:p>
        </w:tc>
      </w:tr>
      <w:tr>
        <w:tblPrEx/>
        <w:trPr>
          <w:trHeight w:val="70"/>
        </w:trPr>
        <w:tc>
          <w:tcPr>
            <w:tcW w:w="285" w:type="pct"/>
            <w:vAlign w:val="center"/>
            <w:textDirection w:val="lrTb"/>
            <w:noWrap w:val="false"/>
          </w:tcPr>
          <w:p>
            <w:pPr>
              <w:numPr>
                <w:ilvl w:val="0"/>
                <w:numId w:val="3"/>
              </w:numPr>
              <w:ind w:left="0" w:firstLine="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1021" w:type="pct"/>
            <w:textDirection w:val="lrTb"/>
            <w:noWrap w:val="false"/>
          </w:tcPr>
          <w:p>
            <w:pPr>
              <w:jc w:val="both"/>
              <w:rPr>
                <w:sz w:val="20"/>
                <w:szCs w:val="20"/>
              </w:rPr>
            </w:pPr>
            <w:r>
              <w:rPr>
                <w:sz w:val="22"/>
                <w:szCs w:val="22"/>
              </w:rPr>
              <w:t xml:space="preserve">Сети горячего водоснабжения  от котельной № </w:t>
            </w:r>
            <w:r>
              <w:rPr>
                <w:sz w:val="22"/>
                <w:szCs w:val="22"/>
              </w:rPr>
              <w:t xml:space="preserve">4/152.</w:t>
            </w:r>
            <w:r>
              <w:rPr>
                <w:sz w:val="20"/>
                <w:szCs w:val="20"/>
              </w:rPr>
            </w:r>
            <w:r>
              <w:rPr>
                <w:sz w:val="20"/>
                <w:szCs w:val="20"/>
              </w:rPr>
            </w:r>
          </w:p>
        </w:tc>
        <w:tc>
          <w:tcPr>
            <w:tcW w:w="1164" w:type="pct"/>
            <w:textDirection w:val="lrTb"/>
            <w:noWrap w:val="false"/>
          </w:tcPr>
          <w:p>
            <w:pPr>
              <w:jc w:val="both"/>
              <w:rPr>
                <w:sz w:val="20"/>
                <w:szCs w:val="20"/>
              </w:rPr>
            </w:pPr>
            <w:r>
              <w:rPr>
                <w:sz w:val="22"/>
                <w:szCs w:val="22"/>
              </w:rPr>
              <w:t xml:space="preserve">Мурманская область, Печенгский район, </w:t>
            </w:r>
            <w:r>
              <w:rPr>
                <w:sz w:val="22"/>
                <w:szCs w:val="22"/>
              </w:rPr>
              <w:t xml:space="preserve">п.г.т. Печенга, военный городок № 4.</w:t>
            </w:r>
            <w:r>
              <w:rPr>
                <w:sz w:val="20"/>
                <w:szCs w:val="20"/>
              </w:rPr>
            </w:r>
            <w:r>
              <w:rPr>
                <w:sz w:val="20"/>
                <w:szCs w:val="20"/>
              </w:rPr>
            </w:r>
          </w:p>
        </w:tc>
        <w:tc>
          <w:tcPr>
            <w:tcW w:w="1411" w:type="pct"/>
            <w:textDirection w:val="lrTb"/>
            <w:noWrap w:val="false"/>
          </w:tcPr>
          <w:p>
            <w:pPr>
              <w:jc w:val="both"/>
              <w:rPr>
                <w:sz w:val="20"/>
                <w:szCs w:val="20"/>
              </w:rPr>
            </w:pPr>
            <w:r>
              <w:rPr>
                <w:sz w:val="22"/>
                <w:szCs w:val="22"/>
              </w:rPr>
              <w:t xml:space="preserve">Сеть горячего водоснабжения в двух трубном исчислении</w:t>
            </w:r>
            <w:r>
              <w:rPr>
                <w:sz w:val="20"/>
                <w:szCs w:val="20"/>
              </w:rPr>
            </w:r>
            <w:r>
              <w:rPr>
                <w:sz w:val="20"/>
                <w:szCs w:val="20"/>
              </w:rPr>
            </w:r>
          </w:p>
          <w:p>
            <w:pPr>
              <w:jc w:val="both"/>
              <w:rPr>
                <w:sz w:val="20"/>
                <w:szCs w:val="20"/>
              </w:rPr>
            </w:pPr>
            <w:r>
              <w:rPr>
                <w:sz w:val="22"/>
                <w:szCs w:val="22"/>
              </w:rPr>
              <w:t xml:space="preserve">– 348 п.м. </w:t>
            </w:r>
            <w:r>
              <w:rPr>
                <w:sz w:val="20"/>
                <w:szCs w:val="20"/>
              </w:rPr>
            </w:r>
            <w:r>
              <w:rPr>
                <w:sz w:val="20"/>
                <w:szCs w:val="20"/>
              </w:rPr>
            </w:r>
          </w:p>
          <w:p>
            <w:pPr>
              <w:jc w:val="both"/>
              <w:rPr>
                <w:sz w:val="20"/>
                <w:szCs w:val="20"/>
              </w:rPr>
            </w:pPr>
            <w:r>
              <w:rPr>
                <w:sz w:val="22"/>
                <w:szCs w:val="22"/>
              </w:rPr>
              <w:t xml:space="preserve">1983 г. постройки.</w:t>
            </w:r>
            <w:r>
              <w:rPr>
                <w:sz w:val="20"/>
                <w:szCs w:val="20"/>
              </w:rPr>
            </w:r>
            <w:r>
              <w:rPr>
                <w:sz w:val="20"/>
                <w:szCs w:val="20"/>
              </w:rPr>
            </w:r>
          </w:p>
        </w:tc>
        <w:tc>
          <w:tcPr>
            <w:tcW w:w="1118" w:type="pct"/>
            <w:textDirection w:val="lrTb"/>
            <w:noWrap w:val="false"/>
          </w:tcPr>
          <w:p>
            <w:pPr>
              <w:jc w:val="both"/>
              <w:rPr>
                <w:sz w:val="20"/>
                <w:szCs w:val="20"/>
              </w:rPr>
            </w:pPr>
            <w:r>
              <w:rPr>
                <w:sz w:val="22"/>
                <w:szCs w:val="22"/>
              </w:rPr>
              <w:t xml:space="preserve">51:03:0000000:437</w:t>
            </w:r>
            <w:r>
              <w:rPr>
                <w:sz w:val="20"/>
                <w:szCs w:val="20"/>
              </w:rPr>
            </w:r>
            <w:r>
              <w:rPr>
                <w:sz w:val="20"/>
                <w:szCs w:val="20"/>
              </w:rPr>
            </w:r>
          </w:p>
        </w:tc>
      </w:tr>
      <w:tr>
        <w:tblPrEx/>
        <w:trPr>
          <w:trHeight w:val="70"/>
        </w:trPr>
        <w:tc>
          <w:tcPr>
            <w:tcW w:w="285" w:type="pct"/>
            <w:vAlign w:val="center"/>
            <w:textDirection w:val="lrTb"/>
            <w:noWrap w:val="false"/>
          </w:tcPr>
          <w:p>
            <w:pPr>
              <w:numPr>
                <w:ilvl w:val="0"/>
                <w:numId w:val="3"/>
              </w:numPr>
              <w:ind w:left="0" w:firstLine="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1021" w:type="pct"/>
            <w:textDirection w:val="lrTb"/>
            <w:noWrap w:val="false"/>
          </w:tcPr>
          <w:p>
            <w:pPr>
              <w:jc w:val="both"/>
              <w:rPr>
                <w:sz w:val="20"/>
                <w:szCs w:val="20"/>
              </w:rPr>
            </w:pPr>
            <w:r>
              <w:rPr>
                <w:sz w:val="22"/>
                <w:szCs w:val="22"/>
              </w:rPr>
              <w:t xml:space="preserve">Здание (нежилое здание, котельная № 42/138).</w:t>
            </w:r>
            <w:r>
              <w:rPr>
                <w:sz w:val="20"/>
                <w:szCs w:val="20"/>
              </w:rPr>
            </w:r>
            <w:r>
              <w:rPr>
                <w:sz w:val="20"/>
                <w:szCs w:val="20"/>
              </w:rPr>
            </w:r>
          </w:p>
        </w:tc>
        <w:tc>
          <w:tcPr>
            <w:tcW w:w="1164" w:type="pct"/>
            <w:textDirection w:val="lrTb"/>
            <w:noWrap w:val="false"/>
          </w:tcPr>
          <w:p>
            <w:pPr>
              <w:jc w:val="both"/>
              <w:rPr>
                <w:sz w:val="20"/>
                <w:szCs w:val="20"/>
              </w:rPr>
            </w:pPr>
            <w:r>
              <w:rPr>
                <w:sz w:val="22"/>
                <w:szCs w:val="22"/>
              </w:rPr>
              <w:t xml:space="preserve">Мурманская область, Печенгский район, н.п. Спутник, военный городок № 42.</w:t>
            </w:r>
            <w:r>
              <w:rPr>
                <w:sz w:val="20"/>
                <w:szCs w:val="20"/>
              </w:rPr>
            </w:r>
            <w:r>
              <w:rPr>
                <w:sz w:val="20"/>
                <w:szCs w:val="20"/>
              </w:rPr>
            </w:r>
          </w:p>
        </w:tc>
        <w:tc>
          <w:tcPr>
            <w:tcW w:w="1411" w:type="pct"/>
            <w:textDirection w:val="lrTb"/>
            <w:noWrap w:val="false"/>
          </w:tcPr>
          <w:p>
            <w:pPr>
              <w:jc w:val="both"/>
              <w:rPr>
                <w:sz w:val="20"/>
                <w:szCs w:val="20"/>
              </w:rPr>
            </w:pPr>
            <w:r>
              <w:rPr>
                <w:sz w:val="22"/>
                <w:szCs w:val="22"/>
              </w:rPr>
              <w:t xml:space="preserve">555,8 кв.м.</w:t>
            </w:r>
            <w:r>
              <w:rPr>
                <w:sz w:val="20"/>
                <w:szCs w:val="20"/>
              </w:rPr>
            </w:r>
            <w:r>
              <w:rPr>
                <w:sz w:val="20"/>
                <w:szCs w:val="20"/>
              </w:rPr>
            </w:r>
          </w:p>
          <w:p>
            <w:pPr>
              <w:jc w:val="both"/>
              <w:rPr>
                <w:sz w:val="20"/>
                <w:szCs w:val="20"/>
              </w:rPr>
            </w:pPr>
            <w:r>
              <w:rPr>
                <w:sz w:val="22"/>
                <w:szCs w:val="22"/>
              </w:rPr>
              <w:t xml:space="preserve">Этажей – 3, </w:t>
            </w:r>
            <w:r>
              <w:rPr>
                <w:sz w:val="20"/>
                <w:szCs w:val="20"/>
              </w:rPr>
            </w:r>
            <w:r>
              <w:rPr>
                <w:sz w:val="20"/>
                <w:szCs w:val="20"/>
              </w:rPr>
            </w:r>
          </w:p>
          <w:p>
            <w:pPr>
              <w:jc w:val="both"/>
              <w:rPr>
                <w:sz w:val="20"/>
                <w:szCs w:val="20"/>
              </w:rPr>
            </w:pPr>
            <w:r>
              <w:rPr>
                <w:sz w:val="22"/>
                <w:szCs w:val="22"/>
              </w:rPr>
              <w:t xml:space="preserve">подземных -0.</w:t>
            </w:r>
            <w:r>
              <w:rPr>
                <w:sz w:val="20"/>
                <w:szCs w:val="20"/>
              </w:rPr>
            </w:r>
            <w:r>
              <w:rPr>
                <w:sz w:val="20"/>
                <w:szCs w:val="20"/>
              </w:rPr>
            </w:r>
          </w:p>
          <w:p>
            <w:pPr>
              <w:jc w:val="both"/>
              <w:rPr>
                <w:sz w:val="20"/>
                <w:szCs w:val="20"/>
              </w:rPr>
            </w:pPr>
            <w:r>
              <w:rPr>
                <w:sz w:val="22"/>
                <w:szCs w:val="22"/>
              </w:rPr>
              <w:t xml:space="preserve">2009 г. постройки.</w:t>
            </w:r>
            <w:r>
              <w:rPr>
                <w:sz w:val="20"/>
                <w:szCs w:val="20"/>
              </w:rPr>
            </w:r>
            <w:r>
              <w:rPr>
                <w:sz w:val="20"/>
                <w:szCs w:val="20"/>
              </w:rPr>
            </w:r>
          </w:p>
        </w:tc>
        <w:tc>
          <w:tcPr>
            <w:tcW w:w="1118" w:type="pct"/>
            <w:textDirection w:val="lrTb"/>
            <w:noWrap w:val="false"/>
          </w:tcPr>
          <w:p>
            <w:pPr>
              <w:jc w:val="both"/>
              <w:rPr>
                <w:sz w:val="20"/>
                <w:szCs w:val="20"/>
              </w:rPr>
            </w:pPr>
            <w:r>
              <w:rPr>
                <w:sz w:val="22"/>
                <w:szCs w:val="22"/>
              </w:rPr>
              <w:t xml:space="preserve">51:03:0030101:773</w:t>
            </w:r>
            <w:r>
              <w:rPr>
                <w:sz w:val="20"/>
                <w:szCs w:val="20"/>
              </w:rPr>
            </w:r>
            <w:r>
              <w:rPr>
                <w:sz w:val="20"/>
                <w:szCs w:val="20"/>
              </w:rPr>
            </w:r>
          </w:p>
        </w:tc>
      </w:tr>
      <w:tr>
        <w:tblPrEx/>
        <w:trPr>
          <w:trHeight w:val="70"/>
        </w:trPr>
        <w:tc>
          <w:tcPr>
            <w:tcW w:w="285" w:type="pct"/>
            <w:vAlign w:val="center"/>
            <w:textDirection w:val="lrTb"/>
            <w:noWrap w:val="false"/>
          </w:tcPr>
          <w:p>
            <w:pPr>
              <w:numPr>
                <w:ilvl w:val="0"/>
                <w:numId w:val="3"/>
              </w:numPr>
              <w:ind w:left="0" w:firstLine="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1021" w:type="pct"/>
            <w:textDirection w:val="lrTb"/>
            <w:noWrap w:val="false"/>
          </w:tcPr>
          <w:p>
            <w:pPr>
              <w:jc w:val="both"/>
              <w:rPr>
                <w:sz w:val="20"/>
                <w:szCs w:val="20"/>
              </w:rPr>
            </w:pPr>
            <w:r>
              <w:rPr>
                <w:sz w:val="22"/>
                <w:szCs w:val="22"/>
              </w:rPr>
              <w:t xml:space="preserve">Тепловая трасса военного городка № 42.</w:t>
            </w:r>
            <w:r>
              <w:rPr>
                <w:sz w:val="20"/>
                <w:szCs w:val="20"/>
              </w:rPr>
            </w:r>
            <w:r>
              <w:rPr>
                <w:sz w:val="20"/>
                <w:szCs w:val="20"/>
              </w:rPr>
            </w:r>
          </w:p>
        </w:tc>
        <w:tc>
          <w:tcPr>
            <w:tcW w:w="1164" w:type="pct"/>
            <w:textDirection w:val="lrTb"/>
            <w:noWrap w:val="false"/>
          </w:tcPr>
          <w:p>
            <w:pPr>
              <w:jc w:val="both"/>
              <w:rPr>
                <w:sz w:val="20"/>
                <w:szCs w:val="20"/>
              </w:rPr>
            </w:pPr>
            <w:r>
              <w:rPr>
                <w:sz w:val="22"/>
                <w:szCs w:val="22"/>
              </w:rPr>
              <w:t xml:space="preserve">Мурманская область, Печенгский район, н.п. Спутник, военный городок № 42.</w:t>
            </w:r>
            <w:r>
              <w:rPr>
                <w:sz w:val="20"/>
                <w:szCs w:val="20"/>
              </w:rPr>
            </w:r>
            <w:r>
              <w:rPr>
                <w:sz w:val="20"/>
                <w:szCs w:val="20"/>
              </w:rPr>
            </w:r>
          </w:p>
        </w:tc>
        <w:tc>
          <w:tcPr>
            <w:tcW w:w="1411" w:type="pct"/>
            <w:textDirection w:val="lrTb"/>
            <w:noWrap w:val="false"/>
          </w:tcPr>
          <w:p>
            <w:pPr>
              <w:jc w:val="both"/>
              <w:rPr>
                <w:sz w:val="20"/>
                <w:szCs w:val="20"/>
              </w:rPr>
            </w:pPr>
            <w:r>
              <w:rPr>
                <w:sz w:val="22"/>
                <w:szCs w:val="22"/>
              </w:rPr>
              <w:t xml:space="preserve">Сеть отопления в двух трубном исчислении</w:t>
            </w:r>
            <w:r>
              <w:rPr>
                <w:sz w:val="20"/>
                <w:szCs w:val="20"/>
              </w:rPr>
            </w:r>
            <w:r>
              <w:rPr>
                <w:sz w:val="20"/>
                <w:szCs w:val="20"/>
              </w:rPr>
            </w:r>
          </w:p>
          <w:p>
            <w:pPr>
              <w:jc w:val="both"/>
              <w:rPr>
                <w:sz w:val="20"/>
                <w:szCs w:val="20"/>
              </w:rPr>
            </w:pPr>
            <w:r>
              <w:rPr>
                <w:sz w:val="22"/>
                <w:szCs w:val="22"/>
              </w:rPr>
              <w:t xml:space="preserve">– 2191,02 п.м.</w:t>
            </w:r>
            <w:r>
              <w:rPr>
                <w:sz w:val="20"/>
                <w:szCs w:val="20"/>
              </w:rPr>
            </w:r>
            <w:r>
              <w:rPr>
                <w:sz w:val="20"/>
                <w:szCs w:val="20"/>
              </w:rPr>
            </w:r>
          </w:p>
          <w:p>
            <w:pPr>
              <w:jc w:val="both"/>
              <w:rPr>
                <w:sz w:val="20"/>
                <w:szCs w:val="20"/>
              </w:rPr>
            </w:pPr>
            <w:r>
              <w:rPr>
                <w:sz w:val="22"/>
                <w:szCs w:val="22"/>
              </w:rPr>
              <w:t xml:space="preserve">1981 г. постройки.</w:t>
            </w:r>
            <w:r>
              <w:rPr>
                <w:sz w:val="20"/>
                <w:szCs w:val="20"/>
              </w:rPr>
            </w:r>
            <w:r>
              <w:rPr>
                <w:sz w:val="20"/>
                <w:szCs w:val="20"/>
              </w:rPr>
            </w:r>
          </w:p>
        </w:tc>
        <w:tc>
          <w:tcPr>
            <w:tcW w:w="1118" w:type="pct"/>
            <w:textDirection w:val="lrTb"/>
            <w:noWrap w:val="false"/>
          </w:tcPr>
          <w:p>
            <w:pPr>
              <w:jc w:val="both"/>
              <w:rPr>
                <w:sz w:val="20"/>
                <w:szCs w:val="20"/>
              </w:rPr>
            </w:pPr>
            <w:r>
              <w:rPr>
                <w:sz w:val="22"/>
                <w:szCs w:val="22"/>
              </w:rPr>
              <w:t xml:space="preserve">51:03:0030101:81</w:t>
            </w:r>
            <w:r>
              <w:rPr>
                <w:sz w:val="20"/>
                <w:szCs w:val="20"/>
              </w:rPr>
            </w:r>
            <w:r>
              <w:rPr>
                <w:sz w:val="20"/>
                <w:szCs w:val="20"/>
              </w:rPr>
            </w:r>
          </w:p>
          <w:p>
            <w:pPr>
              <w:jc w:val="both"/>
              <w:rPr>
                <w:sz w:val="20"/>
                <w:szCs w:val="20"/>
              </w:rPr>
            </w:pPr>
            <w:r>
              <w:rPr>
                <w:sz w:val="22"/>
                <w:szCs w:val="22"/>
              </w:rPr>
            </w:r>
            <w:r>
              <w:rPr>
                <w:sz w:val="20"/>
                <w:szCs w:val="20"/>
              </w:rPr>
            </w:r>
            <w:r>
              <w:rPr>
                <w:sz w:val="20"/>
                <w:szCs w:val="20"/>
              </w:rPr>
            </w:r>
          </w:p>
        </w:tc>
      </w:tr>
      <w:tr>
        <w:tblPrEx/>
        <w:trPr>
          <w:trHeight w:val="70"/>
        </w:trPr>
        <w:tc>
          <w:tcPr>
            <w:tcW w:w="285" w:type="pct"/>
            <w:vAlign w:val="center"/>
            <w:textDirection w:val="lrTb"/>
            <w:noWrap w:val="false"/>
          </w:tcPr>
          <w:p>
            <w:pPr>
              <w:numPr>
                <w:ilvl w:val="0"/>
                <w:numId w:val="3"/>
              </w:numPr>
              <w:ind w:left="0" w:firstLine="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1021" w:type="pct"/>
            <w:textDirection w:val="lrTb"/>
            <w:noWrap w:val="false"/>
          </w:tcPr>
          <w:p>
            <w:pPr>
              <w:jc w:val="both"/>
              <w:rPr>
                <w:sz w:val="20"/>
                <w:szCs w:val="20"/>
              </w:rPr>
            </w:pPr>
            <w:r>
              <w:rPr>
                <w:sz w:val="22"/>
                <w:szCs w:val="22"/>
              </w:rPr>
              <w:t xml:space="preserve">Сети водопровода от  котельной военного городка № 42.</w:t>
            </w:r>
            <w:r>
              <w:rPr>
                <w:sz w:val="20"/>
                <w:szCs w:val="20"/>
              </w:rPr>
            </w:r>
            <w:r>
              <w:rPr>
                <w:sz w:val="20"/>
                <w:szCs w:val="20"/>
              </w:rPr>
            </w:r>
          </w:p>
        </w:tc>
        <w:tc>
          <w:tcPr>
            <w:tcW w:w="1164" w:type="pct"/>
            <w:textDirection w:val="lrTb"/>
            <w:noWrap w:val="false"/>
          </w:tcPr>
          <w:p>
            <w:pPr>
              <w:jc w:val="both"/>
              <w:rPr>
                <w:sz w:val="20"/>
                <w:szCs w:val="20"/>
              </w:rPr>
            </w:pPr>
            <w:r>
              <w:rPr>
                <w:sz w:val="22"/>
                <w:szCs w:val="22"/>
              </w:rPr>
              <w:t xml:space="preserve">Мурманская область, Печенгский район, н.п. Спутник, военный городок № 42.</w:t>
            </w:r>
            <w:r>
              <w:rPr>
                <w:sz w:val="20"/>
                <w:szCs w:val="20"/>
              </w:rPr>
            </w:r>
            <w:r>
              <w:rPr>
                <w:sz w:val="20"/>
                <w:szCs w:val="20"/>
              </w:rPr>
            </w:r>
          </w:p>
        </w:tc>
        <w:tc>
          <w:tcPr>
            <w:tcW w:w="1411" w:type="pct"/>
            <w:textDirection w:val="lrTb"/>
            <w:noWrap w:val="false"/>
          </w:tcPr>
          <w:p>
            <w:pPr>
              <w:jc w:val="both"/>
              <w:rPr>
                <w:sz w:val="20"/>
                <w:szCs w:val="20"/>
              </w:rPr>
            </w:pPr>
            <w:r>
              <w:rPr>
                <w:sz w:val="22"/>
                <w:szCs w:val="22"/>
              </w:rPr>
              <w:t xml:space="preserve">Сеть горячего водоснабжения в двух трубном исчислении</w:t>
            </w:r>
            <w:r>
              <w:rPr>
                <w:sz w:val="20"/>
                <w:szCs w:val="20"/>
              </w:rPr>
            </w:r>
            <w:r>
              <w:rPr>
                <w:sz w:val="20"/>
                <w:szCs w:val="20"/>
              </w:rPr>
            </w:r>
          </w:p>
          <w:p>
            <w:pPr>
              <w:jc w:val="both"/>
              <w:rPr>
                <w:sz w:val="20"/>
                <w:szCs w:val="20"/>
              </w:rPr>
            </w:pPr>
            <w:r>
              <w:rPr>
                <w:sz w:val="22"/>
                <w:szCs w:val="22"/>
              </w:rPr>
              <w:t xml:space="preserve">– 889 п.м. </w:t>
            </w:r>
            <w:r>
              <w:rPr>
                <w:sz w:val="20"/>
                <w:szCs w:val="20"/>
              </w:rPr>
            </w:r>
            <w:r>
              <w:rPr>
                <w:sz w:val="20"/>
                <w:szCs w:val="20"/>
              </w:rPr>
            </w:r>
          </w:p>
          <w:p>
            <w:pPr>
              <w:jc w:val="both"/>
              <w:rPr>
                <w:sz w:val="20"/>
                <w:szCs w:val="20"/>
              </w:rPr>
            </w:pPr>
            <w:r>
              <w:rPr>
                <w:sz w:val="22"/>
                <w:szCs w:val="22"/>
              </w:rPr>
              <w:t xml:space="preserve">1981 г. постройки.</w:t>
            </w:r>
            <w:r>
              <w:rPr>
                <w:sz w:val="20"/>
                <w:szCs w:val="20"/>
              </w:rPr>
            </w:r>
            <w:r>
              <w:rPr>
                <w:sz w:val="20"/>
                <w:szCs w:val="20"/>
              </w:rPr>
            </w:r>
          </w:p>
        </w:tc>
        <w:tc>
          <w:tcPr>
            <w:tcW w:w="1118" w:type="pct"/>
            <w:textDirection w:val="lrTb"/>
            <w:noWrap w:val="false"/>
          </w:tcPr>
          <w:p>
            <w:pPr>
              <w:jc w:val="both"/>
              <w:rPr>
                <w:sz w:val="20"/>
                <w:szCs w:val="20"/>
              </w:rPr>
            </w:pPr>
            <w:r>
              <w:rPr>
                <w:sz w:val="22"/>
                <w:szCs w:val="22"/>
              </w:rPr>
              <w:t xml:space="preserve">51:03:0030101:89</w:t>
            </w:r>
            <w:r>
              <w:rPr>
                <w:sz w:val="20"/>
                <w:szCs w:val="20"/>
              </w:rPr>
            </w:r>
            <w:r>
              <w:rPr>
                <w:sz w:val="20"/>
                <w:szCs w:val="20"/>
              </w:rPr>
            </w:r>
          </w:p>
        </w:tc>
      </w:tr>
    </w:tbl>
    <w:p>
      <w:pPr>
        <w:ind w:firstLine="680"/>
        <w:jc w:val="both"/>
        <w:rPr>
          <w:b/>
          <w:sz w:val="24"/>
          <w:szCs w:val="24"/>
        </w:rPr>
      </w:pPr>
      <w:r>
        <w:rPr>
          <w:b/>
          <w:sz w:val="24"/>
          <w:szCs w:val="24"/>
        </w:rPr>
      </w:r>
      <w:r>
        <w:rPr>
          <w:b/>
          <w:sz w:val="24"/>
          <w:szCs w:val="24"/>
        </w:rPr>
      </w:r>
      <w:r>
        <w:rPr>
          <w:b/>
          <w:sz w:val="24"/>
          <w:szCs w:val="24"/>
        </w:rPr>
      </w:r>
    </w:p>
    <w:p>
      <w:pPr>
        <w:ind w:firstLine="680"/>
        <w:jc w:val="both"/>
        <w:rPr>
          <w:b/>
          <w:sz w:val="24"/>
          <w:szCs w:val="24"/>
        </w:rPr>
      </w:pPr>
      <w:r>
        <w:rPr>
          <w:b/>
          <w:sz w:val="24"/>
          <w:szCs w:val="24"/>
        </w:rPr>
      </w:r>
      <w:r>
        <w:rPr>
          <w:b/>
          <w:sz w:val="24"/>
          <w:szCs w:val="24"/>
        </w:rPr>
      </w:r>
      <w:r>
        <w:rPr>
          <w:b/>
          <w:sz w:val="24"/>
          <w:szCs w:val="24"/>
        </w:rPr>
      </w:r>
    </w:p>
    <w:tbl>
      <w:tblPr>
        <w:tblStyle w:val="937"/>
        <w:tblW w:w="5000" w:type="pc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188"/>
        <w:gridCol w:w="3188"/>
        <w:gridCol w:w="3188"/>
      </w:tblGrid>
      <w:tr>
        <w:tblPrEx/>
        <w:trPr/>
        <w:tc>
          <w:tcPr>
            <w:tcW w:w="1667" w:type="pct"/>
            <w:textDirection w:val="lrTb"/>
            <w:noWrap w:val="false"/>
          </w:tcPr>
          <w:p>
            <w:pPr>
              <w:jc w:val="both"/>
              <w:rPr>
                <w:b/>
                <w:sz w:val="24"/>
                <w:szCs w:val="24"/>
              </w:rPr>
            </w:pPr>
            <w:r>
              <w:rPr>
                <w:b/>
                <w:sz w:val="24"/>
                <w:szCs w:val="24"/>
              </w:rPr>
              <w:t xml:space="preserve">Концедент</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Концессионер</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Субъект</w:t>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t xml:space="preserve">Муниципальное образование Печенгский муниципальный округ Мурманской области</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Общество с ограниченной ответственностью «ПромВоенСтрой»</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Мурманская область</w:t>
            </w:r>
            <w:r>
              <w:rPr>
                <w:b/>
                <w:sz w:val="24"/>
                <w:szCs w:val="24"/>
              </w:rPr>
            </w:r>
            <w:r>
              <w:rPr>
                <w:b/>
                <w:sz w:val="24"/>
                <w:szCs w:val="24"/>
              </w:rPr>
            </w:r>
          </w:p>
          <w:p>
            <w:pPr>
              <w:jc w:val="both"/>
              <w:rPr>
                <w:b/>
                <w:sz w:val="24"/>
                <w:szCs w:val="24"/>
              </w:rPr>
            </w:pPr>
            <w:r>
              <w:rPr>
                <w:b/>
                <w:sz w:val="24"/>
                <w:szCs w:val="24"/>
              </w:rPr>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t xml:space="preserve">Глава округа </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Генеральный директор</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Губернатор</w:t>
            </w:r>
            <w:r>
              <w:rPr>
                <w:b/>
                <w:sz w:val="24"/>
                <w:szCs w:val="24"/>
              </w:rPr>
            </w:r>
            <w:r>
              <w:rPr>
                <w:b/>
                <w:sz w:val="24"/>
                <w:szCs w:val="24"/>
              </w:rPr>
            </w:r>
          </w:p>
        </w:tc>
      </w:tr>
      <w:tr>
        <w:tblPrEx/>
        <w:trPr>
          <w:trHeight w:val="567"/>
        </w:trPr>
        <w:tc>
          <w:tcPr>
            <w:tcW w:w="1667" w:type="pct"/>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c>
          <w:tcPr>
            <w:tcW w:w="1667" w:type="pct"/>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c>
          <w:tcPr>
            <w:tcW w:w="1667" w:type="pct"/>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r>
      <w:tr>
        <w:tblPrEx/>
        <w:trPr/>
        <w:tc>
          <w:tcPr>
            <w:tcW w:w="1667" w:type="pct"/>
            <w:textDirection w:val="lrTb"/>
            <w:noWrap w:val="false"/>
          </w:tcPr>
          <w:p>
            <w:pPr>
              <w:jc w:val="both"/>
              <w:rPr>
                <w:b/>
                <w:sz w:val="24"/>
                <w:szCs w:val="24"/>
              </w:rPr>
            </w:pPr>
            <w:r>
              <w:rPr>
                <w:sz w:val="24"/>
                <w:szCs w:val="24"/>
              </w:rPr>
              <w:t xml:space="preserve">МП      /Кузнецов А.В../</w:t>
            </w:r>
            <w:r>
              <w:rPr>
                <w:b/>
                <w:sz w:val="24"/>
                <w:szCs w:val="24"/>
              </w:rPr>
            </w:r>
            <w:r>
              <w:rPr>
                <w:b/>
                <w:sz w:val="24"/>
                <w:szCs w:val="24"/>
              </w:rPr>
            </w:r>
          </w:p>
        </w:tc>
        <w:tc>
          <w:tcPr>
            <w:tcW w:w="1667" w:type="pct"/>
            <w:textDirection w:val="lrTb"/>
            <w:noWrap w:val="false"/>
          </w:tcPr>
          <w:p>
            <w:pPr>
              <w:jc w:val="both"/>
              <w:rPr>
                <w:b/>
                <w:sz w:val="24"/>
                <w:szCs w:val="24"/>
              </w:rPr>
            </w:pPr>
            <w:r>
              <w:rPr>
                <w:sz w:val="24"/>
                <w:szCs w:val="24"/>
              </w:rPr>
              <w:t xml:space="preserve">МП       /Аршакян А.Р./</w:t>
            </w:r>
            <w:r>
              <w:rPr>
                <w:b/>
                <w:sz w:val="24"/>
                <w:szCs w:val="24"/>
              </w:rPr>
            </w:r>
            <w:r>
              <w:rPr>
                <w:b/>
                <w:sz w:val="24"/>
                <w:szCs w:val="24"/>
              </w:rPr>
            </w:r>
          </w:p>
        </w:tc>
        <w:tc>
          <w:tcPr>
            <w:tcW w:w="1667" w:type="pct"/>
            <w:textDirection w:val="lrTb"/>
            <w:noWrap w:val="false"/>
          </w:tcPr>
          <w:p>
            <w:pPr>
              <w:jc w:val="both"/>
              <w:rPr>
                <w:b/>
                <w:sz w:val="24"/>
                <w:szCs w:val="24"/>
              </w:rPr>
            </w:pPr>
            <w:r>
              <w:rPr>
                <w:sz w:val="24"/>
                <w:szCs w:val="24"/>
              </w:rPr>
              <w:t xml:space="preserve">МП         /Чибис А.В./</w:t>
            </w:r>
            <w:r>
              <w:rPr>
                <w:b/>
                <w:sz w:val="24"/>
                <w:szCs w:val="24"/>
              </w:rPr>
            </w:r>
            <w:r>
              <w:rPr>
                <w:b/>
                <w:sz w:val="24"/>
                <w:szCs w:val="24"/>
              </w:rPr>
            </w:r>
          </w:p>
        </w:tc>
      </w:tr>
      <w:tr>
        <w:tblPrEx/>
        <w:trPr/>
        <w:tc>
          <w:tcPr>
            <w:tcW w:w="1667" w:type="pct"/>
            <w:textDirection w:val="lrTb"/>
            <w:noWrap w:val="false"/>
          </w:tcPr>
          <w:p>
            <w:pPr>
              <w:jc w:val="both"/>
              <w:rPr>
                <w:b/>
                <w:sz w:val="24"/>
                <w:szCs w:val="24"/>
              </w:rPr>
            </w:pPr>
            <w:r>
              <w:rPr>
                <w:sz w:val="24"/>
                <w:szCs w:val="24"/>
              </w:rPr>
              <w:t xml:space="preserve">«___»____________ 20__ г.</w:t>
            </w:r>
            <w:r>
              <w:rPr>
                <w:b/>
                <w:sz w:val="24"/>
                <w:szCs w:val="24"/>
              </w:rPr>
            </w:r>
            <w:r>
              <w:rPr>
                <w:b/>
                <w:sz w:val="24"/>
                <w:szCs w:val="24"/>
              </w:rPr>
            </w:r>
          </w:p>
        </w:tc>
        <w:tc>
          <w:tcPr>
            <w:tcW w:w="1667" w:type="pct"/>
            <w:textDirection w:val="lrTb"/>
            <w:noWrap w:val="false"/>
          </w:tcPr>
          <w:p>
            <w:pPr>
              <w:jc w:val="both"/>
              <w:rPr>
                <w:sz w:val="24"/>
                <w:szCs w:val="24"/>
              </w:rPr>
            </w:pPr>
            <w:r>
              <w:rPr>
                <w:sz w:val="24"/>
                <w:szCs w:val="24"/>
              </w:rPr>
              <w:t xml:space="preserve">«___»____________ 20__ г.</w:t>
            </w:r>
            <w:r>
              <w:rPr>
                <w:sz w:val="24"/>
                <w:szCs w:val="24"/>
              </w:rPr>
            </w:r>
            <w:r>
              <w:rPr>
                <w:sz w:val="24"/>
                <w:szCs w:val="24"/>
              </w:rPr>
            </w:r>
          </w:p>
        </w:tc>
        <w:tc>
          <w:tcPr>
            <w:tcW w:w="1667" w:type="pct"/>
            <w:textDirection w:val="lrTb"/>
            <w:noWrap w:val="false"/>
          </w:tcPr>
          <w:p>
            <w:pPr>
              <w:jc w:val="both"/>
              <w:rPr>
                <w:b/>
                <w:sz w:val="24"/>
                <w:szCs w:val="24"/>
              </w:rPr>
            </w:pPr>
            <w:r>
              <w:rPr>
                <w:sz w:val="24"/>
                <w:szCs w:val="24"/>
              </w:rPr>
              <w:t xml:space="preserve">«___»____________ 20__ г.</w:t>
            </w:r>
            <w:r>
              <w:rPr>
                <w:b/>
                <w:sz w:val="24"/>
                <w:szCs w:val="24"/>
              </w:rPr>
            </w:r>
            <w:r>
              <w:rPr>
                <w:b/>
                <w:sz w:val="24"/>
                <w:szCs w:val="24"/>
              </w:rPr>
            </w:r>
          </w:p>
        </w:tc>
      </w:tr>
    </w:tbl>
    <w:p>
      <w:pPr>
        <w:ind w:firstLine="680"/>
        <w:jc w:val="both"/>
        <w:rPr>
          <w:sz w:val="24"/>
          <w:szCs w:val="24"/>
        </w:rPr>
      </w:pPr>
      <w:r>
        <w:rPr>
          <w:sz w:val="24"/>
          <w:szCs w:val="24"/>
        </w:rPr>
      </w:r>
      <w:r>
        <w:rPr>
          <w:sz w:val="24"/>
          <w:szCs w:val="24"/>
        </w:rPr>
      </w:r>
      <w:r>
        <w:rPr>
          <w:sz w:val="24"/>
          <w:szCs w:val="24"/>
        </w:rPr>
      </w:r>
    </w:p>
    <w:p>
      <w:pPr>
        <w:shd w:val="nil" w:color="auto"/>
        <w:rPr>
          <w:sz w:val="24"/>
          <w:szCs w:val="24"/>
        </w:rPr>
      </w:pPr>
      <w:r>
        <w:rPr>
          <w:sz w:val="24"/>
          <w:szCs w:val="24"/>
        </w:rPr>
        <w:br w:type="page" w:clear="all"/>
      </w:r>
      <w:r>
        <w:rPr>
          <w:sz w:val="24"/>
          <w:szCs w:val="24"/>
        </w:rPr>
      </w:r>
      <w:r>
        <w:rPr>
          <w:sz w:val="24"/>
          <w:szCs w:val="24"/>
        </w:rPr>
      </w:r>
    </w:p>
    <w:p>
      <w:pPr>
        <w:ind w:left="5528" w:right="0" w:firstLine="0"/>
        <w:jc w:val="both"/>
        <w:rPr>
          <w:sz w:val="24"/>
          <w:szCs w:val="24"/>
        </w:rPr>
      </w:pPr>
      <w:r>
        <w:rPr>
          <w:sz w:val="24"/>
          <w:szCs w:val="24"/>
        </w:rPr>
        <w:t xml:space="preserve">Приложение № 2</w:t>
      </w:r>
      <w:r>
        <w:rPr>
          <w:sz w:val="24"/>
          <w:szCs w:val="24"/>
        </w:rPr>
      </w:r>
      <w:r>
        <w:rPr>
          <w:sz w:val="24"/>
          <w:szCs w:val="24"/>
        </w:rPr>
      </w:r>
    </w:p>
    <w:p>
      <w:pPr>
        <w:ind w:left="5528" w:right="0" w:firstLine="0"/>
        <w:jc w:val="both"/>
        <w:rPr>
          <w:sz w:val="24"/>
          <w:szCs w:val="24"/>
        </w:rPr>
      </w:pPr>
      <w:r>
        <w:rPr>
          <w:sz w:val="24"/>
          <w:szCs w:val="24"/>
        </w:rPr>
        <w:t xml:space="preserve">к Концессионному соглашению</w:t>
      </w:r>
      <w:r>
        <w:rPr>
          <w:sz w:val="24"/>
          <w:szCs w:val="24"/>
        </w:rPr>
      </w:r>
      <w:r>
        <w:rPr>
          <w:sz w:val="24"/>
          <w:szCs w:val="24"/>
        </w:rPr>
      </w:r>
    </w:p>
    <w:p>
      <w:pPr>
        <w:ind w:left="5528" w:right="0" w:firstLine="0"/>
        <w:jc w:val="both"/>
        <w:rPr>
          <w:sz w:val="24"/>
          <w:szCs w:val="24"/>
        </w:rPr>
      </w:pPr>
      <w:r>
        <w:rPr>
          <w:sz w:val="24"/>
          <w:szCs w:val="24"/>
        </w:rPr>
        <w:t xml:space="preserve">от «__»______ 2024 года №______</w:t>
      </w:r>
      <w:r>
        <w:rPr>
          <w:sz w:val="24"/>
          <w:szCs w:val="24"/>
        </w:rPr>
      </w:r>
      <w:r>
        <w:rPr>
          <w:sz w:val="24"/>
          <w:szCs w:val="24"/>
        </w:rPr>
      </w:r>
    </w:p>
    <w:p>
      <w:pPr>
        <w:ind w:firstLine="680"/>
        <w:jc w:val="both"/>
        <w:rPr>
          <w:b/>
          <w:sz w:val="24"/>
          <w:szCs w:val="24"/>
        </w:rPr>
      </w:pPr>
      <w:r>
        <w:rPr>
          <w:b/>
          <w:sz w:val="24"/>
          <w:szCs w:val="24"/>
        </w:rPr>
      </w:r>
      <w:r>
        <w:rPr>
          <w:b/>
          <w:sz w:val="24"/>
          <w:szCs w:val="24"/>
        </w:rPr>
      </w:r>
      <w:r>
        <w:rPr>
          <w:b/>
          <w:sz w:val="24"/>
          <w:szCs w:val="24"/>
        </w:rPr>
      </w:r>
    </w:p>
    <w:p>
      <w:pPr>
        <w:ind w:firstLine="680"/>
        <w:jc w:val="center"/>
        <w:rPr>
          <w:b/>
          <w:sz w:val="24"/>
          <w:szCs w:val="24"/>
        </w:rPr>
      </w:pPr>
      <w:r>
        <w:rPr>
          <w:b/>
          <w:sz w:val="24"/>
          <w:szCs w:val="24"/>
        </w:rPr>
        <w:t xml:space="preserve">Задание и перечень основных мероприятий</w:t>
      </w:r>
      <w:r>
        <w:rPr>
          <w:b/>
          <w:sz w:val="24"/>
          <w:szCs w:val="24"/>
        </w:rPr>
      </w:r>
      <w:r>
        <w:rPr>
          <w:b/>
          <w:sz w:val="24"/>
          <w:szCs w:val="24"/>
        </w:rPr>
      </w:r>
    </w:p>
    <w:p>
      <w:pPr>
        <w:ind w:firstLine="680"/>
        <w:jc w:val="center"/>
        <w:rPr>
          <w:b/>
          <w:sz w:val="24"/>
          <w:szCs w:val="24"/>
        </w:rPr>
      </w:pPr>
      <w:r>
        <w:rPr>
          <w:b/>
          <w:sz w:val="24"/>
          <w:szCs w:val="24"/>
        </w:rPr>
        <w:t xml:space="preserve">по реконструкции Объекта Соглашения</w:t>
      </w:r>
      <w:r>
        <w:rPr>
          <w:b/>
          <w:sz w:val="24"/>
          <w:szCs w:val="24"/>
        </w:rPr>
      </w:r>
      <w:r>
        <w:rPr>
          <w:b/>
          <w:sz w:val="24"/>
          <w:szCs w:val="24"/>
        </w:rPr>
      </w:r>
    </w:p>
    <w:p>
      <w:pPr>
        <w:ind w:firstLine="680"/>
        <w:jc w:val="both"/>
        <w:rPr>
          <w:b/>
          <w:sz w:val="24"/>
          <w:szCs w:val="24"/>
        </w:rPr>
      </w:pPr>
      <w:r>
        <w:rPr>
          <w:b/>
          <w:sz w:val="24"/>
          <w:szCs w:val="24"/>
        </w:rPr>
      </w:r>
      <w:r>
        <w:rPr>
          <w:b/>
          <w:sz w:val="24"/>
          <w:szCs w:val="24"/>
        </w:rPr>
      </w:r>
      <w:r>
        <w:rPr>
          <w:b/>
          <w:sz w:val="24"/>
          <w:szCs w:val="24"/>
        </w:rPr>
      </w:r>
    </w:p>
    <w:tbl>
      <w:tblPr>
        <w:tblStyle w:val="937"/>
        <w:tblW w:w="9464" w:type="dxa"/>
        <w:tblLayout w:type="fixed"/>
        <w:tblLook w:val="04A0" w:firstRow="1" w:lastRow="0" w:firstColumn="1" w:lastColumn="0" w:noHBand="0" w:noVBand="1"/>
      </w:tblPr>
      <w:tblGrid>
        <w:gridCol w:w="640"/>
        <w:gridCol w:w="4280"/>
        <w:gridCol w:w="2276"/>
        <w:gridCol w:w="2268"/>
      </w:tblGrid>
      <w:tr>
        <w:tblPrEx/>
        <w:trPr>
          <w:trHeight w:val="401"/>
        </w:trPr>
        <w:tc>
          <w:tcPr>
            <w:tcW w:w="640" w:type="dxa"/>
            <w:vMerge w:val="restart"/>
            <w:textDirection w:val="lrTb"/>
            <w:noWrap w:val="false"/>
          </w:tcPr>
          <w:p>
            <w:pPr>
              <w:jc w:val="both"/>
              <w:rPr>
                <w:sz w:val="22"/>
                <w:szCs w:val="22"/>
              </w:rPr>
            </w:pPr>
            <w:r>
              <w:rPr>
                <w:sz w:val="22"/>
                <w:szCs w:val="22"/>
              </w:rPr>
              <w:t xml:space="preserve">№ п/п</w:t>
            </w:r>
            <w:r>
              <w:rPr>
                <w:sz w:val="22"/>
                <w:szCs w:val="22"/>
              </w:rPr>
            </w:r>
            <w:r>
              <w:rPr>
                <w:sz w:val="22"/>
                <w:szCs w:val="22"/>
              </w:rPr>
            </w:r>
          </w:p>
        </w:tc>
        <w:tc>
          <w:tcPr>
            <w:tcW w:w="4280" w:type="dxa"/>
            <w:vAlign w:val="center"/>
            <w:vMerge w:val="restart"/>
            <w:textDirection w:val="lrTb"/>
            <w:noWrap w:val="false"/>
          </w:tcPr>
          <w:p>
            <w:pPr>
              <w:jc w:val="center"/>
              <w:rPr>
                <w:sz w:val="22"/>
                <w:szCs w:val="22"/>
              </w:rPr>
            </w:pPr>
            <w:r>
              <w:rPr>
                <w:sz w:val="22"/>
                <w:szCs w:val="22"/>
              </w:rPr>
              <w:t xml:space="preserve">Состав работ (мероприятия)</w:t>
            </w:r>
            <w:r>
              <w:rPr>
                <w:sz w:val="22"/>
                <w:szCs w:val="22"/>
              </w:rPr>
            </w:r>
            <w:r>
              <w:rPr>
                <w:sz w:val="22"/>
                <w:szCs w:val="22"/>
              </w:rPr>
            </w:r>
          </w:p>
        </w:tc>
        <w:tc>
          <w:tcPr>
            <w:gridSpan w:val="2"/>
            <w:tcW w:w="4544" w:type="dxa"/>
            <w:vAlign w:val="center"/>
            <w:textDirection w:val="lrTb"/>
            <w:noWrap w:val="false"/>
          </w:tcPr>
          <w:p>
            <w:pPr>
              <w:jc w:val="center"/>
              <w:rPr>
                <w:sz w:val="22"/>
                <w:szCs w:val="22"/>
              </w:rPr>
            </w:pPr>
            <w:r>
              <w:rPr>
                <w:sz w:val="22"/>
                <w:szCs w:val="22"/>
              </w:rPr>
              <w:t xml:space="preserve">Значение показателей, характеризующих эффект работ</w:t>
            </w:r>
            <w:r>
              <w:rPr>
                <w:sz w:val="22"/>
                <w:szCs w:val="22"/>
              </w:rPr>
            </w:r>
            <w:r>
              <w:rPr>
                <w:sz w:val="22"/>
                <w:szCs w:val="22"/>
              </w:rPr>
            </w:r>
          </w:p>
        </w:tc>
      </w:tr>
      <w:tr>
        <w:tblPrEx/>
        <w:trPr>
          <w:trHeight w:val="401"/>
        </w:trPr>
        <w:tc>
          <w:tcPr>
            <w:tcW w:w="640" w:type="dxa"/>
            <w:vMerge w:val="continue"/>
            <w:textDirection w:val="lrTb"/>
            <w:noWrap w:val="false"/>
          </w:tcPr>
          <w:p>
            <w:pPr>
              <w:jc w:val="both"/>
              <w:rPr>
                <w:sz w:val="22"/>
                <w:szCs w:val="22"/>
              </w:rPr>
            </w:pPr>
            <w:r>
              <w:rPr>
                <w:sz w:val="22"/>
                <w:szCs w:val="22"/>
              </w:rPr>
            </w:r>
            <w:r>
              <w:rPr>
                <w:sz w:val="22"/>
                <w:szCs w:val="22"/>
              </w:rPr>
            </w:r>
            <w:r>
              <w:rPr>
                <w:sz w:val="22"/>
                <w:szCs w:val="22"/>
              </w:rPr>
            </w:r>
          </w:p>
        </w:tc>
        <w:tc>
          <w:tcPr>
            <w:tcW w:w="4280" w:type="dxa"/>
            <w:vAlign w:val="center"/>
            <w:vMerge w:val="continue"/>
            <w:textDirection w:val="lrTb"/>
            <w:noWrap w:val="false"/>
          </w:tcPr>
          <w:p>
            <w:pPr>
              <w:jc w:val="center"/>
              <w:rPr>
                <w:sz w:val="22"/>
                <w:szCs w:val="22"/>
              </w:rPr>
            </w:pPr>
            <w:r>
              <w:rPr>
                <w:sz w:val="22"/>
                <w:szCs w:val="22"/>
              </w:rPr>
            </w:r>
            <w:r>
              <w:rPr>
                <w:sz w:val="22"/>
                <w:szCs w:val="22"/>
              </w:rPr>
            </w:r>
            <w:r>
              <w:rPr>
                <w:sz w:val="22"/>
                <w:szCs w:val="22"/>
              </w:rPr>
            </w:r>
          </w:p>
        </w:tc>
        <w:tc>
          <w:tcPr>
            <w:tcW w:w="2276" w:type="dxa"/>
            <w:vAlign w:val="center"/>
            <w:textDirection w:val="lrTb"/>
            <w:noWrap w:val="false"/>
          </w:tcPr>
          <w:p>
            <w:pPr>
              <w:jc w:val="center"/>
              <w:rPr>
                <w:sz w:val="22"/>
                <w:szCs w:val="22"/>
              </w:rPr>
            </w:pPr>
            <w:r>
              <w:rPr>
                <w:sz w:val="22"/>
                <w:szCs w:val="22"/>
              </w:rPr>
              <w:t xml:space="preserve">до проведения мероприятия</w:t>
            </w:r>
            <w:r>
              <w:rPr>
                <w:sz w:val="22"/>
                <w:szCs w:val="22"/>
              </w:rPr>
            </w:r>
            <w:r>
              <w:rPr>
                <w:sz w:val="22"/>
                <w:szCs w:val="22"/>
              </w:rPr>
            </w:r>
          </w:p>
        </w:tc>
        <w:tc>
          <w:tcPr>
            <w:tcW w:w="2268" w:type="dxa"/>
            <w:vAlign w:val="center"/>
            <w:textDirection w:val="lrTb"/>
            <w:noWrap w:val="false"/>
          </w:tcPr>
          <w:p>
            <w:pPr>
              <w:jc w:val="center"/>
              <w:rPr>
                <w:sz w:val="22"/>
                <w:szCs w:val="22"/>
              </w:rPr>
            </w:pPr>
            <w:r>
              <w:rPr>
                <w:sz w:val="22"/>
                <w:szCs w:val="22"/>
              </w:rPr>
              <w:t xml:space="preserve">после проведения мероприятия</w:t>
            </w:r>
            <w:r>
              <w:rPr>
                <w:sz w:val="22"/>
                <w:szCs w:val="22"/>
              </w:rPr>
            </w:r>
            <w:r>
              <w:rPr>
                <w:sz w:val="22"/>
                <w:szCs w:val="22"/>
              </w:rPr>
            </w:r>
          </w:p>
        </w:tc>
      </w:tr>
      <w:tr>
        <w:tblPrEx/>
        <w:trPr>
          <w:trHeight w:val="200"/>
        </w:trPr>
        <w:tc>
          <w:tcPr>
            <w:tcW w:w="640" w:type="dxa"/>
            <w:textDirection w:val="lrTb"/>
            <w:noWrap w:val="false"/>
          </w:tcPr>
          <w:p>
            <w:pPr>
              <w:jc w:val="both"/>
              <w:rPr>
                <w:sz w:val="22"/>
                <w:szCs w:val="22"/>
              </w:rPr>
            </w:pPr>
            <w:r>
              <w:rPr>
                <w:sz w:val="22"/>
                <w:szCs w:val="22"/>
              </w:rPr>
              <w:t xml:space="preserve">1.</w:t>
            </w:r>
            <w:r>
              <w:rPr>
                <w:sz w:val="22"/>
                <w:szCs w:val="22"/>
              </w:rPr>
            </w:r>
            <w:r>
              <w:rPr>
                <w:sz w:val="22"/>
                <w:szCs w:val="22"/>
              </w:rPr>
            </w:r>
          </w:p>
        </w:tc>
        <w:tc>
          <w:tcPr>
            <w:tcW w:w="4280" w:type="dxa"/>
            <w:vAlign w:val="center"/>
            <w:textDirection w:val="lrTb"/>
            <w:noWrap w:val="false"/>
          </w:tcPr>
          <w:p>
            <w:pPr>
              <w:jc w:val="both"/>
              <w:rPr>
                <w:sz w:val="22"/>
                <w:szCs w:val="22"/>
              </w:rPr>
            </w:pPr>
            <w:r>
              <w:rPr>
                <w:b/>
                <w:sz w:val="22"/>
                <w:szCs w:val="22"/>
              </w:rPr>
              <w:t xml:space="preserve">Реконструкция котельных:</w:t>
            </w:r>
            <w:r>
              <w:rPr>
                <w:sz w:val="22"/>
                <w:szCs w:val="22"/>
              </w:rPr>
            </w:r>
            <w:r>
              <w:rPr>
                <w:sz w:val="22"/>
                <w:szCs w:val="22"/>
              </w:rPr>
            </w:r>
          </w:p>
        </w:tc>
        <w:tc>
          <w:tcPr>
            <w:tcW w:w="2276" w:type="dxa"/>
            <w:vAlign w:val="center"/>
            <w:textDirection w:val="lrTb"/>
            <w:noWrap w:val="false"/>
          </w:tcPr>
          <w:p>
            <w:pPr>
              <w:jc w:val="both"/>
              <w:rPr>
                <w:sz w:val="22"/>
                <w:szCs w:val="22"/>
              </w:rPr>
            </w:pPr>
            <w:r>
              <w:rPr>
                <w:sz w:val="22"/>
                <w:szCs w:val="22"/>
              </w:rPr>
            </w:r>
            <w:r>
              <w:rPr>
                <w:sz w:val="22"/>
                <w:szCs w:val="22"/>
              </w:rPr>
            </w:r>
            <w:r>
              <w:rPr>
                <w:sz w:val="22"/>
                <w:szCs w:val="22"/>
              </w:rPr>
            </w:r>
          </w:p>
        </w:tc>
        <w:tc>
          <w:tcPr>
            <w:tcW w:w="2268" w:type="dxa"/>
            <w:vAlign w:val="center"/>
            <w:textDirection w:val="lrTb"/>
            <w:noWrap w:val="false"/>
          </w:tcPr>
          <w:p>
            <w:pPr>
              <w:jc w:val="both"/>
              <w:rPr>
                <w:sz w:val="22"/>
                <w:szCs w:val="22"/>
              </w:rPr>
            </w:pPr>
            <w:r>
              <w:rPr>
                <w:sz w:val="22"/>
                <w:szCs w:val="22"/>
              </w:rPr>
            </w:r>
            <w:r>
              <w:rPr>
                <w:sz w:val="22"/>
                <w:szCs w:val="22"/>
              </w:rPr>
            </w:r>
            <w:r>
              <w:rPr>
                <w:sz w:val="22"/>
                <w:szCs w:val="22"/>
              </w:rPr>
            </w:r>
          </w:p>
        </w:tc>
      </w:tr>
      <w:tr>
        <w:tblPrEx/>
        <w:trPr>
          <w:trHeight w:val="300"/>
        </w:trPr>
        <w:tc>
          <w:tcPr>
            <w:tcW w:w="640" w:type="dxa"/>
            <w:textDirection w:val="lrTb"/>
            <w:noWrap w:val="false"/>
          </w:tcPr>
          <w:p>
            <w:pPr>
              <w:jc w:val="both"/>
              <w:rPr>
                <w:sz w:val="22"/>
                <w:szCs w:val="22"/>
              </w:rPr>
            </w:pPr>
            <w:r>
              <w:rPr>
                <w:sz w:val="22"/>
                <w:szCs w:val="22"/>
              </w:rPr>
              <w:t xml:space="preserve">1.1.</w:t>
            </w:r>
            <w:r>
              <w:rPr>
                <w:sz w:val="22"/>
                <w:szCs w:val="22"/>
              </w:rPr>
            </w:r>
            <w:r>
              <w:rPr>
                <w:sz w:val="22"/>
                <w:szCs w:val="22"/>
              </w:rPr>
            </w:r>
          </w:p>
        </w:tc>
        <w:tc>
          <w:tcPr>
            <w:tcW w:w="4280" w:type="dxa"/>
            <w:textDirection w:val="lrTb"/>
            <w:noWrap w:val="false"/>
          </w:tcPr>
          <w:p>
            <w:pPr>
              <w:jc w:val="both"/>
              <w:rPr>
                <w:sz w:val="22"/>
                <w:szCs w:val="22"/>
              </w:rPr>
            </w:pPr>
            <w:r>
              <w:rPr>
                <w:sz w:val="22"/>
                <w:szCs w:val="22"/>
              </w:rPr>
              <w:t xml:space="preserve">Реконструкция котельной № 13/73 пгт. Печенга Печенгский муниципальный округ Мурманской области.</w:t>
            </w:r>
            <w:r>
              <w:rPr>
                <w:sz w:val="22"/>
                <w:szCs w:val="22"/>
              </w:rPr>
            </w:r>
            <w:r>
              <w:rPr>
                <w:sz w:val="22"/>
                <w:szCs w:val="22"/>
              </w:rPr>
            </w:r>
          </w:p>
        </w:tc>
        <w:tc>
          <w:tcPr>
            <w:tcW w:w="2276" w:type="dxa"/>
            <w:textDirection w:val="lrTb"/>
            <w:noWrap w:val="false"/>
          </w:tcPr>
          <w:p>
            <w:pPr>
              <w:jc w:val="both"/>
              <w:rPr>
                <w:sz w:val="22"/>
                <w:szCs w:val="22"/>
              </w:rPr>
            </w:pPr>
            <w:r>
              <w:rPr>
                <w:sz w:val="22"/>
                <w:szCs w:val="22"/>
              </w:rPr>
              <w:t xml:space="preserve">КПД оборудования:</w:t>
            </w:r>
            <w:r>
              <w:rPr>
                <w:sz w:val="22"/>
                <w:szCs w:val="22"/>
              </w:rPr>
            </w:r>
            <w:r>
              <w:rPr>
                <w:sz w:val="22"/>
                <w:szCs w:val="22"/>
              </w:rPr>
            </w:r>
          </w:p>
          <w:p>
            <w:pPr>
              <w:jc w:val="both"/>
              <w:rPr>
                <w:sz w:val="22"/>
                <w:szCs w:val="22"/>
              </w:rPr>
            </w:pPr>
            <w:r>
              <w:rPr>
                <w:sz w:val="22"/>
                <w:szCs w:val="22"/>
              </w:rPr>
              <w:t xml:space="preserve"> 62 %.</w:t>
            </w:r>
            <w:r>
              <w:rPr>
                <w:sz w:val="22"/>
                <w:szCs w:val="22"/>
              </w:rPr>
            </w:r>
            <w:r>
              <w:rPr>
                <w:sz w:val="22"/>
                <w:szCs w:val="22"/>
              </w:rPr>
            </w:r>
          </w:p>
          <w:p>
            <w:pPr>
              <w:jc w:val="both"/>
              <w:rPr>
                <w:sz w:val="22"/>
                <w:szCs w:val="22"/>
              </w:rPr>
            </w:pPr>
            <w:r>
              <w:rPr>
                <w:sz w:val="22"/>
                <w:szCs w:val="22"/>
              </w:rPr>
              <w:t xml:space="preserve">Удельный расход топлива на производство тепловой энергии: </w:t>
            </w:r>
            <w:r>
              <w:rPr>
                <w:sz w:val="22"/>
                <w:szCs w:val="22"/>
              </w:rPr>
            </w:r>
            <w:r>
              <w:rPr>
                <w:sz w:val="22"/>
                <w:szCs w:val="22"/>
              </w:rPr>
            </w:r>
          </w:p>
          <w:p>
            <w:pPr>
              <w:jc w:val="both"/>
              <w:rPr>
                <w:sz w:val="22"/>
                <w:szCs w:val="22"/>
              </w:rPr>
            </w:pPr>
            <w:r>
              <w:rPr>
                <w:sz w:val="22"/>
                <w:szCs w:val="22"/>
              </w:rPr>
              <w:t xml:space="preserve">230,02 </w:t>
            </w:r>
            <w:r>
              <w:rPr>
                <w:sz w:val="22"/>
                <w:szCs w:val="22"/>
              </w:rPr>
            </w:r>
            <w:r>
              <w:rPr>
                <w:sz w:val="22"/>
                <w:szCs w:val="22"/>
              </w:rPr>
            </w:r>
          </w:p>
          <w:p>
            <w:pPr>
              <w:jc w:val="both"/>
              <w:rPr>
                <w:sz w:val="22"/>
                <w:szCs w:val="22"/>
              </w:rPr>
            </w:pPr>
            <w:r>
              <w:rPr>
                <w:sz w:val="22"/>
                <w:szCs w:val="22"/>
              </w:rPr>
              <w:t xml:space="preserve">кг. У.т./Гкал.</w:t>
            </w:r>
            <w:r>
              <w:rPr>
                <w:sz w:val="22"/>
                <w:szCs w:val="22"/>
              </w:rPr>
            </w:r>
            <w:r>
              <w:rPr>
                <w:sz w:val="22"/>
                <w:szCs w:val="22"/>
              </w:rPr>
            </w:r>
          </w:p>
          <w:p>
            <w:pPr>
              <w:jc w:val="both"/>
              <w:rPr>
                <w:sz w:val="22"/>
                <w:szCs w:val="22"/>
              </w:rPr>
            </w:pPr>
            <w:r>
              <w:rPr>
                <w:sz w:val="22"/>
                <w:szCs w:val="22"/>
              </w:rPr>
              <w:t xml:space="preserve">Износ оборудования – 80%.</w:t>
            </w:r>
            <w:r>
              <w:rPr>
                <w:sz w:val="22"/>
                <w:szCs w:val="22"/>
              </w:rPr>
            </w:r>
            <w:r>
              <w:rPr>
                <w:sz w:val="22"/>
                <w:szCs w:val="22"/>
              </w:rPr>
            </w:r>
          </w:p>
        </w:tc>
        <w:tc>
          <w:tcPr>
            <w:tcW w:w="2268" w:type="dxa"/>
            <w:textDirection w:val="lrTb"/>
            <w:noWrap w:val="false"/>
          </w:tcPr>
          <w:p>
            <w:pPr>
              <w:jc w:val="both"/>
              <w:rPr>
                <w:sz w:val="22"/>
                <w:szCs w:val="22"/>
              </w:rPr>
            </w:pPr>
            <w:r>
              <w:rPr>
                <w:sz w:val="22"/>
                <w:szCs w:val="22"/>
              </w:rPr>
              <w:t xml:space="preserve">КПД оборудования:</w:t>
            </w:r>
            <w:r>
              <w:rPr>
                <w:sz w:val="22"/>
                <w:szCs w:val="22"/>
              </w:rPr>
            </w:r>
            <w:r>
              <w:rPr>
                <w:sz w:val="22"/>
                <w:szCs w:val="22"/>
              </w:rPr>
            </w:r>
          </w:p>
          <w:p>
            <w:pPr>
              <w:jc w:val="both"/>
              <w:rPr>
                <w:sz w:val="22"/>
                <w:szCs w:val="22"/>
              </w:rPr>
            </w:pPr>
            <w:r>
              <w:rPr>
                <w:sz w:val="22"/>
                <w:szCs w:val="22"/>
              </w:rPr>
              <w:t xml:space="preserve"> 80 %.</w:t>
            </w:r>
            <w:r>
              <w:rPr>
                <w:sz w:val="22"/>
                <w:szCs w:val="22"/>
              </w:rPr>
            </w:r>
            <w:r>
              <w:rPr>
                <w:sz w:val="22"/>
                <w:szCs w:val="22"/>
              </w:rPr>
            </w:r>
          </w:p>
          <w:p>
            <w:pPr>
              <w:jc w:val="both"/>
              <w:rPr>
                <w:sz w:val="22"/>
                <w:szCs w:val="22"/>
              </w:rPr>
            </w:pPr>
            <w:r>
              <w:rPr>
                <w:sz w:val="22"/>
                <w:szCs w:val="22"/>
              </w:rPr>
              <w:t xml:space="preserve">Удельный расход топлива на производство тепловой энергии:</w:t>
            </w:r>
            <w:r>
              <w:rPr>
                <w:sz w:val="22"/>
                <w:szCs w:val="22"/>
              </w:rPr>
            </w:r>
            <w:r>
              <w:rPr>
                <w:sz w:val="22"/>
                <w:szCs w:val="22"/>
              </w:rPr>
            </w:r>
          </w:p>
          <w:p>
            <w:pPr>
              <w:jc w:val="both"/>
              <w:rPr>
                <w:sz w:val="22"/>
                <w:szCs w:val="22"/>
              </w:rPr>
            </w:pPr>
            <w:r>
              <w:rPr>
                <w:sz w:val="22"/>
                <w:szCs w:val="22"/>
              </w:rPr>
              <w:t xml:space="preserve"> 182,99 </w:t>
            </w:r>
            <w:r>
              <w:rPr>
                <w:sz w:val="22"/>
                <w:szCs w:val="22"/>
              </w:rPr>
            </w:r>
            <w:r>
              <w:rPr>
                <w:sz w:val="22"/>
                <w:szCs w:val="22"/>
              </w:rPr>
            </w:r>
          </w:p>
          <w:p>
            <w:pPr>
              <w:jc w:val="both"/>
              <w:rPr>
                <w:sz w:val="22"/>
                <w:szCs w:val="22"/>
              </w:rPr>
            </w:pPr>
            <w:r>
              <w:rPr>
                <w:sz w:val="22"/>
                <w:szCs w:val="22"/>
              </w:rPr>
              <w:t xml:space="preserve">кг. У.т./Гкал.</w:t>
            </w:r>
            <w:r>
              <w:rPr>
                <w:sz w:val="22"/>
                <w:szCs w:val="22"/>
              </w:rPr>
            </w:r>
            <w:r>
              <w:rPr>
                <w:sz w:val="22"/>
                <w:szCs w:val="22"/>
              </w:rPr>
            </w:r>
          </w:p>
          <w:p>
            <w:pPr>
              <w:jc w:val="both"/>
              <w:rPr>
                <w:sz w:val="22"/>
                <w:szCs w:val="22"/>
              </w:rPr>
            </w:pPr>
            <w:r>
              <w:rPr>
                <w:sz w:val="22"/>
                <w:szCs w:val="22"/>
              </w:rPr>
              <w:t xml:space="preserve">Износ оборудования – 10%.</w:t>
            </w:r>
            <w:r>
              <w:rPr>
                <w:sz w:val="22"/>
                <w:szCs w:val="22"/>
              </w:rPr>
            </w:r>
            <w:r>
              <w:rPr>
                <w:sz w:val="22"/>
                <w:szCs w:val="22"/>
              </w:rPr>
            </w:r>
          </w:p>
        </w:tc>
      </w:tr>
      <w:tr>
        <w:tblPrEx/>
        <w:trPr>
          <w:trHeight w:val="300"/>
        </w:trPr>
        <w:tc>
          <w:tcPr>
            <w:tcW w:w="640" w:type="dxa"/>
            <w:textDirection w:val="lrTb"/>
            <w:noWrap w:val="false"/>
          </w:tcPr>
          <w:p>
            <w:pPr>
              <w:jc w:val="both"/>
              <w:rPr>
                <w:sz w:val="22"/>
                <w:szCs w:val="22"/>
              </w:rPr>
            </w:pPr>
            <w:r>
              <w:rPr>
                <w:sz w:val="22"/>
                <w:szCs w:val="22"/>
              </w:rPr>
              <w:t xml:space="preserve">1.2.</w:t>
            </w:r>
            <w:r>
              <w:rPr>
                <w:sz w:val="22"/>
                <w:szCs w:val="22"/>
              </w:rPr>
            </w:r>
            <w:r>
              <w:rPr>
                <w:sz w:val="22"/>
                <w:szCs w:val="22"/>
              </w:rPr>
            </w:r>
          </w:p>
        </w:tc>
        <w:tc>
          <w:tcPr>
            <w:tcW w:w="4280" w:type="dxa"/>
            <w:textDirection w:val="lrTb"/>
            <w:noWrap w:val="false"/>
          </w:tcPr>
          <w:p>
            <w:pPr>
              <w:jc w:val="both"/>
              <w:rPr>
                <w:sz w:val="22"/>
                <w:szCs w:val="22"/>
              </w:rPr>
            </w:pPr>
            <w:r>
              <w:rPr>
                <w:sz w:val="22"/>
                <w:szCs w:val="22"/>
              </w:rPr>
              <w:t xml:space="preserve">Реконструкция котельной № 4/152 ж/д ст. Печенга Печенгский муниципальный округ Мурманской области.</w:t>
            </w:r>
            <w:r>
              <w:rPr>
                <w:sz w:val="22"/>
                <w:szCs w:val="22"/>
              </w:rPr>
            </w:r>
            <w:r>
              <w:rPr>
                <w:sz w:val="22"/>
                <w:szCs w:val="22"/>
              </w:rPr>
            </w:r>
          </w:p>
        </w:tc>
        <w:tc>
          <w:tcPr>
            <w:tcW w:w="2276" w:type="dxa"/>
            <w:textDirection w:val="lrTb"/>
            <w:noWrap w:val="false"/>
          </w:tcPr>
          <w:p>
            <w:pPr>
              <w:jc w:val="both"/>
              <w:rPr>
                <w:sz w:val="22"/>
                <w:szCs w:val="22"/>
              </w:rPr>
            </w:pPr>
            <w:r>
              <w:rPr>
                <w:sz w:val="22"/>
                <w:szCs w:val="22"/>
              </w:rPr>
              <w:t xml:space="preserve">КПД оборудования:</w:t>
            </w:r>
            <w:r>
              <w:rPr>
                <w:sz w:val="22"/>
                <w:szCs w:val="22"/>
              </w:rPr>
            </w:r>
            <w:r>
              <w:rPr>
                <w:sz w:val="22"/>
                <w:szCs w:val="22"/>
              </w:rPr>
            </w:r>
          </w:p>
          <w:p>
            <w:pPr>
              <w:jc w:val="both"/>
              <w:rPr>
                <w:sz w:val="22"/>
                <w:szCs w:val="22"/>
              </w:rPr>
            </w:pPr>
            <w:r>
              <w:rPr>
                <w:sz w:val="22"/>
                <w:szCs w:val="22"/>
              </w:rPr>
              <w:t xml:space="preserve"> 62 %.</w:t>
            </w:r>
            <w:r>
              <w:rPr>
                <w:sz w:val="22"/>
                <w:szCs w:val="22"/>
              </w:rPr>
            </w:r>
            <w:r>
              <w:rPr>
                <w:sz w:val="22"/>
                <w:szCs w:val="22"/>
              </w:rPr>
            </w:r>
          </w:p>
          <w:p>
            <w:pPr>
              <w:jc w:val="both"/>
              <w:rPr>
                <w:sz w:val="22"/>
                <w:szCs w:val="22"/>
              </w:rPr>
            </w:pPr>
            <w:r>
              <w:rPr>
                <w:sz w:val="22"/>
                <w:szCs w:val="22"/>
              </w:rPr>
              <w:t xml:space="preserve">Удельный расход топлива на производство тепловой энергии: </w:t>
            </w:r>
            <w:r>
              <w:rPr>
                <w:sz w:val="22"/>
                <w:szCs w:val="22"/>
              </w:rPr>
            </w:r>
            <w:r>
              <w:rPr>
                <w:sz w:val="22"/>
                <w:szCs w:val="22"/>
              </w:rPr>
            </w:r>
          </w:p>
          <w:p>
            <w:pPr>
              <w:jc w:val="both"/>
              <w:rPr>
                <w:sz w:val="22"/>
                <w:szCs w:val="22"/>
              </w:rPr>
            </w:pPr>
            <w:r>
              <w:rPr>
                <w:sz w:val="22"/>
                <w:szCs w:val="22"/>
              </w:rPr>
              <w:t xml:space="preserve">229,76</w:t>
            </w:r>
            <w:r>
              <w:rPr>
                <w:sz w:val="22"/>
                <w:szCs w:val="22"/>
              </w:rPr>
            </w:r>
            <w:r>
              <w:rPr>
                <w:sz w:val="22"/>
                <w:szCs w:val="22"/>
              </w:rPr>
            </w:r>
          </w:p>
          <w:p>
            <w:pPr>
              <w:jc w:val="both"/>
              <w:rPr>
                <w:sz w:val="22"/>
                <w:szCs w:val="22"/>
              </w:rPr>
            </w:pPr>
            <w:r>
              <w:rPr>
                <w:sz w:val="22"/>
                <w:szCs w:val="22"/>
              </w:rPr>
              <w:t xml:space="preserve">кг. У.т./Гкал.</w:t>
            </w:r>
            <w:r>
              <w:rPr>
                <w:sz w:val="22"/>
                <w:szCs w:val="22"/>
              </w:rPr>
            </w:r>
            <w:r>
              <w:rPr>
                <w:sz w:val="22"/>
                <w:szCs w:val="22"/>
              </w:rPr>
            </w:r>
          </w:p>
          <w:p>
            <w:pPr>
              <w:jc w:val="both"/>
              <w:rPr>
                <w:sz w:val="22"/>
                <w:szCs w:val="22"/>
              </w:rPr>
            </w:pPr>
            <w:r>
              <w:rPr>
                <w:sz w:val="22"/>
                <w:szCs w:val="22"/>
              </w:rPr>
              <w:t xml:space="preserve">Износ оборудования – 80%.</w:t>
            </w:r>
            <w:r>
              <w:rPr>
                <w:sz w:val="22"/>
                <w:szCs w:val="22"/>
              </w:rPr>
            </w:r>
            <w:r>
              <w:rPr>
                <w:sz w:val="22"/>
                <w:szCs w:val="22"/>
              </w:rPr>
            </w:r>
          </w:p>
          <w:p>
            <w:pPr>
              <w:jc w:val="both"/>
              <w:rPr>
                <w:sz w:val="22"/>
                <w:szCs w:val="22"/>
              </w:rPr>
            </w:pPr>
            <w:r>
              <w:rPr>
                <w:sz w:val="22"/>
                <w:szCs w:val="22"/>
              </w:rPr>
            </w:r>
            <w:r>
              <w:rPr>
                <w:sz w:val="22"/>
                <w:szCs w:val="22"/>
              </w:rPr>
            </w:r>
            <w:r>
              <w:rPr>
                <w:sz w:val="22"/>
                <w:szCs w:val="22"/>
              </w:rPr>
            </w:r>
          </w:p>
        </w:tc>
        <w:tc>
          <w:tcPr>
            <w:tcW w:w="2268" w:type="dxa"/>
            <w:textDirection w:val="lrTb"/>
            <w:noWrap w:val="false"/>
          </w:tcPr>
          <w:p>
            <w:pPr>
              <w:jc w:val="both"/>
              <w:rPr>
                <w:sz w:val="22"/>
                <w:szCs w:val="22"/>
              </w:rPr>
            </w:pPr>
            <w:r>
              <w:rPr>
                <w:sz w:val="22"/>
                <w:szCs w:val="22"/>
              </w:rPr>
              <w:t xml:space="preserve">КПД оборудования:</w:t>
            </w:r>
            <w:r>
              <w:rPr>
                <w:sz w:val="22"/>
                <w:szCs w:val="22"/>
              </w:rPr>
            </w:r>
            <w:r>
              <w:rPr>
                <w:sz w:val="22"/>
                <w:szCs w:val="22"/>
              </w:rPr>
            </w:r>
          </w:p>
          <w:p>
            <w:pPr>
              <w:jc w:val="both"/>
              <w:rPr>
                <w:sz w:val="22"/>
                <w:szCs w:val="22"/>
              </w:rPr>
            </w:pPr>
            <w:r>
              <w:rPr>
                <w:sz w:val="22"/>
                <w:szCs w:val="22"/>
              </w:rPr>
              <w:t xml:space="preserve"> 80 %.</w:t>
            </w:r>
            <w:r>
              <w:rPr>
                <w:sz w:val="22"/>
                <w:szCs w:val="22"/>
              </w:rPr>
            </w:r>
            <w:r>
              <w:rPr>
                <w:sz w:val="22"/>
                <w:szCs w:val="22"/>
              </w:rPr>
            </w:r>
          </w:p>
          <w:p>
            <w:pPr>
              <w:jc w:val="both"/>
              <w:rPr>
                <w:sz w:val="22"/>
                <w:szCs w:val="22"/>
              </w:rPr>
            </w:pPr>
            <w:r>
              <w:rPr>
                <w:sz w:val="22"/>
                <w:szCs w:val="22"/>
              </w:rPr>
              <w:t xml:space="preserve">Удельный расход топлива на производство тепловой энергии:</w:t>
            </w:r>
            <w:r>
              <w:rPr>
                <w:sz w:val="22"/>
                <w:szCs w:val="22"/>
              </w:rPr>
            </w:r>
            <w:r>
              <w:rPr>
                <w:sz w:val="22"/>
                <w:szCs w:val="22"/>
              </w:rPr>
            </w:r>
          </w:p>
          <w:p>
            <w:pPr>
              <w:jc w:val="both"/>
              <w:rPr>
                <w:sz w:val="22"/>
                <w:szCs w:val="22"/>
              </w:rPr>
            </w:pPr>
            <w:r>
              <w:rPr>
                <w:sz w:val="22"/>
                <w:szCs w:val="22"/>
              </w:rPr>
              <w:t xml:space="preserve"> 182,99 </w:t>
            </w:r>
            <w:r>
              <w:rPr>
                <w:sz w:val="22"/>
                <w:szCs w:val="22"/>
              </w:rPr>
            </w:r>
            <w:r>
              <w:rPr>
                <w:sz w:val="22"/>
                <w:szCs w:val="22"/>
              </w:rPr>
            </w:r>
          </w:p>
          <w:p>
            <w:pPr>
              <w:jc w:val="both"/>
              <w:rPr>
                <w:sz w:val="22"/>
                <w:szCs w:val="22"/>
              </w:rPr>
            </w:pPr>
            <w:r>
              <w:rPr>
                <w:sz w:val="22"/>
                <w:szCs w:val="22"/>
              </w:rPr>
              <w:t xml:space="preserve">кг. У.т./Гкал.</w:t>
            </w:r>
            <w:r>
              <w:rPr>
                <w:sz w:val="22"/>
                <w:szCs w:val="22"/>
              </w:rPr>
            </w:r>
            <w:r>
              <w:rPr>
                <w:sz w:val="22"/>
                <w:szCs w:val="22"/>
              </w:rPr>
            </w:r>
          </w:p>
          <w:p>
            <w:pPr>
              <w:jc w:val="both"/>
              <w:rPr>
                <w:sz w:val="22"/>
                <w:szCs w:val="22"/>
              </w:rPr>
            </w:pPr>
            <w:r>
              <w:rPr>
                <w:sz w:val="22"/>
                <w:szCs w:val="22"/>
              </w:rPr>
              <w:t xml:space="preserve">Износ оборудования – 10%.</w:t>
            </w:r>
            <w:r>
              <w:rPr>
                <w:sz w:val="22"/>
                <w:szCs w:val="22"/>
              </w:rPr>
            </w:r>
            <w:r>
              <w:rPr>
                <w:sz w:val="22"/>
                <w:szCs w:val="22"/>
              </w:rPr>
            </w:r>
          </w:p>
        </w:tc>
      </w:tr>
      <w:tr>
        <w:tblPrEx/>
        <w:trPr>
          <w:trHeight w:val="300"/>
        </w:trPr>
        <w:tc>
          <w:tcPr>
            <w:tcW w:w="640" w:type="dxa"/>
            <w:textDirection w:val="lrTb"/>
            <w:noWrap w:val="false"/>
          </w:tcPr>
          <w:p>
            <w:pPr>
              <w:jc w:val="both"/>
              <w:rPr>
                <w:sz w:val="22"/>
                <w:szCs w:val="22"/>
              </w:rPr>
            </w:pPr>
            <w:r>
              <w:rPr>
                <w:sz w:val="22"/>
                <w:szCs w:val="22"/>
              </w:rPr>
              <w:t xml:space="preserve">1.3.</w:t>
            </w:r>
            <w:r>
              <w:rPr>
                <w:sz w:val="22"/>
                <w:szCs w:val="22"/>
              </w:rPr>
            </w:r>
            <w:r>
              <w:rPr>
                <w:sz w:val="22"/>
                <w:szCs w:val="22"/>
              </w:rPr>
            </w:r>
          </w:p>
        </w:tc>
        <w:tc>
          <w:tcPr>
            <w:tcW w:w="4280" w:type="dxa"/>
            <w:textDirection w:val="lrTb"/>
            <w:noWrap w:val="false"/>
          </w:tcPr>
          <w:p>
            <w:pPr>
              <w:jc w:val="both"/>
              <w:rPr>
                <w:color w:val="00b050"/>
                <w:sz w:val="22"/>
                <w:szCs w:val="22"/>
              </w:rPr>
            </w:pPr>
            <w:r>
              <w:rPr>
                <w:sz w:val="22"/>
                <w:szCs w:val="22"/>
              </w:rPr>
              <w:t xml:space="preserve">Реконструкция котельной № 42/138 н.п. Спутник Печенгский муниципальный округ Мурманской области.</w:t>
            </w:r>
            <w:r>
              <w:rPr>
                <w:color w:val="00b050"/>
                <w:sz w:val="22"/>
                <w:szCs w:val="22"/>
              </w:rPr>
            </w:r>
            <w:r>
              <w:rPr>
                <w:color w:val="00b050"/>
                <w:sz w:val="22"/>
                <w:szCs w:val="22"/>
              </w:rPr>
            </w:r>
          </w:p>
        </w:tc>
        <w:tc>
          <w:tcPr>
            <w:tcW w:w="2276" w:type="dxa"/>
            <w:textDirection w:val="lrTb"/>
            <w:noWrap w:val="false"/>
          </w:tcPr>
          <w:p>
            <w:pPr>
              <w:jc w:val="both"/>
              <w:rPr>
                <w:sz w:val="22"/>
                <w:szCs w:val="22"/>
              </w:rPr>
            </w:pPr>
            <w:r>
              <w:rPr>
                <w:sz w:val="22"/>
                <w:szCs w:val="22"/>
              </w:rPr>
              <w:t xml:space="preserve">КПД оборудования:</w:t>
            </w:r>
            <w:r>
              <w:rPr>
                <w:sz w:val="22"/>
                <w:szCs w:val="22"/>
              </w:rPr>
            </w:r>
            <w:r>
              <w:rPr>
                <w:sz w:val="22"/>
                <w:szCs w:val="22"/>
              </w:rPr>
            </w:r>
          </w:p>
          <w:p>
            <w:pPr>
              <w:jc w:val="both"/>
              <w:rPr>
                <w:sz w:val="22"/>
                <w:szCs w:val="22"/>
              </w:rPr>
            </w:pPr>
            <w:r>
              <w:rPr>
                <w:sz w:val="22"/>
                <w:szCs w:val="22"/>
              </w:rPr>
              <w:t xml:space="preserve"> 63 %.</w:t>
            </w:r>
            <w:r>
              <w:rPr>
                <w:sz w:val="22"/>
                <w:szCs w:val="22"/>
              </w:rPr>
            </w:r>
            <w:r>
              <w:rPr>
                <w:sz w:val="22"/>
                <w:szCs w:val="22"/>
              </w:rPr>
            </w:r>
          </w:p>
          <w:p>
            <w:pPr>
              <w:jc w:val="both"/>
              <w:rPr>
                <w:sz w:val="22"/>
                <w:szCs w:val="22"/>
              </w:rPr>
            </w:pPr>
            <w:r>
              <w:rPr>
                <w:sz w:val="22"/>
                <w:szCs w:val="22"/>
              </w:rPr>
              <w:t xml:space="preserve">Удельный расход топлива на производство тепловой энергии: </w:t>
            </w:r>
            <w:r>
              <w:rPr>
                <w:sz w:val="22"/>
                <w:szCs w:val="22"/>
              </w:rPr>
            </w:r>
            <w:r>
              <w:rPr>
                <w:sz w:val="22"/>
                <w:szCs w:val="22"/>
              </w:rPr>
            </w:r>
          </w:p>
          <w:p>
            <w:pPr>
              <w:jc w:val="both"/>
              <w:rPr>
                <w:sz w:val="22"/>
                <w:szCs w:val="22"/>
              </w:rPr>
            </w:pPr>
            <w:r>
              <w:rPr>
                <w:sz w:val="22"/>
                <w:szCs w:val="22"/>
              </w:rPr>
              <w:t xml:space="preserve">292,22</w:t>
            </w:r>
            <w:r>
              <w:rPr>
                <w:sz w:val="22"/>
                <w:szCs w:val="22"/>
              </w:rPr>
            </w:r>
            <w:r>
              <w:rPr>
                <w:sz w:val="22"/>
                <w:szCs w:val="22"/>
              </w:rPr>
            </w:r>
          </w:p>
          <w:p>
            <w:pPr>
              <w:jc w:val="both"/>
              <w:rPr>
                <w:sz w:val="22"/>
                <w:szCs w:val="22"/>
              </w:rPr>
            </w:pPr>
            <w:r>
              <w:rPr>
                <w:sz w:val="22"/>
                <w:szCs w:val="22"/>
              </w:rPr>
              <w:t xml:space="preserve">кг. У.т./Гкал.</w:t>
            </w:r>
            <w:r>
              <w:rPr>
                <w:sz w:val="22"/>
                <w:szCs w:val="22"/>
              </w:rPr>
            </w:r>
            <w:r>
              <w:rPr>
                <w:sz w:val="22"/>
                <w:szCs w:val="22"/>
              </w:rPr>
            </w:r>
          </w:p>
          <w:p>
            <w:pPr>
              <w:jc w:val="both"/>
              <w:rPr>
                <w:sz w:val="22"/>
                <w:szCs w:val="22"/>
              </w:rPr>
            </w:pPr>
            <w:r>
              <w:rPr>
                <w:sz w:val="22"/>
                <w:szCs w:val="22"/>
              </w:rPr>
              <w:t xml:space="preserve">Износ оборудования – 40%.</w:t>
            </w:r>
            <w:r>
              <w:rPr>
                <w:sz w:val="22"/>
                <w:szCs w:val="22"/>
              </w:rPr>
            </w:r>
            <w:r>
              <w:rPr>
                <w:sz w:val="22"/>
                <w:szCs w:val="22"/>
              </w:rPr>
            </w:r>
          </w:p>
          <w:p>
            <w:pPr>
              <w:jc w:val="both"/>
              <w:rPr>
                <w:sz w:val="22"/>
                <w:szCs w:val="22"/>
              </w:rPr>
            </w:pPr>
            <w:r>
              <w:rPr>
                <w:sz w:val="22"/>
                <w:szCs w:val="22"/>
              </w:rPr>
            </w:r>
            <w:r>
              <w:rPr>
                <w:sz w:val="22"/>
                <w:szCs w:val="22"/>
              </w:rPr>
            </w:r>
            <w:r>
              <w:rPr>
                <w:sz w:val="22"/>
                <w:szCs w:val="22"/>
              </w:rPr>
            </w:r>
          </w:p>
        </w:tc>
        <w:tc>
          <w:tcPr>
            <w:tcW w:w="2268" w:type="dxa"/>
            <w:textDirection w:val="lrTb"/>
            <w:noWrap w:val="false"/>
          </w:tcPr>
          <w:p>
            <w:pPr>
              <w:jc w:val="both"/>
              <w:rPr>
                <w:sz w:val="22"/>
                <w:szCs w:val="22"/>
              </w:rPr>
            </w:pPr>
            <w:r>
              <w:rPr>
                <w:sz w:val="22"/>
                <w:szCs w:val="22"/>
              </w:rPr>
              <w:t xml:space="preserve">КПД оборудования:</w:t>
            </w:r>
            <w:r>
              <w:rPr>
                <w:sz w:val="22"/>
                <w:szCs w:val="22"/>
              </w:rPr>
            </w:r>
            <w:r>
              <w:rPr>
                <w:sz w:val="22"/>
                <w:szCs w:val="22"/>
              </w:rPr>
            </w:r>
          </w:p>
          <w:p>
            <w:pPr>
              <w:jc w:val="both"/>
              <w:rPr>
                <w:sz w:val="22"/>
                <w:szCs w:val="22"/>
              </w:rPr>
            </w:pPr>
            <w:r>
              <w:rPr>
                <w:sz w:val="22"/>
                <w:szCs w:val="22"/>
              </w:rPr>
              <w:t xml:space="preserve"> 80 %.</w:t>
            </w:r>
            <w:r>
              <w:rPr>
                <w:sz w:val="22"/>
                <w:szCs w:val="22"/>
              </w:rPr>
            </w:r>
            <w:r>
              <w:rPr>
                <w:sz w:val="22"/>
                <w:szCs w:val="22"/>
              </w:rPr>
            </w:r>
          </w:p>
          <w:p>
            <w:pPr>
              <w:jc w:val="both"/>
              <w:rPr>
                <w:sz w:val="22"/>
                <w:szCs w:val="22"/>
              </w:rPr>
            </w:pPr>
            <w:r>
              <w:rPr>
                <w:sz w:val="22"/>
                <w:szCs w:val="22"/>
              </w:rPr>
              <w:t xml:space="preserve">Удельный расход топлива на производство тепловой энергии:</w:t>
            </w:r>
            <w:r>
              <w:rPr>
                <w:sz w:val="22"/>
                <w:szCs w:val="22"/>
              </w:rPr>
            </w:r>
            <w:r>
              <w:rPr>
                <w:sz w:val="22"/>
                <w:szCs w:val="22"/>
              </w:rPr>
            </w:r>
          </w:p>
          <w:p>
            <w:pPr>
              <w:jc w:val="both"/>
              <w:rPr>
                <w:sz w:val="22"/>
                <w:szCs w:val="22"/>
              </w:rPr>
            </w:pPr>
            <w:r>
              <w:rPr>
                <w:sz w:val="22"/>
                <w:szCs w:val="22"/>
              </w:rPr>
              <w:t xml:space="preserve"> 216,83 </w:t>
            </w:r>
            <w:r>
              <w:rPr>
                <w:sz w:val="22"/>
                <w:szCs w:val="22"/>
              </w:rPr>
            </w:r>
            <w:r>
              <w:rPr>
                <w:sz w:val="22"/>
                <w:szCs w:val="22"/>
              </w:rPr>
            </w:r>
          </w:p>
          <w:p>
            <w:pPr>
              <w:jc w:val="both"/>
              <w:rPr>
                <w:sz w:val="22"/>
                <w:szCs w:val="22"/>
              </w:rPr>
            </w:pPr>
            <w:r>
              <w:rPr>
                <w:sz w:val="22"/>
                <w:szCs w:val="22"/>
              </w:rPr>
              <w:t xml:space="preserve">кг. У.т./Гкал.</w:t>
            </w:r>
            <w:r>
              <w:rPr>
                <w:sz w:val="22"/>
                <w:szCs w:val="22"/>
              </w:rPr>
            </w:r>
            <w:r>
              <w:rPr>
                <w:sz w:val="22"/>
                <w:szCs w:val="22"/>
              </w:rPr>
            </w:r>
          </w:p>
          <w:p>
            <w:pPr>
              <w:jc w:val="both"/>
              <w:rPr>
                <w:sz w:val="22"/>
                <w:szCs w:val="22"/>
              </w:rPr>
            </w:pPr>
            <w:r>
              <w:rPr>
                <w:sz w:val="22"/>
                <w:szCs w:val="22"/>
              </w:rPr>
              <w:t xml:space="preserve">Износ оборудования – 20%.</w:t>
            </w:r>
            <w:r>
              <w:rPr>
                <w:sz w:val="22"/>
                <w:szCs w:val="22"/>
              </w:rPr>
            </w:r>
            <w:r>
              <w:rPr>
                <w:sz w:val="22"/>
                <w:szCs w:val="22"/>
              </w:rPr>
            </w:r>
          </w:p>
        </w:tc>
      </w:tr>
      <w:tr>
        <w:tblPrEx/>
        <w:trPr>
          <w:trHeight w:val="300"/>
        </w:trPr>
        <w:tc>
          <w:tcPr>
            <w:tcW w:w="640" w:type="dxa"/>
            <w:textDirection w:val="lrTb"/>
            <w:noWrap w:val="false"/>
          </w:tcPr>
          <w:p>
            <w:pPr>
              <w:jc w:val="both"/>
              <w:rPr>
                <w:sz w:val="22"/>
                <w:szCs w:val="22"/>
              </w:rPr>
            </w:pPr>
            <w:r>
              <w:rPr>
                <w:sz w:val="22"/>
                <w:szCs w:val="22"/>
              </w:rPr>
              <w:t xml:space="preserve">1.4.</w:t>
            </w:r>
            <w:r>
              <w:rPr>
                <w:sz w:val="22"/>
                <w:szCs w:val="22"/>
              </w:rPr>
            </w:r>
            <w:r>
              <w:rPr>
                <w:sz w:val="22"/>
                <w:szCs w:val="22"/>
              </w:rPr>
            </w:r>
          </w:p>
        </w:tc>
        <w:tc>
          <w:tcPr>
            <w:tcW w:w="4280" w:type="dxa"/>
            <w:textDirection w:val="lrTb"/>
            <w:noWrap w:val="false"/>
          </w:tcPr>
          <w:p>
            <w:pPr>
              <w:jc w:val="both"/>
              <w:rPr>
                <w:sz w:val="22"/>
                <w:szCs w:val="22"/>
              </w:rPr>
            </w:pPr>
            <w:r>
              <w:rPr>
                <w:sz w:val="22"/>
                <w:szCs w:val="22"/>
              </w:rPr>
              <w:t xml:space="preserve">Реконструкция котельной № 13/55 пгт. Печенга Печенгский муниципальный округ Мурманской области.</w:t>
            </w:r>
            <w:r>
              <w:rPr>
                <w:sz w:val="22"/>
                <w:szCs w:val="22"/>
              </w:rPr>
            </w:r>
            <w:r>
              <w:rPr>
                <w:sz w:val="22"/>
                <w:szCs w:val="22"/>
              </w:rPr>
            </w:r>
          </w:p>
        </w:tc>
        <w:tc>
          <w:tcPr>
            <w:tcW w:w="2276" w:type="dxa"/>
            <w:textDirection w:val="lrTb"/>
            <w:noWrap w:val="false"/>
          </w:tcPr>
          <w:p>
            <w:pPr>
              <w:jc w:val="both"/>
              <w:rPr>
                <w:sz w:val="22"/>
                <w:szCs w:val="22"/>
              </w:rPr>
            </w:pPr>
            <w:r>
              <w:rPr>
                <w:sz w:val="22"/>
                <w:szCs w:val="22"/>
              </w:rPr>
              <w:t xml:space="preserve">КПД оборудования:</w:t>
            </w:r>
            <w:r>
              <w:rPr>
                <w:sz w:val="22"/>
                <w:szCs w:val="22"/>
              </w:rPr>
            </w:r>
            <w:r>
              <w:rPr>
                <w:sz w:val="22"/>
                <w:szCs w:val="22"/>
              </w:rPr>
            </w:r>
          </w:p>
          <w:p>
            <w:pPr>
              <w:jc w:val="both"/>
              <w:rPr>
                <w:sz w:val="22"/>
                <w:szCs w:val="22"/>
              </w:rPr>
            </w:pPr>
            <w:r>
              <w:rPr>
                <w:sz w:val="22"/>
                <w:szCs w:val="22"/>
              </w:rPr>
              <w:t xml:space="preserve"> 60 %.</w:t>
            </w:r>
            <w:r>
              <w:rPr>
                <w:sz w:val="22"/>
                <w:szCs w:val="22"/>
              </w:rPr>
            </w:r>
            <w:r>
              <w:rPr>
                <w:sz w:val="22"/>
                <w:szCs w:val="22"/>
              </w:rPr>
            </w:r>
          </w:p>
          <w:p>
            <w:pPr>
              <w:jc w:val="both"/>
              <w:rPr>
                <w:sz w:val="22"/>
                <w:szCs w:val="22"/>
              </w:rPr>
            </w:pPr>
            <w:r>
              <w:rPr>
                <w:sz w:val="22"/>
                <w:szCs w:val="22"/>
              </w:rPr>
              <w:t xml:space="preserve">Удельный расход топлива на производство тепловой энергии: </w:t>
            </w:r>
            <w:r>
              <w:rPr>
                <w:sz w:val="22"/>
                <w:szCs w:val="22"/>
              </w:rPr>
            </w:r>
            <w:r>
              <w:rPr>
                <w:sz w:val="22"/>
                <w:szCs w:val="22"/>
              </w:rPr>
            </w:r>
          </w:p>
          <w:p>
            <w:pPr>
              <w:jc w:val="both"/>
              <w:rPr>
                <w:sz w:val="22"/>
                <w:szCs w:val="22"/>
              </w:rPr>
            </w:pPr>
            <w:r>
              <w:rPr>
                <w:sz w:val="22"/>
                <w:szCs w:val="22"/>
              </w:rPr>
              <w:t xml:space="preserve">241,21</w:t>
            </w:r>
            <w:r>
              <w:rPr>
                <w:sz w:val="22"/>
                <w:szCs w:val="22"/>
              </w:rPr>
            </w:r>
            <w:r>
              <w:rPr>
                <w:sz w:val="22"/>
                <w:szCs w:val="22"/>
              </w:rPr>
            </w:r>
          </w:p>
          <w:p>
            <w:pPr>
              <w:jc w:val="both"/>
              <w:rPr>
                <w:sz w:val="22"/>
                <w:szCs w:val="22"/>
              </w:rPr>
            </w:pPr>
            <w:r>
              <w:rPr>
                <w:sz w:val="22"/>
                <w:szCs w:val="22"/>
              </w:rPr>
              <w:t xml:space="preserve">кг. У.т./Гкал.</w:t>
            </w:r>
            <w:r>
              <w:rPr>
                <w:sz w:val="22"/>
                <w:szCs w:val="22"/>
              </w:rPr>
            </w:r>
            <w:r>
              <w:rPr>
                <w:sz w:val="22"/>
                <w:szCs w:val="22"/>
              </w:rPr>
            </w:r>
          </w:p>
          <w:p>
            <w:pPr>
              <w:jc w:val="both"/>
              <w:rPr>
                <w:sz w:val="22"/>
                <w:szCs w:val="22"/>
              </w:rPr>
            </w:pPr>
            <w:r>
              <w:rPr>
                <w:sz w:val="22"/>
                <w:szCs w:val="22"/>
              </w:rPr>
              <w:t xml:space="preserve">Износ оборудования – 40%.</w:t>
            </w:r>
            <w:r>
              <w:rPr>
                <w:sz w:val="22"/>
                <w:szCs w:val="22"/>
              </w:rPr>
            </w:r>
            <w:r>
              <w:rPr>
                <w:sz w:val="22"/>
                <w:szCs w:val="22"/>
              </w:rPr>
            </w:r>
          </w:p>
          <w:p>
            <w:pPr>
              <w:jc w:val="both"/>
              <w:rPr>
                <w:sz w:val="22"/>
                <w:szCs w:val="22"/>
              </w:rPr>
            </w:pPr>
            <w:r>
              <w:rPr>
                <w:sz w:val="22"/>
                <w:szCs w:val="22"/>
              </w:rPr>
            </w:r>
            <w:r>
              <w:rPr>
                <w:sz w:val="22"/>
                <w:szCs w:val="22"/>
              </w:rPr>
            </w:r>
            <w:r>
              <w:rPr>
                <w:sz w:val="22"/>
                <w:szCs w:val="22"/>
              </w:rPr>
            </w:r>
          </w:p>
        </w:tc>
        <w:tc>
          <w:tcPr>
            <w:tcW w:w="2268" w:type="dxa"/>
            <w:textDirection w:val="lrTb"/>
            <w:noWrap w:val="false"/>
          </w:tcPr>
          <w:p>
            <w:pPr>
              <w:jc w:val="both"/>
              <w:rPr>
                <w:sz w:val="22"/>
                <w:szCs w:val="22"/>
              </w:rPr>
            </w:pPr>
            <w:r>
              <w:rPr>
                <w:sz w:val="22"/>
                <w:szCs w:val="22"/>
              </w:rPr>
              <w:t xml:space="preserve">КПД оборудования:</w:t>
            </w:r>
            <w:r>
              <w:rPr>
                <w:sz w:val="22"/>
                <w:szCs w:val="22"/>
              </w:rPr>
            </w:r>
            <w:r>
              <w:rPr>
                <w:sz w:val="22"/>
                <w:szCs w:val="22"/>
              </w:rPr>
            </w:r>
          </w:p>
          <w:p>
            <w:pPr>
              <w:jc w:val="both"/>
              <w:rPr>
                <w:sz w:val="22"/>
                <w:szCs w:val="22"/>
              </w:rPr>
            </w:pPr>
            <w:r>
              <w:rPr>
                <w:sz w:val="22"/>
                <w:szCs w:val="22"/>
              </w:rPr>
              <w:t xml:space="preserve"> 80 %.</w:t>
            </w:r>
            <w:r>
              <w:rPr>
                <w:sz w:val="22"/>
                <w:szCs w:val="22"/>
              </w:rPr>
            </w:r>
            <w:r>
              <w:rPr>
                <w:sz w:val="22"/>
                <w:szCs w:val="22"/>
              </w:rPr>
            </w:r>
          </w:p>
          <w:p>
            <w:pPr>
              <w:jc w:val="both"/>
              <w:rPr>
                <w:sz w:val="22"/>
                <w:szCs w:val="22"/>
              </w:rPr>
            </w:pPr>
            <w:r>
              <w:rPr>
                <w:sz w:val="22"/>
                <w:szCs w:val="22"/>
              </w:rPr>
              <w:t xml:space="preserve">Удельный расход топлива на производство тепловой энергии:</w:t>
            </w:r>
            <w:r>
              <w:rPr>
                <w:sz w:val="22"/>
                <w:szCs w:val="22"/>
              </w:rPr>
            </w:r>
            <w:r>
              <w:rPr>
                <w:sz w:val="22"/>
                <w:szCs w:val="22"/>
              </w:rPr>
            </w:r>
          </w:p>
          <w:p>
            <w:pPr>
              <w:jc w:val="both"/>
              <w:rPr>
                <w:sz w:val="22"/>
                <w:szCs w:val="22"/>
              </w:rPr>
            </w:pPr>
            <w:r>
              <w:rPr>
                <w:sz w:val="22"/>
                <w:szCs w:val="22"/>
              </w:rPr>
              <w:t xml:space="preserve"> 202,27 </w:t>
            </w:r>
            <w:r>
              <w:rPr>
                <w:sz w:val="22"/>
                <w:szCs w:val="22"/>
              </w:rPr>
            </w:r>
            <w:r>
              <w:rPr>
                <w:sz w:val="22"/>
                <w:szCs w:val="22"/>
              </w:rPr>
            </w:r>
          </w:p>
          <w:p>
            <w:pPr>
              <w:jc w:val="both"/>
              <w:rPr>
                <w:sz w:val="22"/>
                <w:szCs w:val="22"/>
              </w:rPr>
            </w:pPr>
            <w:r>
              <w:rPr>
                <w:sz w:val="22"/>
                <w:szCs w:val="22"/>
              </w:rPr>
              <w:t xml:space="preserve">кг. У.т./Гкал.</w:t>
            </w:r>
            <w:r>
              <w:rPr>
                <w:sz w:val="22"/>
                <w:szCs w:val="22"/>
              </w:rPr>
            </w:r>
            <w:r>
              <w:rPr>
                <w:sz w:val="22"/>
                <w:szCs w:val="22"/>
              </w:rPr>
            </w:r>
          </w:p>
          <w:p>
            <w:pPr>
              <w:jc w:val="both"/>
              <w:rPr>
                <w:sz w:val="22"/>
                <w:szCs w:val="22"/>
              </w:rPr>
            </w:pPr>
            <w:r>
              <w:rPr>
                <w:sz w:val="22"/>
                <w:szCs w:val="22"/>
              </w:rPr>
              <w:t xml:space="preserve">Износ оборудования – 20%.</w:t>
            </w:r>
            <w:r>
              <w:rPr>
                <w:sz w:val="22"/>
                <w:szCs w:val="22"/>
              </w:rPr>
            </w:r>
            <w:r>
              <w:rPr>
                <w:sz w:val="22"/>
                <w:szCs w:val="22"/>
              </w:rPr>
            </w:r>
          </w:p>
        </w:tc>
      </w:tr>
      <w:tr>
        <w:tblPrEx/>
        <w:trPr>
          <w:trHeight w:val="300"/>
        </w:trPr>
        <w:tc>
          <w:tcPr>
            <w:tcW w:w="640" w:type="dxa"/>
            <w:textDirection w:val="lrTb"/>
            <w:noWrap w:val="false"/>
          </w:tcPr>
          <w:p>
            <w:pPr>
              <w:jc w:val="both"/>
              <w:rPr>
                <w:sz w:val="22"/>
                <w:szCs w:val="22"/>
              </w:rPr>
            </w:pPr>
            <w:r>
              <w:rPr>
                <w:sz w:val="22"/>
                <w:szCs w:val="22"/>
              </w:rPr>
              <w:t xml:space="preserve">2.</w:t>
            </w:r>
            <w:r>
              <w:rPr>
                <w:sz w:val="22"/>
                <w:szCs w:val="22"/>
              </w:rPr>
            </w:r>
            <w:r>
              <w:rPr>
                <w:sz w:val="22"/>
                <w:szCs w:val="22"/>
              </w:rPr>
            </w:r>
          </w:p>
        </w:tc>
        <w:tc>
          <w:tcPr>
            <w:tcW w:w="4280" w:type="dxa"/>
            <w:textDirection w:val="lrTb"/>
            <w:noWrap w:val="false"/>
          </w:tcPr>
          <w:p>
            <w:pPr>
              <w:jc w:val="both"/>
              <w:rPr>
                <w:b/>
                <w:sz w:val="22"/>
                <w:szCs w:val="22"/>
              </w:rPr>
            </w:pPr>
            <w:r>
              <w:rPr>
                <w:b/>
                <w:sz w:val="22"/>
                <w:szCs w:val="22"/>
              </w:rPr>
              <w:t xml:space="preserve">Реконструкция тепловых сетей:</w:t>
            </w:r>
            <w:r>
              <w:rPr>
                <w:b/>
                <w:sz w:val="22"/>
                <w:szCs w:val="22"/>
              </w:rPr>
            </w:r>
            <w:r>
              <w:rPr>
                <w:b/>
                <w:sz w:val="22"/>
                <w:szCs w:val="22"/>
              </w:rPr>
            </w:r>
          </w:p>
        </w:tc>
        <w:tc>
          <w:tcPr>
            <w:tcW w:w="2276" w:type="dxa"/>
            <w:textDirection w:val="lrTb"/>
            <w:noWrap w:val="false"/>
          </w:tcPr>
          <w:p>
            <w:pPr>
              <w:jc w:val="both"/>
              <w:rPr>
                <w:sz w:val="22"/>
                <w:szCs w:val="22"/>
              </w:rPr>
            </w:pPr>
            <w:r>
              <w:rPr>
                <w:sz w:val="22"/>
                <w:szCs w:val="22"/>
              </w:rPr>
            </w:r>
            <w:r>
              <w:rPr>
                <w:sz w:val="22"/>
                <w:szCs w:val="22"/>
              </w:rPr>
            </w:r>
            <w:r>
              <w:rPr>
                <w:sz w:val="22"/>
                <w:szCs w:val="22"/>
              </w:rPr>
            </w:r>
          </w:p>
        </w:tc>
        <w:tc>
          <w:tcPr>
            <w:tcW w:w="2268" w:type="dxa"/>
            <w:textDirection w:val="lrTb"/>
            <w:noWrap w:val="false"/>
          </w:tcPr>
          <w:p>
            <w:pPr>
              <w:jc w:val="both"/>
              <w:rPr>
                <w:sz w:val="22"/>
                <w:szCs w:val="22"/>
              </w:rPr>
            </w:pPr>
            <w:r>
              <w:rPr>
                <w:sz w:val="22"/>
                <w:szCs w:val="22"/>
              </w:rPr>
            </w:r>
            <w:r>
              <w:rPr>
                <w:sz w:val="22"/>
                <w:szCs w:val="22"/>
              </w:rPr>
            </w:r>
            <w:r>
              <w:rPr>
                <w:sz w:val="22"/>
                <w:szCs w:val="22"/>
              </w:rPr>
            </w:r>
          </w:p>
        </w:tc>
      </w:tr>
      <w:tr>
        <w:tblPrEx/>
        <w:trPr>
          <w:trHeight w:val="300"/>
        </w:trPr>
        <w:tc>
          <w:tcPr>
            <w:tcW w:w="640" w:type="dxa"/>
            <w:vMerge w:val="restart"/>
            <w:textDirection w:val="lrTb"/>
            <w:noWrap w:val="false"/>
          </w:tcPr>
          <w:p>
            <w:pPr>
              <w:jc w:val="both"/>
              <w:rPr>
                <w:sz w:val="22"/>
                <w:szCs w:val="22"/>
              </w:rPr>
            </w:pPr>
            <w:r>
              <w:rPr>
                <w:sz w:val="22"/>
                <w:szCs w:val="22"/>
              </w:rPr>
              <w:t xml:space="preserve">2.1.</w:t>
            </w:r>
            <w:r>
              <w:rPr>
                <w:sz w:val="22"/>
                <w:szCs w:val="22"/>
              </w:rPr>
            </w:r>
            <w:r>
              <w:rPr>
                <w:sz w:val="22"/>
                <w:szCs w:val="22"/>
              </w:rPr>
            </w:r>
          </w:p>
        </w:tc>
        <w:tc>
          <w:tcPr>
            <w:tcW w:w="4280" w:type="dxa"/>
            <w:vMerge w:val="restart"/>
            <w:textDirection w:val="lrTb"/>
            <w:noWrap w:val="false"/>
          </w:tcPr>
          <w:p>
            <w:pPr>
              <w:jc w:val="both"/>
              <w:rPr>
                <w:sz w:val="22"/>
                <w:szCs w:val="22"/>
              </w:rPr>
            </w:pPr>
            <w:r>
              <w:rPr>
                <w:sz w:val="22"/>
                <w:szCs w:val="22"/>
              </w:rPr>
              <w:t xml:space="preserve">Реконструкция тепловой сети котельной № 13/73 ул. Стадионная п.г.т. Печенга Печенгский муниципальный округ Мурманской области. Сет</w:t>
            </w:r>
            <w:r>
              <w:rPr>
                <w:sz w:val="22"/>
                <w:szCs w:val="22"/>
              </w:rPr>
              <w:t xml:space="preserve">ь ЦО и ГВС по участкам: От котельной до узла распределения точка «А» в районе ТК-1;  От точки «А» в районе ТК-1 в сторону МКД № 7 до МКД № 8   через МКД № 5 с ответвлением на МКД № 10;  От точки «А» в районе ТК-1 в сторону МКД № 4 до МКД № 9 через МКД № 3.</w:t>
            </w:r>
            <w:r>
              <w:rPr>
                <w:sz w:val="22"/>
                <w:szCs w:val="22"/>
              </w:rPr>
            </w:r>
            <w:r>
              <w:rPr>
                <w:sz w:val="22"/>
                <w:szCs w:val="22"/>
              </w:rPr>
            </w:r>
          </w:p>
        </w:tc>
        <w:tc>
          <w:tcPr>
            <w:tcW w:w="2276" w:type="dxa"/>
            <w:textDirection w:val="lrTb"/>
            <w:noWrap w:val="false"/>
          </w:tcPr>
          <w:p>
            <w:pPr>
              <w:jc w:val="both"/>
              <w:rPr>
                <w:sz w:val="22"/>
                <w:szCs w:val="22"/>
              </w:rPr>
            </w:pPr>
            <w:r>
              <w:rPr>
                <w:sz w:val="22"/>
                <w:szCs w:val="22"/>
              </w:rPr>
              <w:t xml:space="preserve">Протяженность сети в двухтрубном исчислении:</w:t>
            </w:r>
            <w:r>
              <w:rPr>
                <w:sz w:val="22"/>
                <w:szCs w:val="22"/>
              </w:rPr>
            </w:r>
            <w:r>
              <w:rPr>
                <w:sz w:val="22"/>
                <w:szCs w:val="22"/>
              </w:rPr>
            </w:r>
          </w:p>
          <w:p>
            <w:pPr>
              <w:jc w:val="both"/>
              <w:rPr>
                <w:sz w:val="22"/>
                <w:szCs w:val="22"/>
              </w:rPr>
            </w:pPr>
            <w:r>
              <w:rPr>
                <w:sz w:val="22"/>
                <w:szCs w:val="22"/>
              </w:rPr>
              <w:t xml:space="preserve">ЦО - 623,0 п.м.</w:t>
            </w:r>
            <w:r>
              <w:rPr>
                <w:sz w:val="22"/>
                <w:szCs w:val="22"/>
              </w:rPr>
            </w:r>
            <w:r>
              <w:rPr>
                <w:sz w:val="22"/>
                <w:szCs w:val="22"/>
              </w:rPr>
            </w:r>
          </w:p>
          <w:p>
            <w:pPr>
              <w:jc w:val="both"/>
              <w:rPr>
                <w:sz w:val="22"/>
                <w:szCs w:val="22"/>
              </w:rPr>
            </w:pPr>
            <w:r>
              <w:rPr>
                <w:sz w:val="22"/>
                <w:szCs w:val="22"/>
              </w:rPr>
              <w:t xml:space="preserve">ГВС – 654,7 п.м.</w:t>
            </w:r>
            <w:r>
              <w:rPr>
                <w:sz w:val="22"/>
                <w:szCs w:val="22"/>
              </w:rPr>
            </w:r>
            <w:r>
              <w:rPr>
                <w:sz w:val="22"/>
                <w:szCs w:val="22"/>
              </w:rPr>
            </w:r>
          </w:p>
          <w:p>
            <w:pPr>
              <w:jc w:val="both"/>
              <w:rPr>
                <w:sz w:val="22"/>
                <w:szCs w:val="22"/>
              </w:rPr>
            </w:pPr>
            <w:r>
              <w:rPr>
                <w:sz w:val="22"/>
                <w:szCs w:val="22"/>
              </w:rPr>
              <w:t xml:space="preserve">Средневзвешенный диаметр:</w:t>
            </w:r>
            <w:r>
              <w:rPr>
                <w:sz w:val="22"/>
                <w:szCs w:val="22"/>
              </w:rPr>
            </w:r>
            <w:r>
              <w:rPr>
                <w:sz w:val="22"/>
                <w:szCs w:val="22"/>
              </w:rPr>
            </w:r>
          </w:p>
          <w:p>
            <w:pPr>
              <w:jc w:val="both"/>
              <w:rPr>
                <w:sz w:val="22"/>
                <w:szCs w:val="22"/>
              </w:rPr>
            </w:pPr>
            <w:r>
              <w:rPr>
                <w:sz w:val="22"/>
                <w:szCs w:val="22"/>
              </w:rPr>
              <w:t xml:space="preserve">ЦО – 129 мм.;</w:t>
            </w:r>
            <w:r>
              <w:rPr>
                <w:sz w:val="22"/>
                <w:szCs w:val="22"/>
              </w:rPr>
            </w:r>
            <w:r>
              <w:rPr>
                <w:sz w:val="22"/>
                <w:szCs w:val="22"/>
              </w:rPr>
            </w:r>
          </w:p>
          <w:p>
            <w:pPr>
              <w:jc w:val="both"/>
              <w:rPr>
                <w:sz w:val="22"/>
                <w:szCs w:val="22"/>
              </w:rPr>
            </w:pPr>
            <w:r>
              <w:rPr>
                <w:sz w:val="22"/>
                <w:szCs w:val="22"/>
              </w:rPr>
              <w:t xml:space="preserve">ГВС – 90 мм.</w:t>
            </w:r>
            <w:r>
              <w:rPr>
                <w:sz w:val="22"/>
                <w:szCs w:val="22"/>
              </w:rPr>
            </w:r>
            <w:r>
              <w:rPr>
                <w:sz w:val="22"/>
                <w:szCs w:val="22"/>
              </w:rPr>
            </w:r>
          </w:p>
          <w:p>
            <w:pPr>
              <w:jc w:val="both"/>
              <w:rPr>
                <w:sz w:val="22"/>
                <w:szCs w:val="22"/>
              </w:rPr>
            </w:pPr>
            <w:r>
              <w:rPr>
                <w:sz w:val="22"/>
                <w:szCs w:val="22"/>
              </w:rPr>
              <w:t xml:space="preserve">Износ:</w:t>
            </w:r>
            <w:r>
              <w:rPr>
                <w:sz w:val="22"/>
                <w:szCs w:val="22"/>
              </w:rPr>
            </w:r>
            <w:r>
              <w:rPr>
                <w:sz w:val="22"/>
                <w:szCs w:val="22"/>
              </w:rPr>
            </w:r>
          </w:p>
          <w:p>
            <w:pPr>
              <w:jc w:val="both"/>
              <w:rPr>
                <w:sz w:val="22"/>
                <w:szCs w:val="22"/>
              </w:rPr>
            </w:pPr>
            <w:r>
              <w:rPr>
                <w:sz w:val="22"/>
                <w:szCs w:val="22"/>
              </w:rPr>
              <w:t xml:space="preserve">ЦО - 84 %.</w:t>
            </w:r>
            <w:r>
              <w:rPr>
                <w:sz w:val="22"/>
                <w:szCs w:val="22"/>
              </w:rPr>
            </w:r>
            <w:r>
              <w:rPr>
                <w:sz w:val="22"/>
                <w:szCs w:val="22"/>
              </w:rPr>
            </w:r>
          </w:p>
          <w:p>
            <w:pPr>
              <w:jc w:val="both"/>
              <w:rPr>
                <w:sz w:val="22"/>
                <w:szCs w:val="22"/>
              </w:rPr>
            </w:pPr>
            <w:r>
              <w:rPr>
                <w:sz w:val="22"/>
                <w:szCs w:val="22"/>
              </w:rPr>
              <w:t xml:space="preserve">ГВС – 78 %.</w:t>
            </w:r>
            <w:r>
              <w:rPr>
                <w:sz w:val="22"/>
                <w:szCs w:val="22"/>
              </w:rPr>
            </w:r>
            <w:r>
              <w:rPr>
                <w:sz w:val="22"/>
                <w:szCs w:val="22"/>
              </w:rPr>
            </w:r>
          </w:p>
          <w:p>
            <w:pPr>
              <w:jc w:val="both"/>
              <w:rPr>
                <w:sz w:val="22"/>
                <w:szCs w:val="22"/>
              </w:rPr>
            </w:pPr>
            <w:r>
              <w:rPr>
                <w:sz w:val="22"/>
                <w:szCs w:val="22"/>
              </w:rPr>
              <w:t xml:space="preserve">Потери тепловой энергии при передаче по сетям – 761 Гкал/год.</w:t>
            </w:r>
            <w:r>
              <w:rPr>
                <w:sz w:val="22"/>
                <w:szCs w:val="22"/>
              </w:rPr>
            </w:r>
            <w:r>
              <w:rPr>
                <w:sz w:val="22"/>
                <w:szCs w:val="22"/>
              </w:rPr>
            </w:r>
          </w:p>
        </w:tc>
        <w:tc>
          <w:tcPr>
            <w:tcW w:w="2268" w:type="dxa"/>
            <w:textDirection w:val="lrTb"/>
            <w:noWrap w:val="false"/>
          </w:tcPr>
          <w:p>
            <w:pPr>
              <w:jc w:val="both"/>
              <w:rPr>
                <w:sz w:val="22"/>
                <w:szCs w:val="22"/>
              </w:rPr>
            </w:pPr>
            <w:r>
              <w:rPr>
                <w:sz w:val="22"/>
                <w:szCs w:val="22"/>
              </w:rPr>
              <w:t xml:space="preserve">Протяженность сети в двухтрубном исчислении:</w:t>
            </w:r>
            <w:r>
              <w:rPr>
                <w:sz w:val="22"/>
                <w:szCs w:val="22"/>
              </w:rPr>
            </w:r>
            <w:r>
              <w:rPr>
                <w:sz w:val="22"/>
                <w:szCs w:val="22"/>
              </w:rPr>
            </w:r>
          </w:p>
          <w:p>
            <w:pPr>
              <w:jc w:val="both"/>
              <w:rPr>
                <w:sz w:val="22"/>
                <w:szCs w:val="22"/>
              </w:rPr>
            </w:pPr>
            <w:r>
              <w:rPr>
                <w:sz w:val="22"/>
                <w:szCs w:val="22"/>
              </w:rPr>
              <w:t xml:space="preserve">ЦО – </w:t>
            </w:r>
            <w:r>
              <w:rPr>
                <w:color w:val="000000" w:themeColor="text1"/>
                <w:sz w:val="22"/>
                <w:szCs w:val="22"/>
              </w:rPr>
              <w:t xml:space="preserve">641,26</w:t>
            </w:r>
            <w:r>
              <w:rPr>
                <w:sz w:val="22"/>
                <w:szCs w:val="22"/>
              </w:rPr>
              <w:t xml:space="preserve"> п.м.</w:t>
            </w:r>
            <w:r>
              <w:rPr>
                <w:sz w:val="22"/>
                <w:szCs w:val="22"/>
              </w:rPr>
            </w:r>
            <w:r>
              <w:rPr>
                <w:sz w:val="22"/>
                <w:szCs w:val="22"/>
              </w:rPr>
            </w:r>
          </w:p>
          <w:p>
            <w:pPr>
              <w:jc w:val="both"/>
              <w:rPr>
                <w:sz w:val="22"/>
                <w:szCs w:val="22"/>
              </w:rPr>
            </w:pPr>
            <w:r>
              <w:rPr>
                <w:sz w:val="22"/>
                <w:szCs w:val="22"/>
              </w:rPr>
              <w:t xml:space="preserve">ГВС – 641,26 п.м.</w:t>
            </w:r>
            <w:r>
              <w:rPr>
                <w:sz w:val="22"/>
                <w:szCs w:val="22"/>
              </w:rPr>
            </w:r>
            <w:r>
              <w:rPr>
                <w:sz w:val="22"/>
                <w:szCs w:val="22"/>
              </w:rPr>
            </w:r>
          </w:p>
          <w:p>
            <w:pPr>
              <w:jc w:val="both"/>
              <w:rPr>
                <w:sz w:val="22"/>
                <w:szCs w:val="22"/>
              </w:rPr>
            </w:pPr>
            <w:r>
              <w:rPr>
                <w:sz w:val="22"/>
                <w:szCs w:val="22"/>
              </w:rPr>
              <w:t xml:space="preserve">Средневзвешенный диаметр:</w:t>
            </w:r>
            <w:r>
              <w:rPr>
                <w:sz w:val="22"/>
                <w:szCs w:val="22"/>
              </w:rPr>
            </w:r>
            <w:r>
              <w:rPr>
                <w:sz w:val="22"/>
                <w:szCs w:val="22"/>
              </w:rPr>
            </w:r>
          </w:p>
          <w:p>
            <w:pPr>
              <w:jc w:val="both"/>
              <w:rPr>
                <w:sz w:val="22"/>
                <w:szCs w:val="22"/>
              </w:rPr>
            </w:pPr>
            <w:r>
              <w:rPr>
                <w:sz w:val="22"/>
                <w:szCs w:val="22"/>
              </w:rPr>
              <w:t xml:space="preserve">ЦО – 141 мм.</w:t>
            </w:r>
            <w:r>
              <w:rPr>
                <w:sz w:val="22"/>
                <w:szCs w:val="22"/>
              </w:rPr>
            </w:r>
            <w:r>
              <w:rPr>
                <w:sz w:val="22"/>
                <w:szCs w:val="22"/>
              </w:rPr>
            </w:r>
          </w:p>
          <w:p>
            <w:pPr>
              <w:jc w:val="both"/>
              <w:rPr>
                <w:sz w:val="22"/>
                <w:szCs w:val="22"/>
              </w:rPr>
            </w:pPr>
            <w:r>
              <w:rPr>
                <w:sz w:val="22"/>
                <w:szCs w:val="22"/>
              </w:rPr>
              <w:t xml:space="preserve">ГВС – 93 мм.</w:t>
            </w:r>
            <w:r>
              <w:rPr>
                <w:sz w:val="22"/>
                <w:szCs w:val="22"/>
              </w:rPr>
            </w:r>
            <w:r>
              <w:rPr>
                <w:sz w:val="22"/>
                <w:szCs w:val="22"/>
              </w:rPr>
            </w:r>
          </w:p>
          <w:p>
            <w:pPr>
              <w:jc w:val="both"/>
              <w:rPr>
                <w:sz w:val="22"/>
                <w:szCs w:val="22"/>
              </w:rPr>
            </w:pPr>
            <w:r>
              <w:rPr>
                <w:sz w:val="22"/>
                <w:szCs w:val="22"/>
              </w:rPr>
              <w:t xml:space="preserve">Износ:</w:t>
            </w:r>
            <w:r>
              <w:rPr>
                <w:sz w:val="22"/>
                <w:szCs w:val="22"/>
              </w:rPr>
            </w:r>
            <w:r>
              <w:rPr>
                <w:sz w:val="22"/>
                <w:szCs w:val="22"/>
              </w:rPr>
            </w:r>
          </w:p>
          <w:p>
            <w:pPr>
              <w:jc w:val="both"/>
              <w:rPr>
                <w:sz w:val="22"/>
                <w:szCs w:val="22"/>
              </w:rPr>
            </w:pPr>
            <w:r>
              <w:rPr>
                <w:sz w:val="22"/>
                <w:szCs w:val="22"/>
              </w:rPr>
              <w:t xml:space="preserve">ЦО - 7 %;</w:t>
            </w:r>
            <w:r>
              <w:rPr>
                <w:sz w:val="22"/>
                <w:szCs w:val="22"/>
              </w:rPr>
            </w:r>
            <w:r>
              <w:rPr>
                <w:sz w:val="22"/>
                <w:szCs w:val="22"/>
              </w:rPr>
            </w:r>
          </w:p>
          <w:p>
            <w:pPr>
              <w:jc w:val="both"/>
              <w:rPr>
                <w:sz w:val="22"/>
                <w:szCs w:val="22"/>
              </w:rPr>
            </w:pPr>
            <w:r>
              <w:rPr>
                <w:sz w:val="22"/>
                <w:szCs w:val="22"/>
              </w:rPr>
              <w:t xml:space="preserve">ГВС – 7 %.</w:t>
            </w:r>
            <w:r>
              <w:rPr>
                <w:sz w:val="22"/>
                <w:szCs w:val="22"/>
              </w:rPr>
            </w:r>
            <w:r>
              <w:rPr>
                <w:sz w:val="22"/>
                <w:szCs w:val="22"/>
              </w:rPr>
            </w:r>
          </w:p>
          <w:p>
            <w:pPr>
              <w:jc w:val="both"/>
              <w:rPr>
                <w:sz w:val="22"/>
                <w:szCs w:val="22"/>
              </w:rPr>
            </w:pPr>
            <w:r>
              <w:rPr>
                <w:sz w:val="22"/>
                <w:szCs w:val="22"/>
              </w:rPr>
              <w:t xml:space="preserve">Потери тепловой энергии при передаче по сетям – 454 Гкал/год.</w:t>
            </w:r>
            <w:r>
              <w:rPr>
                <w:sz w:val="22"/>
                <w:szCs w:val="22"/>
              </w:rPr>
            </w:r>
            <w:r>
              <w:rPr>
                <w:sz w:val="22"/>
                <w:szCs w:val="22"/>
              </w:rPr>
            </w:r>
          </w:p>
        </w:tc>
      </w:tr>
      <w:tr>
        <w:tblPrEx/>
        <w:trPr>
          <w:trHeight w:val="300"/>
        </w:trPr>
        <w:tc>
          <w:tcPr>
            <w:tcW w:w="640" w:type="dxa"/>
            <w:vMerge w:val="continue"/>
            <w:textDirection w:val="lrTb"/>
            <w:noWrap w:val="false"/>
          </w:tcPr>
          <w:p>
            <w:pPr>
              <w:jc w:val="both"/>
              <w:rPr>
                <w:sz w:val="22"/>
                <w:szCs w:val="22"/>
              </w:rPr>
            </w:pPr>
            <w:r>
              <w:rPr>
                <w:sz w:val="22"/>
                <w:szCs w:val="22"/>
              </w:rPr>
            </w:r>
            <w:r>
              <w:rPr>
                <w:sz w:val="22"/>
                <w:szCs w:val="22"/>
              </w:rPr>
            </w:r>
            <w:r>
              <w:rPr>
                <w:sz w:val="22"/>
                <w:szCs w:val="22"/>
              </w:rPr>
            </w:r>
          </w:p>
        </w:tc>
        <w:tc>
          <w:tcPr>
            <w:tcW w:w="4280" w:type="dxa"/>
            <w:vMerge w:val="continue"/>
            <w:textDirection w:val="lrTb"/>
            <w:noWrap w:val="false"/>
          </w:tcPr>
          <w:p>
            <w:pPr>
              <w:jc w:val="both"/>
              <w:rPr>
                <w:sz w:val="22"/>
                <w:szCs w:val="22"/>
              </w:rPr>
            </w:pPr>
            <w:r>
              <w:rPr>
                <w:sz w:val="22"/>
                <w:szCs w:val="22"/>
              </w:rPr>
            </w:r>
            <w:r>
              <w:rPr>
                <w:sz w:val="22"/>
                <w:szCs w:val="22"/>
              </w:rPr>
            </w:r>
            <w:r>
              <w:rPr>
                <w:sz w:val="22"/>
                <w:szCs w:val="22"/>
              </w:rPr>
            </w:r>
          </w:p>
        </w:tc>
        <w:tc>
          <w:tcPr>
            <w:gridSpan w:val="2"/>
            <w:tcW w:w="4544" w:type="dxa"/>
            <w:textDirection w:val="lrTb"/>
            <w:noWrap w:val="false"/>
          </w:tcPr>
          <w:p>
            <w:pPr>
              <w:jc w:val="both"/>
              <w:rPr>
                <w:sz w:val="22"/>
                <w:szCs w:val="22"/>
              </w:rPr>
            </w:pPr>
            <w:r>
              <w:rPr>
                <w:sz w:val="22"/>
                <w:szCs w:val="22"/>
              </w:rPr>
              <w:t xml:space="preserve">Планируется заменить:  сеть ЦО – 1181 п.м. в однотрубном исчислении; сеть ГВС – 1181 п.м. в однотрубном исчислении.</w:t>
            </w:r>
            <w:r>
              <w:rPr>
                <w:sz w:val="22"/>
                <w:szCs w:val="22"/>
              </w:rPr>
            </w:r>
            <w:r>
              <w:rPr>
                <w:sz w:val="22"/>
                <w:szCs w:val="22"/>
              </w:rPr>
            </w:r>
          </w:p>
        </w:tc>
      </w:tr>
      <w:tr>
        <w:tblPrEx/>
        <w:trPr>
          <w:trHeight w:val="300"/>
        </w:trPr>
        <w:tc>
          <w:tcPr>
            <w:tcW w:w="640" w:type="dxa"/>
            <w:vMerge w:val="restart"/>
            <w:textDirection w:val="lrTb"/>
            <w:noWrap w:val="false"/>
          </w:tcPr>
          <w:p>
            <w:pPr>
              <w:jc w:val="both"/>
              <w:rPr>
                <w:sz w:val="22"/>
                <w:szCs w:val="22"/>
              </w:rPr>
            </w:pPr>
            <w:r>
              <w:rPr>
                <w:sz w:val="22"/>
                <w:szCs w:val="22"/>
              </w:rPr>
              <w:t xml:space="preserve">2.2.</w:t>
            </w:r>
            <w:r>
              <w:rPr>
                <w:sz w:val="22"/>
                <w:szCs w:val="22"/>
              </w:rPr>
            </w:r>
            <w:r>
              <w:rPr>
                <w:sz w:val="22"/>
                <w:szCs w:val="22"/>
              </w:rPr>
            </w:r>
          </w:p>
        </w:tc>
        <w:tc>
          <w:tcPr>
            <w:tcW w:w="4280" w:type="dxa"/>
            <w:vMerge w:val="restart"/>
            <w:textDirection w:val="lrTb"/>
            <w:noWrap w:val="false"/>
          </w:tcPr>
          <w:p>
            <w:pPr>
              <w:jc w:val="both"/>
              <w:rPr>
                <w:sz w:val="22"/>
                <w:szCs w:val="22"/>
              </w:rPr>
            </w:pPr>
            <w:r>
              <w:rPr>
                <w:sz w:val="22"/>
                <w:szCs w:val="22"/>
              </w:rPr>
              <w:t xml:space="preserve">Реконструкция тепловой сети котельной № 4/152 ж/д ст. 19 км. п.г.т. Печенга Печенгский муниципальный округ Мурманской области. Сеть ЦО по участкам:  От точки врезки от центральной трассы до точки </w:t>
            </w:r>
            <w:r>
              <w:rPr>
                <w:sz w:val="22"/>
                <w:szCs w:val="22"/>
              </w:rPr>
              <w:t xml:space="preserve">врезки в МКД № 2, транзитом через МКД № 2 до точки врезки в МКД № 4;  От точки врезки от центральной трассы до точки врезки в МКД № 3;  От точки врезки от центральной трассы до точки врезки в МКД № 1;  От угла МКД № 1 до ТК № 1 возле дороги.  Сеть ГВС по у</w:t>
            </w:r>
            <w:r>
              <w:rPr>
                <w:sz w:val="22"/>
                <w:szCs w:val="22"/>
              </w:rPr>
              <w:t xml:space="preserve">часткам:  От точки врезки от центральной трассы до точки врезки в МКД № 2, транзитом через МКД № 2 до точки врезки в МКД № 4; От точки врезки от центральной трассы до точки врезки в МКД № 3;  От точки врезки от центральной трассы до точки врезки в МКД № 1.</w:t>
            </w:r>
            <w:r>
              <w:rPr>
                <w:sz w:val="22"/>
                <w:szCs w:val="22"/>
              </w:rPr>
            </w:r>
            <w:r>
              <w:rPr>
                <w:sz w:val="22"/>
                <w:szCs w:val="22"/>
              </w:rPr>
            </w:r>
          </w:p>
        </w:tc>
        <w:tc>
          <w:tcPr>
            <w:tcW w:w="2276" w:type="dxa"/>
            <w:textDirection w:val="lrTb"/>
            <w:noWrap w:val="false"/>
          </w:tcPr>
          <w:p>
            <w:pPr>
              <w:jc w:val="both"/>
              <w:rPr>
                <w:sz w:val="22"/>
                <w:szCs w:val="22"/>
              </w:rPr>
            </w:pPr>
            <w:r>
              <w:rPr>
                <w:sz w:val="22"/>
                <w:szCs w:val="22"/>
              </w:rPr>
              <w:t xml:space="preserve">Протяженность сети в двухтрубном исчислении:</w:t>
            </w:r>
            <w:r>
              <w:rPr>
                <w:sz w:val="22"/>
                <w:szCs w:val="22"/>
              </w:rPr>
            </w:r>
            <w:r>
              <w:rPr>
                <w:sz w:val="22"/>
                <w:szCs w:val="22"/>
              </w:rPr>
            </w:r>
          </w:p>
          <w:p>
            <w:pPr>
              <w:jc w:val="both"/>
              <w:rPr>
                <w:sz w:val="22"/>
                <w:szCs w:val="22"/>
              </w:rPr>
            </w:pPr>
            <w:r>
              <w:rPr>
                <w:sz w:val="22"/>
                <w:szCs w:val="22"/>
              </w:rPr>
              <w:t xml:space="preserve">ЦО – 1175 п.м.;</w:t>
            </w:r>
            <w:r>
              <w:rPr>
                <w:sz w:val="22"/>
                <w:szCs w:val="22"/>
              </w:rPr>
            </w:r>
            <w:r>
              <w:rPr>
                <w:sz w:val="22"/>
                <w:szCs w:val="22"/>
              </w:rPr>
            </w:r>
          </w:p>
          <w:p>
            <w:pPr>
              <w:jc w:val="both"/>
              <w:rPr>
                <w:sz w:val="22"/>
                <w:szCs w:val="22"/>
              </w:rPr>
            </w:pPr>
            <w:r>
              <w:rPr>
                <w:sz w:val="22"/>
                <w:szCs w:val="22"/>
              </w:rPr>
              <w:t xml:space="preserve">ГВС – 348 п.м.</w:t>
            </w:r>
            <w:r>
              <w:rPr>
                <w:sz w:val="22"/>
                <w:szCs w:val="22"/>
              </w:rPr>
            </w:r>
            <w:r>
              <w:rPr>
                <w:sz w:val="22"/>
                <w:szCs w:val="22"/>
              </w:rPr>
            </w:r>
          </w:p>
          <w:p>
            <w:pPr>
              <w:jc w:val="both"/>
              <w:rPr>
                <w:sz w:val="22"/>
                <w:szCs w:val="22"/>
              </w:rPr>
            </w:pPr>
            <w:r>
              <w:rPr>
                <w:sz w:val="22"/>
                <w:szCs w:val="22"/>
              </w:rPr>
              <w:t xml:space="preserve">Средневзвешенный диаметр:</w:t>
            </w:r>
            <w:r>
              <w:rPr>
                <w:sz w:val="22"/>
                <w:szCs w:val="22"/>
              </w:rPr>
            </w:r>
            <w:r>
              <w:rPr>
                <w:sz w:val="22"/>
                <w:szCs w:val="22"/>
              </w:rPr>
            </w:r>
          </w:p>
          <w:p>
            <w:pPr>
              <w:jc w:val="both"/>
              <w:rPr>
                <w:sz w:val="22"/>
                <w:szCs w:val="22"/>
              </w:rPr>
            </w:pPr>
            <w:r>
              <w:rPr>
                <w:sz w:val="22"/>
                <w:szCs w:val="22"/>
              </w:rPr>
              <w:t xml:space="preserve">ЦО – 138 мм.;</w:t>
            </w:r>
            <w:r>
              <w:rPr>
                <w:sz w:val="22"/>
                <w:szCs w:val="22"/>
              </w:rPr>
            </w:r>
            <w:r>
              <w:rPr>
                <w:sz w:val="22"/>
                <w:szCs w:val="22"/>
              </w:rPr>
            </w:r>
          </w:p>
          <w:p>
            <w:pPr>
              <w:jc w:val="both"/>
              <w:rPr>
                <w:sz w:val="22"/>
                <w:szCs w:val="22"/>
              </w:rPr>
            </w:pPr>
            <w:r>
              <w:rPr>
                <w:sz w:val="22"/>
                <w:szCs w:val="22"/>
              </w:rPr>
              <w:t xml:space="preserve">ГВС – 105 мм.</w:t>
            </w:r>
            <w:r>
              <w:rPr>
                <w:sz w:val="22"/>
                <w:szCs w:val="22"/>
              </w:rPr>
            </w:r>
            <w:r>
              <w:rPr>
                <w:sz w:val="22"/>
                <w:szCs w:val="22"/>
              </w:rPr>
            </w:r>
          </w:p>
          <w:p>
            <w:pPr>
              <w:jc w:val="both"/>
              <w:rPr>
                <w:sz w:val="22"/>
                <w:szCs w:val="22"/>
              </w:rPr>
            </w:pPr>
            <w:r>
              <w:rPr>
                <w:sz w:val="22"/>
                <w:szCs w:val="22"/>
              </w:rPr>
              <w:t xml:space="preserve">Износ:</w:t>
            </w:r>
            <w:r>
              <w:rPr>
                <w:sz w:val="22"/>
                <w:szCs w:val="22"/>
              </w:rPr>
            </w:r>
            <w:r>
              <w:rPr>
                <w:sz w:val="22"/>
                <w:szCs w:val="22"/>
              </w:rPr>
            </w:r>
          </w:p>
          <w:p>
            <w:pPr>
              <w:jc w:val="both"/>
              <w:rPr>
                <w:sz w:val="22"/>
                <w:szCs w:val="22"/>
              </w:rPr>
            </w:pPr>
            <w:r>
              <w:rPr>
                <w:sz w:val="22"/>
                <w:szCs w:val="22"/>
              </w:rPr>
              <w:t xml:space="preserve">ЦО - 25%;</w:t>
            </w:r>
            <w:r>
              <w:rPr>
                <w:sz w:val="22"/>
                <w:szCs w:val="22"/>
              </w:rPr>
            </w:r>
            <w:r>
              <w:rPr>
                <w:sz w:val="22"/>
                <w:szCs w:val="22"/>
              </w:rPr>
            </w:r>
          </w:p>
          <w:p>
            <w:pPr>
              <w:jc w:val="both"/>
              <w:rPr>
                <w:sz w:val="22"/>
                <w:szCs w:val="22"/>
              </w:rPr>
            </w:pPr>
            <w:r>
              <w:rPr>
                <w:sz w:val="22"/>
                <w:szCs w:val="22"/>
              </w:rPr>
              <w:t xml:space="preserve">ГВС -31%.</w:t>
            </w:r>
            <w:r>
              <w:rPr>
                <w:sz w:val="22"/>
                <w:szCs w:val="22"/>
              </w:rPr>
            </w:r>
            <w:r>
              <w:rPr>
                <w:sz w:val="22"/>
                <w:szCs w:val="22"/>
              </w:rPr>
            </w:r>
          </w:p>
          <w:p>
            <w:pPr>
              <w:jc w:val="both"/>
              <w:rPr>
                <w:color w:val="ff0000"/>
                <w:sz w:val="22"/>
                <w:szCs w:val="22"/>
              </w:rPr>
            </w:pPr>
            <w:r>
              <w:rPr>
                <w:sz w:val="22"/>
                <w:szCs w:val="22"/>
              </w:rPr>
              <w:t xml:space="preserve">Потери тепловой энергии при передаче по сетям – 814 Гкал/год.</w:t>
            </w:r>
            <w:r>
              <w:rPr>
                <w:color w:val="ff0000"/>
                <w:sz w:val="22"/>
                <w:szCs w:val="22"/>
              </w:rPr>
            </w:r>
            <w:r>
              <w:rPr>
                <w:color w:val="ff0000"/>
                <w:sz w:val="22"/>
                <w:szCs w:val="22"/>
              </w:rPr>
            </w:r>
          </w:p>
        </w:tc>
        <w:tc>
          <w:tcPr>
            <w:tcW w:w="2268" w:type="dxa"/>
            <w:textDirection w:val="lrTb"/>
            <w:noWrap w:val="false"/>
          </w:tcPr>
          <w:p>
            <w:pPr>
              <w:jc w:val="both"/>
              <w:rPr>
                <w:sz w:val="22"/>
                <w:szCs w:val="22"/>
              </w:rPr>
            </w:pPr>
            <w:r>
              <w:rPr>
                <w:sz w:val="22"/>
                <w:szCs w:val="22"/>
              </w:rPr>
              <w:t xml:space="preserve">Протяженность сети в двухтрубном исчислении:</w:t>
            </w:r>
            <w:r>
              <w:rPr>
                <w:sz w:val="22"/>
                <w:szCs w:val="22"/>
              </w:rPr>
            </w:r>
            <w:r>
              <w:rPr>
                <w:sz w:val="22"/>
                <w:szCs w:val="22"/>
              </w:rPr>
            </w:r>
          </w:p>
          <w:p>
            <w:pPr>
              <w:jc w:val="both"/>
              <w:rPr>
                <w:sz w:val="22"/>
                <w:szCs w:val="22"/>
              </w:rPr>
            </w:pPr>
            <w:r>
              <w:rPr>
                <w:sz w:val="22"/>
                <w:szCs w:val="22"/>
              </w:rPr>
              <w:t xml:space="preserve">ЦО – </w:t>
            </w:r>
            <w:r>
              <w:rPr>
                <w:color w:val="000000" w:themeColor="text1"/>
                <w:sz w:val="22"/>
                <w:szCs w:val="22"/>
              </w:rPr>
              <w:t xml:space="preserve">1175 п</w:t>
            </w:r>
            <w:r>
              <w:rPr>
                <w:sz w:val="22"/>
                <w:szCs w:val="22"/>
              </w:rPr>
              <w:t xml:space="preserve">.м.;</w:t>
            </w:r>
            <w:r>
              <w:rPr>
                <w:sz w:val="22"/>
                <w:szCs w:val="22"/>
              </w:rPr>
            </w:r>
            <w:r>
              <w:rPr>
                <w:sz w:val="22"/>
                <w:szCs w:val="22"/>
              </w:rPr>
            </w:r>
          </w:p>
          <w:p>
            <w:pPr>
              <w:jc w:val="both"/>
              <w:rPr>
                <w:sz w:val="22"/>
                <w:szCs w:val="22"/>
              </w:rPr>
            </w:pPr>
            <w:r>
              <w:rPr>
                <w:sz w:val="22"/>
                <w:szCs w:val="22"/>
              </w:rPr>
              <w:t xml:space="preserve">ГВС – 348 п.м.</w:t>
            </w:r>
            <w:r>
              <w:rPr>
                <w:sz w:val="22"/>
                <w:szCs w:val="22"/>
              </w:rPr>
            </w:r>
            <w:r>
              <w:rPr>
                <w:sz w:val="22"/>
                <w:szCs w:val="22"/>
              </w:rPr>
            </w:r>
          </w:p>
          <w:p>
            <w:pPr>
              <w:jc w:val="both"/>
              <w:rPr>
                <w:sz w:val="22"/>
                <w:szCs w:val="22"/>
              </w:rPr>
            </w:pPr>
            <w:r>
              <w:rPr>
                <w:sz w:val="22"/>
                <w:szCs w:val="22"/>
              </w:rPr>
              <w:t xml:space="preserve">Средневзвешенный диаметр:</w:t>
            </w:r>
            <w:r>
              <w:rPr>
                <w:sz w:val="22"/>
                <w:szCs w:val="22"/>
              </w:rPr>
            </w:r>
            <w:r>
              <w:rPr>
                <w:sz w:val="22"/>
                <w:szCs w:val="22"/>
              </w:rPr>
            </w:r>
          </w:p>
          <w:p>
            <w:pPr>
              <w:jc w:val="both"/>
              <w:rPr>
                <w:sz w:val="22"/>
                <w:szCs w:val="22"/>
              </w:rPr>
            </w:pPr>
            <w:r>
              <w:rPr>
                <w:sz w:val="22"/>
                <w:szCs w:val="22"/>
              </w:rPr>
              <w:t xml:space="preserve">ЦО – 138 мм.;</w:t>
            </w:r>
            <w:r>
              <w:rPr>
                <w:sz w:val="22"/>
                <w:szCs w:val="22"/>
              </w:rPr>
            </w:r>
            <w:r>
              <w:rPr>
                <w:sz w:val="22"/>
                <w:szCs w:val="22"/>
              </w:rPr>
            </w:r>
          </w:p>
          <w:p>
            <w:pPr>
              <w:jc w:val="both"/>
              <w:rPr>
                <w:sz w:val="22"/>
                <w:szCs w:val="22"/>
              </w:rPr>
            </w:pPr>
            <w:r>
              <w:rPr>
                <w:sz w:val="22"/>
                <w:szCs w:val="22"/>
              </w:rPr>
              <w:t xml:space="preserve">ГВС – 105 мм.</w:t>
            </w:r>
            <w:r>
              <w:rPr>
                <w:sz w:val="22"/>
                <w:szCs w:val="22"/>
              </w:rPr>
            </w:r>
            <w:r>
              <w:rPr>
                <w:sz w:val="22"/>
                <w:szCs w:val="22"/>
              </w:rPr>
            </w:r>
          </w:p>
          <w:p>
            <w:pPr>
              <w:jc w:val="both"/>
              <w:rPr>
                <w:sz w:val="22"/>
                <w:szCs w:val="22"/>
              </w:rPr>
            </w:pPr>
            <w:r>
              <w:rPr>
                <w:sz w:val="22"/>
                <w:szCs w:val="22"/>
              </w:rPr>
              <w:t xml:space="preserve">Износ:</w:t>
            </w:r>
            <w:r>
              <w:rPr>
                <w:sz w:val="22"/>
                <w:szCs w:val="22"/>
              </w:rPr>
            </w:r>
            <w:r>
              <w:rPr>
                <w:sz w:val="22"/>
                <w:szCs w:val="22"/>
              </w:rPr>
            </w:r>
          </w:p>
          <w:p>
            <w:pPr>
              <w:jc w:val="both"/>
              <w:rPr>
                <w:sz w:val="22"/>
                <w:szCs w:val="22"/>
              </w:rPr>
            </w:pPr>
            <w:r>
              <w:rPr>
                <w:sz w:val="22"/>
                <w:szCs w:val="22"/>
              </w:rPr>
              <w:t xml:space="preserve">ЦО - 21 %;</w:t>
            </w:r>
            <w:r>
              <w:rPr>
                <w:sz w:val="22"/>
                <w:szCs w:val="22"/>
              </w:rPr>
            </w:r>
            <w:r>
              <w:rPr>
                <w:sz w:val="22"/>
                <w:szCs w:val="22"/>
              </w:rPr>
            </w:r>
          </w:p>
          <w:p>
            <w:pPr>
              <w:jc w:val="both"/>
              <w:rPr>
                <w:sz w:val="22"/>
                <w:szCs w:val="22"/>
              </w:rPr>
            </w:pPr>
            <w:r>
              <w:rPr>
                <w:sz w:val="22"/>
                <w:szCs w:val="22"/>
              </w:rPr>
              <w:t xml:space="preserve">ГВС – 27 %.</w:t>
            </w:r>
            <w:r>
              <w:rPr>
                <w:sz w:val="22"/>
                <w:szCs w:val="22"/>
              </w:rPr>
            </w:r>
            <w:r>
              <w:rPr>
                <w:sz w:val="22"/>
                <w:szCs w:val="22"/>
              </w:rPr>
            </w:r>
          </w:p>
          <w:p>
            <w:pPr>
              <w:jc w:val="both"/>
              <w:rPr>
                <w:sz w:val="22"/>
                <w:szCs w:val="22"/>
              </w:rPr>
            </w:pPr>
            <w:r>
              <w:rPr>
                <w:sz w:val="22"/>
                <w:szCs w:val="22"/>
              </w:rPr>
              <w:t xml:space="preserve">Потери тепловой энергии при передаче по сетям – 608 Гкал/год.</w:t>
            </w:r>
            <w:r>
              <w:rPr>
                <w:sz w:val="22"/>
                <w:szCs w:val="22"/>
              </w:rPr>
            </w:r>
            <w:r>
              <w:rPr>
                <w:sz w:val="22"/>
                <w:szCs w:val="22"/>
              </w:rPr>
            </w:r>
          </w:p>
          <w:p>
            <w:pPr>
              <w:jc w:val="both"/>
              <w:rPr>
                <w:color w:val="ff0000"/>
                <w:sz w:val="22"/>
                <w:szCs w:val="22"/>
              </w:rPr>
            </w:pPr>
            <w:r>
              <w:rPr>
                <w:color w:val="ff0000"/>
                <w:sz w:val="22"/>
                <w:szCs w:val="22"/>
              </w:rPr>
            </w:r>
            <w:r>
              <w:rPr>
                <w:color w:val="ff0000"/>
                <w:sz w:val="22"/>
                <w:szCs w:val="22"/>
              </w:rPr>
            </w:r>
            <w:r>
              <w:rPr>
                <w:color w:val="ff0000"/>
                <w:sz w:val="22"/>
                <w:szCs w:val="22"/>
              </w:rPr>
            </w:r>
          </w:p>
        </w:tc>
      </w:tr>
      <w:tr>
        <w:tblPrEx/>
        <w:trPr>
          <w:trHeight w:val="300"/>
        </w:trPr>
        <w:tc>
          <w:tcPr>
            <w:tcW w:w="640" w:type="dxa"/>
            <w:vMerge w:val="continue"/>
            <w:textDirection w:val="lrTb"/>
            <w:noWrap w:val="false"/>
          </w:tcPr>
          <w:p>
            <w:pPr>
              <w:jc w:val="both"/>
              <w:rPr>
                <w:sz w:val="22"/>
                <w:szCs w:val="22"/>
              </w:rPr>
            </w:pPr>
            <w:r>
              <w:rPr>
                <w:sz w:val="22"/>
                <w:szCs w:val="22"/>
              </w:rPr>
            </w:r>
            <w:r>
              <w:rPr>
                <w:sz w:val="22"/>
                <w:szCs w:val="22"/>
              </w:rPr>
            </w:r>
            <w:r>
              <w:rPr>
                <w:sz w:val="22"/>
                <w:szCs w:val="22"/>
              </w:rPr>
            </w:r>
          </w:p>
        </w:tc>
        <w:tc>
          <w:tcPr>
            <w:tcW w:w="4280" w:type="dxa"/>
            <w:vMerge w:val="continue"/>
            <w:textDirection w:val="lrTb"/>
            <w:noWrap w:val="false"/>
          </w:tcPr>
          <w:p>
            <w:pPr>
              <w:jc w:val="both"/>
              <w:rPr>
                <w:b/>
                <w:sz w:val="22"/>
                <w:szCs w:val="22"/>
              </w:rPr>
            </w:pPr>
            <w:r>
              <w:rPr>
                <w:b/>
                <w:sz w:val="22"/>
                <w:szCs w:val="22"/>
              </w:rPr>
            </w:r>
            <w:r>
              <w:rPr>
                <w:b/>
                <w:sz w:val="22"/>
                <w:szCs w:val="22"/>
              </w:rPr>
            </w:r>
            <w:r>
              <w:rPr>
                <w:b/>
                <w:sz w:val="22"/>
                <w:szCs w:val="22"/>
              </w:rPr>
            </w:r>
          </w:p>
        </w:tc>
        <w:tc>
          <w:tcPr>
            <w:gridSpan w:val="2"/>
            <w:tcW w:w="4544" w:type="dxa"/>
            <w:textDirection w:val="lrTb"/>
            <w:noWrap w:val="false"/>
          </w:tcPr>
          <w:p>
            <w:pPr>
              <w:jc w:val="both"/>
              <w:rPr>
                <w:sz w:val="22"/>
                <w:szCs w:val="22"/>
              </w:rPr>
            </w:pPr>
            <w:r>
              <w:rPr>
                <w:sz w:val="22"/>
                <w:szCs w:val="22"/>
              </w:rPr>
              <w:t xml:space="preserve">Планируется заменить:  сеть ЦО – 336 п.м. в однотрубном исчислении; сеть ГВС – 172 п.м. в однотрубном исчислении. </w:t>
            </w:r>
            <w:r>
              <w:rPr>
                <w:sz w:val="22"/>
                <w:szCs w:val="22"/>
              </w:rPr>
            </w:r>
            <w:r>
              <w:rPr>
                <w:sz w:val="22"/>
                <w:szCs w:val="22"/>
              </w:rPr>
            </w:r>
          </w:p>
        </w:tc>
      </w:tr>
      <w:tr>
        <w:tblPrEx/>
        <w:trPr>
          <w:trHeight w:val="3563"/>
        </w:trPr>
        <w:tc>
          <w:tcPr>
            <w:tcW w:w="640" w:type="dxa"/>
            <w:vMerge w:val="restart"/>
            <w:textDirection w:val="lrTb"/>
            <w:noWrap w:val="false"/>
          </w:tcPr>
          <w:p>
            <w:pPr>
              <w:jc w:val="both"/>
              <w:rPr>
                <w:sz w:val="22"/>
                <w:szCs w:val="22"/>
              </w:rPr>
            </w:pPr>
            <w:r>
              <w:rPr>
                <w:sz w:val="22"/>
                <w:szCs w:val="22"/>
              </w:rPr>
              <w:t xml:space="preserve">2.3.</w:t>
            </w:r>
            <w:r>
              <w:rPr>
                <w:sz w:val="22"/>
                <w:szCs w:val="22"/>
              </w:rPr>
            </w:r>
            <w:r>
              <w:rPr>
                <w:sz w:val="22"/>
                <w:szCs w:val="22"/>
              </w:rPr>
            </w:r>
          </w:p>
        </w:tc>
        <w:tc>
          <w:tcPr>
            <w:tcW w:w="4280" w:type="dxa"/>
            <w:vMerge w:val="restart"/>
            <w:textDirection w:val="lrTb"/>
            <w:noWrap w:val="false"/>
          </w:tcPr>
          <w:p>
            <w:pPr>
              <w:jc w:val="both"/>
              <w:rPr>
                <w:sz w:val="22"/>
                <w:szCs w:val="22"/>
              </w:rPr>
            </w:pPr>
            <w:r>
              <w:rPr>
                <w:sz w:val="22"/>
                <w:szCs w:val="22"/>
              </w:rPr>
              <w:t xml:space="preserve">Реконструкция тепловой сети от котельной № 42/138 ул. Новая  н.п. Спутник Печенгский муниципальный округ Мурманской области.  Сеть ЦО по участкам: </w:t>
            </w:r>
            <w:r>
              <w:rPr>
                <w:sz w:val="22"/>
                <w:szCs w:val="22"/>
              </w:rPr>
            </w:r>
            <w:r>
              <w:rPr>
                <w:sz w:val="22"/>
                <w:szCs w:val="22"/>
              </w:rPr>
            </w:r>
          </w:p>
          <w:p>
            <w:pPr>
              <w:jc w:val="both"/>
              <w:rPr>
                <w:sz w:val="22"/>
                <w:szCs w:val="22"/>
              </w:rPr>
            </w:pPr>
            <w:r>
              <w:rPr>
                <w:sz w:val="22"/>
                <w:szCs w:val="22"/>
              </w:rPr>
              <w:t xml:space="preserve">От котельной № 138 до ТК № 2 (возле МКД № 16);  От центральной трассы до точки врезки в МКД № 8 ;  От ТК №2 до МКД № 16; От ТК № 2 до МКД № 19 ; От ТК 2 до ТК № 3 (возле МК</w:t>
            </w:r>
            <w:r>
              <w:rPr>
                <w:sz w:val="22"/>
                <w:szCs w:val="22"/>
              </w:rPr>
              <w:t xml:space="preserve">Д 17) ;  От тк № 3 до МКД № 17;  От ТК 3 до МКД № 21;  От ТК 3 до МКД №  20;  От котельной  № 138 до ТК № 1 (возле КПП);  От ТК № 1 до детского сада № 13;  От центральной трассы до точки врезки в МКД № 18;  От центральной трассы до точки врезки в МКД № 20.</w:t>
            </w:r>
            <w:r>
              <w:rPr>
                <w:sz w:val="22"/>
                <w:szCs w:val="22"/>
              </w:rPr>
            </w:r>
            <w:r>
              <w:rPr>
                <w:sz w:val="22"/>
                <w:szCs w:val="22"/>
              </w:rPr>
            </w:r>
          </w:p>
          <w:p>
            <w:pPr>
              <w:jc w:val="both"/>
              <w:rPr>
                <w:sz w:val="22"/>
                <w:szCs w:val="22"/>
              </w:rPr>
            </w:pPr>
            <w:r>
              <w:rPr>
                <w:sz w:val="22"/>
                <w:szCs w:val="22"/>
              </w:rPr>
              <w:t xml:space="preserve">Сеть ГВС по участкам:  От котельной № </w:t>
            </w:r>
            <w:r>
              <w:rPr>
                <w:sz w:val="22"/>
                <w:szCs w:val="22"/>
              </w:rPr>
              <w:t xml:space="preserve">138 до ТК № 2 (возле МКД № 16);  От ТК №2 до МКД № 16;  От ТК № 2 до МКД № 19;  От ТК 2 до ТК № 3 (возле МКД 17);  От тк № 3 до МКД № 17; От ТК 3 до МКД № 21; От ТК 3 до МКД №  20;  От компенсатора котельной  № 138 до ТК № 1 (возле КПП).</w:t>
            </w:r>
            <w:r>
              <w:rPr>
                <w:sz w:val="22"/>
                <w:szCs w:val="22"/>
              </w:rPr>
            </w:r>
            <w:r>
              <w:rPr>
                <w:sz w:val="22"/>
                <w:szCs w:val="22"/>
              </w:rPr>
            </w:r>
          </w:p>
        </w:tc>
        <w:tc>
          <w:tcPr>
            <w:tcW w:w="2276" w:type="dxa"/>
            <w:textDirection w:val="lrTb"/>
            <w:noWrap w:val="false"/>
          </w:tcPr>
          <w:p>
            <w:pPr>
              <w:jc w:val="both"/>
              <w:rPr>
                <w:sz w:val="22"/>
                <w:szCs w:val="22"/>
              </w:rPr>
            </w:pPr>
            <w:r>
              <w:rPr>
                <w:sz w:val="22"/>
                <w:szCs w:val="22"/>
              </w:rPr>
              <w:t xml:space="preserve">Протяженность сети в двухтрубном исчислении:</w:t>
            </w:r>
            <w:r>
              <w:rPr>
                <w:sz w:val="22"/>
                <w:szCs w:val="22"/>
              </w:rPr>
            </w:r>
            <w:r>
              <w:rPr>
                <w:sz w:val="22"/>
                <w:szCs w:val="22"/>
              </w:rPr>
            </w:r>
          </w:p>
          <w:p>
            <w:pPr>
              <w:jc w:val="both"/>
              <w:rPr>
                <w:sz w:val="22"/>
                <w:szCs w:val="22"/>
              </w:rPr>
            </w:pPr>
            <w:r>
              <w:rPr>
                <w:sz w:val="22"/>
                <w:szCs w:val="22"/>
              </w:rPr>
              <w:t xml:space="preserve">ЦО – 2191 п.м.;</w:t>
            </w:r>
            <w:r>
              <w:rPr>
                <w:sz w:val="22"/>
                <w:szCs w:val="22"/>
              </w:rPr>
            </w:r>
            <w:r>
              <w:rPr>
                <w:sz w:val="22"/>
                <w:szCs w:val="22"/>
              </w:rPr>
            </w:r>
          </w:p>
          <w:p>
            <w:pPr>
              <w:jc w:val="both"/>
              <w:rPr>
                <w:sz w:val="22"/>
                <w:szCs w:val="22"/>
              </w:rPr>
            </w:pPr>
            <w:r>
              <w:rPr>
                <w:sz w:val="22"/>
                <w:szCs w:val="22"/>
              </w:rPr>
              <w:t xml:space="preserve">ГВС – 889 п.м.</w:t>
            </w:r>
            <w:r>
              <w:rPr>
                <w:sz w:val="22"/>
                <w:szCs w:val="22"/>
              </w:rPr>
            </w:r>
            <w:r>
              <w:rPr>
                <w:sz w:val="22"/>
                <w:szCs w:val="22"/>
              </w:rPr>
            </w:r>
          </w:p>
          <w:p>
            <w:pPr>
              <w:jc w:val="both"/>
              <w:rPr>
                <w:sz w:val="22"/>
                <w:szCs w:val="22"/>
              </w:rPr>
            </w:pPr>
            <w:r>
              <w:rPr>
                <w:sz w:val="22"/>
                <w:szCs w:val="22"/>
              </w:rPr>
              <w:t xml:space="preserve">Средневзвешенный диаметр:</w:t>
            </w:r>
            <w:r>
              <w:rPr>
                <w:sz w:val="22"/>
                <w:szCs w:val="22"/>
              </w:rPr>
            </w:r>
            <w:r>
              <w:rPr>
                <w:sz w:val="22"/>
                <w:szCs w:val="22"/>
              </w:rPr>
            </w:r>
          </w:p>
          <w:p>
            <w:pPr>
              <w:jc w:val="both"/>
              <w:rPr>
                <w:sz w:val="22"/>
                <w:szCs w:val="22"/>
              </w:rPr>
            </w:pPr>
            <w:r>
              <w:rPr>
                <w:sz w:val="22"/>
                <w:szCs w:val="22"/>
              </w:rPr>
              <w:t xml:space="preserve">ЦО  – 139 мм.</w:t>
            </w:r>
            <w:r>
              <w:rPr>
                <w:sz w:val="22"/>
                <w:szCs w:val="22"/>
              </w:rPr>
            </w:r>
            <w:r>
              <w:rPr>
                <w:sz w:val="22"/>
                <w:szCs w:val="22"/>
              </w:rPr>
            </w:r>
          </w:p>
          <w:p>
            <w:pPr>
              <w:jc w:val="both"/>
              <w:rPr>
                <w:sz w:val="22"/>
                <w:szCs w:val="22"/>
              </w:rPr>
            </w:pPr>
            <w:r>
              <w:rPr>
                <w:sz w:val="22"/>
                <w:szCs w:val="22"/>
              </w:rPr>
              <w:t xml:space="preserve">ГВС – 139 мм.</w:t>
            </w:r>
            <w:r>
              <w:rPr>
                <w:sz w:val="22"/>
                <w:szCs w:val="22"/>
              </w:rPr>
            </w:r>
            <w:r>
              <w:rPr>
                <w:sz w:val="22"/>
                <w:szCs w:val="22"/>
              </w:rPr>
            </w:r>
          </w:p>
          <w:p>
            <w:pPr>
              <w:jc w:val="both"/>
              <w:rPr>
                <w:sz w:val="22"/>
                <w:szCs w:val="22"/>
              </w:rPr>
            </w:pPr>
            <w:r>
              <w:rPr>
                <w:sz w:val="22"/>
                <w:szCs w:val="22"/>
              </w:rPr>
              <w:t xml:space="preserve">Износ:</w:t>
            </w:r>
            <w:r>
              <w:rPr>
                <w:sz w:val="22"/>
                <w:szCs w:val="22"/>
              </w:rPr>
            </w:r>
            <w:r>
              <w:rPr>
                <w:sz w:val="22"/>
                <w:szCs w:val="22"/>
              </w:rPr>
            </w:r>
          </w:p>
          <w:p>
            <w:pPr>
              <w:jc w:val="both"/>
              <w:rPr>
                <w:sz w:val="22"/>
                <w:szCs w:val="22"/>
              </w:rPr>
            </w:pPr>
            <w:r>
              <w:rPr>
                <w:sz w:val="22"/>
                <w:szCs w:val="22"/>
              </w:rPr>
              <w:t xml:space="preserve">ЦО  - 47 %; </w:t>
            </w:r>
            <w:r>
              <w:rPr>
                <w:sz w:val="22"/>
                <w:szCs w:val="22"/>
              </w:rPr>
            </w:r>
            <w:r>
              <w:rPr>
                <w:sz w:val="22"/>
                <w:szCs w:val="22"/>
              </w:rPr>
            </w:r>
          </w:p>
          <w:p>
            <w:pPr>
              <w:jc w:val="both"/>
              <w:rPr>
                <w:sz w:val="22"/>
                <w:szCs w:val="22"/>
              </w:rPr>
            </w:pPr>
            <w:r>
              <w:rPr>
                <w:sz w:val="22"/>
                <w:szCs w:val="22"/>
              </w:rPr>
              <w:t xml:space="preserve">ГВС – 47 %.</w:t>
            </w:r>
            <w:r>
              <w:rPr>
                <w:sz w:val="22"/>
                <w:szCs w:val="22"/>
              </w:rPr>
            </w:r>
            <w:r>
              <w:rPr>
                <w:sz w:val="22"/>
                <w:szCs w:val="22"/>
              </w:rPr>
            </w:r>
          </w:p>
          <w:p>
            <w:pPr>
              <w:jc w:val="both"/>
              <w:rPr>
                <w:sz w:val="22"/>
                <w:szCs w:val="22"/>
              </w:rPr>
            </w:pPr>
            <w:r>
              <w:rPr>
                <w:sz w:val="22"/>
                <w:szCs w:val="22"/>
              </w:rPr>
              <w:t xml:space="preserve">Потери тепловой энергии при передаче по сетям – </w:t>
            </w:r>
            <w:r>
              <w:rPr>
                <w:sz w:val="22"/>
                <w:szCs w:val="22"/>
              </w:rPr>
            </w:r>
            <w:r>
              <w:rPr>
                <w:sz w:val="22"/>
                <w:szCs w:val="22"/>
              </w:rPr>
            </w:r>
          </w:p>
          <w:p>
            <w:pPr>
              <w:jc w:val="both"/>
              <w:rPr>
                <w:sz w:val="22"/>
                <w:szCs w:val="22"/>
              </w:rPr>
            </w:pPr>
            <w:r>
              <w:rPr>
                <w:sz w:val="22"/>
                <w:szCs w:val="22"/>
              </w:rPr>
              <w:t xml:space="preserve">2318 Гкал/год.</w:t>
            </w:r>
            <w:r>
              <w:rPr>
                <w:sz w:val="22"/>
                <w:szCs w:val="22"/>
              </w:rPr>
            </w:r>
            <w:r>
              <w:rPr>
                <w:sz w:val="22"/>
                <w:szCs w:val="22"/>
              </w:rPr>
            </w:r>
          </w:p>
        </w:tc>
        <w:tc>
          <w:tcPr>
            <w:tcW w:w="2268" w:type="dxa"/>
            <w:textDirection w:val="lrTb"/>
            <w:noWrap w:val="false"/>
          </w:tcPr>
          <w:p>
            <w:pPr>
              <w:jc w:val="both"/>
              <w:rPr>
                <w:sz w:val="22"/>
                <w:szCs w:val="22"/>
              </w:rPr>
            </w:pPr>
            <w:r>
              <w:rPr>
                <w:sz w:val="22"/>
                <w:szCs w:val="22"/>
              </w:rPr>
              <w:t xml:space="preserve">Протяженность сети в двухтрубном исчислении:</w:t>
            </w:r>
            <w:r>
              <w:rPr>
                <w:sz w:val="22"/>
                <w:szCs w:val="22"/>
              </w:rPr>
            </w:r>
            <w:r>
              <w:rPr>
                <w:sz w:val="22"/>
                <w:szCs w:val="22"/>
              </w:rPr>
            </w:r>
          </w:p>
          <w:p>
            <w:pPr>
              <w:jc w:val="both"/>
              <w:rPr>
                <w:sz w:val="22"/>
                <w:szCs w:val="22"/>
              </w:rPr>
            </w:pPr>
            <w:r>
              <w:rPr>
                <w:sz w:val="22"/>
                <w:szCs w:val="22"/>
              </w:rPr>
              <w:t xml:space="preserve"> ЦО –2191</w:t>
            </w:r>
            <w:r>
              <w:rPr>
                <w:color w:val="000000" w:themeColor="text1"/>
                <w:sz w:val="22"/>
                <w:szCs w:val="22"/>
              </w:rPr>
              <w:t xml:space="preserve"> п</w:t>
            </w:r>
            <w:r>
              <w:rPr>
                <w:sz w:val="22"/>
                <w:szCs w:val="22"/>
              </w:rPr>
              <w:t xml:space="preserve">.м.</w:t>
            </w:r>
            <w:r>
              <w:rPr>
                <w:sz w:val="22"/>
                <w:szCs w:val="22"/>
              </w:rPr>
            </w:r>
            <w:r>
              <w:rPr>
                <w:sz w:val="22"/>
                <w:szCs w:val="22"/>
              </w:rPr>
            </w:r>
          </w:p>
          <w:p>
            <w:pPr>
              <w:jc w:val="both"/>
              <w:rPr>
                <w:sz w:val="22"/>
                <w:szCs w:val="22"/>
              </w:rPr>
            </w:pPr>
            <w:r>
              <w:rPr>
                <w:sz w:val="22"/>
                <w:szCs w:val="22"/>
              </w:rPr>
              <w:t xml:space="preserve">ГВС – 889 п.м.</w:t>
            </w:r>
            <w:r>
              <w:rPr>
                <w:sz w:val="22"/>
                <w:szCs w:val="22"/>
              </w:rPr>
            </w:r>
            <w:r>
              <w:rPr>
                <w:sz w:val="22"/>
                <w:szCs w:val="22"/>
              </w:rPr>
            </w:r>
          </w:p>
          <w:p>
            <w:pPr>
              <w:jc w:val="both"/>
              <w:rPr>
                <w:sz w:val="22"/>
                <w:szCs w:val="22"/>
              </w:rPr>
            </w:pPr>
            <w:r>
              <w:rPr>
                <w:sz w:val="22"/>
                <w:szCs w:val="22"/>
              </w:rPr>
              <w:t xml:space="preserve">Средневзвешенный диаметр:</w:t>
            </w:r>
            <w:r>
              <w:rPr>
                <w:sz w:val="22"/>
                <w:szCs w:val="22"/>
              </w:rPr>
            </w:r>
            <w:r>
              <w:rPr>
                <w:sz w:val="22"/>
                <w:szCs w:val="22"/>
              </w:rPr>
            </w:r>
          </w:p>
          <w:p>
            <w:pPr>
              <w:jc w:val="both"/>
              <w:rPr>
                <w:sz w:val="22"/>
                <w:szCs w:val="22"/>
              </w:rPr>
            </w:pPr>
            <w:r>
              <w:rPr>
                <w:sz w:val="22"/>
                <w:szCs w:val="22"/>
              </w:rPr>
              <w:t xml:space="preserve">ЦО – 139</w:t>
            </w:r>
            <w:r>
              <w:rPr>
                <w:color w:val="ff0000"/>
                <w:sz w:val="22"/>
                <w:szCs w:val="22"/>
              </w:rPr>
              <w:t xml:space="preserve"> </w:t>
            </w:r>
            <w:r>
              <w:rPr>
                <w:sz w:val="22"/>
                <w:szCs w:val="22"/>
              </w:rPr>
              <w:t xml:space="preserve">мм.</w:t>
            </w:r>
            <w:r>
              <w:rPr>
                <w:sz w:val="22"/>
                <w:szCs w:val="22"/>
              </w:rPr>
            </w:r>
            <w:r>
              <w:rPr>
                <w:sz w:val="22"/>
                <w:szCs w:val="22"/>
              </w:rPr>
            </w:r>
          </w:p>
          <w:p>
            <w:pPr>
              <w:jc w:val="both"/>
              <w:rPr>
                <w:sz w:val="22"/>
                <w:szCs w:val="22"/>
              </w:rPr>
            </w:pPr>
            <w:r>
              <w:rPr>
                <w:sz w:val="22"/>
                <w:szCs w:val="22"/>
              </w:rPr>
              <w:t xml:space="preserve">ГВС – 139 мм.</w:t>
            </w:r>
            <w:r>
              <w:rPr>
                <w:sz w:val="22"/>
                <w:szCs w:val="22"/>
              </w:rPr>
            </w:r>
            <w:r>
              <w:rPr>
                <w:sz w:val="22"/>
                <w:szCs w:val="22"/>
              </w:rPr>
            </w:r>
          </w:p>
          <w:p>
            <w:pPr>
              <w:jc w:val="both"/>
              <w:rPr>
                <w:sz w:val="22"/>
                <w:szCs w:val="22"/>
              </w:rPr>
            </w:pPr>
            <w:r>
              <w:rPr>
                <w:sz w:val="22"/>
                <w:szCs w:val="22"/>
              </w:rPr>
              <w:t xml:space="preserve">Износ:</w:t>
            </w:r>
            <w:r>
              <w:rPr>
                <w:sz w:val="22"/>
                <w:szCs w:val="22"/>
              </w:rPr>
            </w:r>
            <w:r>
              <w:rPr>
                <w:sz w:val="22"/>
                <w:szCs w:val="22"/>
              </w:rPr>
            </w:r>
          </w:p>
          <w:p>
            <w:pPr>
              <w:jc w:val="both"/>
              <w:rPr>
                <w:sz w:val="22"/>
                <w:szCs w:val="22"/>
              </w:rPr>
            </w:pPr>
            <w:r>
              <w:rPr>
                <w:sz w:val="22"/>
                <w:szCs w:val="22"/>
              </w:rPr>
              <w:t xml:space="preserve">ЦО - 31 %.</w:t>
            </w:r>
            <w:r>
              <w:rPr>
                <w:sz w:val="22"/>
                <w:szCs w:val="22"/>
              </w:rPr>
            </w:r>
            <w:r>
              <w:rPr>
                <w:sz w:val="22"/>
                <w:szCs w:val="22"/>
              </w:rPr>
            </w:r>
          </w:p>
          <w:p>
            <w:pPr>
              <w:jc w:val="both"/>
              <w:rPr>
                <w:sz w:val="22"/>
                <w:szCs w:val="22"/>
              </w:rPr>
            </w:pPr>
            <w:r>
              <w:rPr>
                <w:sz w:val="22"/>
                <w:szCs w:val="22"/>
              </w:rPr>
              <w:t xml:space="preserve">ГВС – 7 %.</w:t>
            </w:r>
            <w:r>
              <w:rPr>
                <w:sz w:val="22"/>
                <w:szCs w:val="22"/>
              </w:rPr>
            </w:r>
            <w:r>
              <w:rPr>
                <w:sz w:val="22"/>
                <w:szCs w:val="22"/>
              </w:rPr>
            </w:r>
          </w:p>
          <w:p>
            <w:pPr>
              <w:jc w:val="both"/>
              <w:rPr>
                <w:sz w:val="22"/>
                <w:szCs w:val="22"/>
              </w:rPr>
            </w:pPr>
            <w:r>
              <w:rPr>
                <w:sz w:val="22"/>
                <w:szCs w:val="22"/>
              </w:rPr>
              <w:t xml:space="preserve">Потери тепловой энергии при передаче по сетям –</w:t>
            </w:r>
            <w:r>
              <w:rPr>
                <w:sz w:val="22"/>
                <w:szCs w:val="22"/>
              </w:rPr>
            </w:r>
            <w:r>
              <w:rPr>
                <w:sz w:val="22"/>
                <w:szCs w:val="22"/>
              </w:rPr>
            </w:r>
          </w:p>
          <w:p>
            <w:pPr>
              <w:jc w:val="both"/>
              <w:rPr>
                <w:sz w:val="22"/>
                <w:szCs w:val="22"/>
              </w:rPr>
            </w:pPr>
            <w:r>
              <w:rPr>
                <w:sz w:val="22"/>
                <w:szCs w:val="22"/>
              </w:rPr>
              <w:t xml:space="preserve">1189 Гкал/год.</w:t>
            </w:r>
            <w:r>
              <w:rPr>
                <w:sz w:val="22"/>
                <w:szCs w:val="22"/>
              </w:rPr>
            </w:r>
            <w:r>
              <w:rPr>
                <w:sz w:val="22"/>
                <w:szCs w:val="22"/>
              </w:rPr>
            </w:r>
          </w:p>
        </w:tc>
      </w:tr>
      <w:tr>
        <w:tblPrEx/>
        <w:trPr>
          <w:trHeight w:val="300"/>
        </w:trPr>
        <w:tc>
          <w:tcPr>
            <w:tcW w:w="640" w:type="dxa"/>
            <w:vMerge w:val="continue"/>
            <w:textDirection w:val="lrTb"/>
            <w:noWrap w:val="false"/>
          </w:tcPr>
          <w:p>
            <w:pPr>
              <w:jc w:val="both"/>
              <w:rPr>
                <w:sz w:val="22"/>
                <w:szCs w:val="22"/>
              </w:rPr>
            </w:pPr>
            <w:r>
              <w:rPr>
                <w:sz w:val="22"/>
                <w:szCs w:val="22"/>
              </w:rPr>
            </w:r>
            <w:r>
              <w:rPr>
                <w:sz w:val="22"/>
                <w:szCs w:val="22"/>
              </w:rPr>
            </w:r>
            <w:r>
              <w:rPr>
                <w:sz w:val="22"/>
                <w:szCs w:val="22"/>
              </w:rPr>
            </w:r>
          </w:p>
        </w:tc>
        <w:tc>
          <w:tcPr>
            <w:tcW w:w="4280" w:type="dxa"/>
            <w:vMerge w:val="continue"/>
            <w:textDirection w:val="lrTb"/>
            <w:noWrap w:val="false"/>
          </w:tcPr>
          <w:p>
            <w:pPr>
              <w:jc w:val="both"/>
              <w:rPr>
                <w:sz w:val="22"/>
                <w:szCs w:val="22"/>
              </w:rPr>
            </w:pPr>
            <w:r>
              <w:rPr>
                <w:sz w:val="22"/>
                <w:szCs w:val="22"/>
              </w:rPr>
            </w:r>
            <w:r>
              <w:rPr>
                <w:sz w:val="22"/>
                <w:szCs w:val="22"/>
              </w:rPr>
            </w:r>
            <w:r>
              <w:rPr>
                <w:sz w:val="22"/>
                <w:szCs w:val="22"/>
              </w:rPr>
            </w:r>
          </w:p>
        </w:tc>
        <w:tc>
          <w:tcPr>
            <w:gridSpan w:val="2"/>
            <w:tcW w:w="4544" w:type="dxa"/>
            <w:textDirection w:val="lrTb"/>
            <w:noWrap w:val="false"/>
          </w:tcPr>
          <w:p>
            <w:pPr>
              <w:jc w:val="both"/>
              <w:rPr>
                <w:sz w:val="22"/>
                <w:szCs w:val="22"/>
              </w:rPr>
            </w:pPr>
            <w:r>
              <w:rPr>
                <w:sz w:val="22"/>
                <w:szCs w:val="22"/>
              </w:rPr>
              <w:t xml:space="preserve">Планируется заменить:  сеть ЦО – 2078 п.м. в однотрубном исчислении; сеть ГВС – 1778 </w:t>
            </w:r>
            <w:r>
              <w:rPr>
                <w:sz w:val="22"/>
                <w:szCs w:val="22"/>
              </w:rPr>
              <w:t xml:space="preserve">п.м. в однотрубном исчислении.</w:t>
            </w:r>
            <w:r>
              <w:rPr>
                <w:sz w:val="22"/>
                <w:szCs w:val="22"/>
              </w:rPr>
            </w:r>
            <w:r>
              <w:rPr>
                <w:sz w:val="22"/>
                <w:szCs w:val="22"/>
              </w:rPr>
            </w:r>
          </w:p>
        </w:tc>
      </w:tr>
      <w:tr>
        <w:tblPrEx/>
        <w:trPr>
          <w:trHeight w:val="300"/>
        </w:trPr>
        <w:tc>
          <w:tcPr>
            <w:tcW w:w="640" w:type="dxa"/>
            <w:vMerge w:val="restart"/>
            <w:textDirection w:val="lrTb"/>
            <w:noWrap w:val="false"/>
          </w:tcPr>
          <w:p>
            <w:pPr>
              <w:jc w:val="both"/>
              <w:rPr>
                <w:sz w:val="22"/>
                <w:szCs w:val="22"/>
              </w:rPr>
            </w:pPr>
            <w:r>
              <w:rPr>
                <w:sz w:val="22"/>
                <w:szCs w:val="22"/>
              </w:rPr>
              <w:t xml:space="preserve">2.4.</w:t>
            </w:r>
            <w:r>
              <w:rPr>
                <w:sz w:val="22"/>
                <w:szCs w:val="22"/>
              </w:rPr>
            </w:r>
            <w:r>
              <w:rPr>
                <w:sz w:val="22"/>
                <w:szCs w:val="22"/>
              </w:rPr>
            </w:r>
          </w:p>
        </w:tc>
        <w:tc>
          <w:tcPr>
            <w:tcW w:w="4280" w:type="dxa"/>
            <w:vMerge w:val="restart"/>
            <w:textDirection w:val="lrTb"/>
            <w:noWrap w:val="false"/>
          </w:tcPr>
          <w:p>
            <w:pPr>
              <w:jc w:val="both"/>
              <w:rPr>
                <w:sz w:val="22"/>
                <w:szCs w:val="22"/>
              </w:rPr>
            </w:pPr>
            <w:r>
              <w:rPr>
                <w:sz w:val="22"/>
                <w:szCs w:val="22"/>
              </w:rPr>
              <w:t xml:space="preserve">Реконструкция тепловой сети котельной № 13/55 п.г.т. Печенга Печенгский муниципальный округ Мурманской области. Сеть ЦО по участкам:  От ТК в районе коте</w:t>
            </w:r>
            <w:r>
              <w:rPr>
                <w:sz w:val="22"/>
                <w:szCs w:val="22"/>
              </w:rPr>
              <w:t xml:space="preserve">льной № 13/55 до угла МКД № 10;  От МКД  № 10 до МКД № 6 через МКД № 12 и МКД № 11;  Ответвления от МКД № 10 до МКД № 8, от МКД № 12 до МКД № 7; от МКД № 11 до МКД № 6;  От угла МКД № 11 до Дома офицеров; От угла МКД № 11 до МКД № 4; От МКД № 4 до МКД № 3.</w:t>
            </w:r>
            <w:r>
              <w:rPr>
                <w:sz w:val="22"/>
                <w:szCs w:val="22"/>
              </w:rPr>
            </w:r>
            <w:r>
              <w:rPr>
                <w:sz w:val="22"/>
                <w:szCs w:val="22"/>
              </w:rPr>
            </w:r>
          </w:p>
        </w:tc>
        <w:tc>
          <w:tcPr>
            <w:tcW w:w="2276" w:type="dxa"/>
            <w:textDirection w:val="lrTb"/>
            <w:noWrap w:val="false"/>
          </w:tcPr>
          <w:p>
            <w:pPr>
              <w:jc w:val="both"/>
              <w:rPr>
                <w:sz w:val="22"/>
                <w:szCs w:val="22"/>
              </w:rPr>
            </w:pPr>
            <w:r>
              <w:rPr>
                <w:sz w:val="22"/>
                <w:szCs w:val="22"/>
              </w:rPr>
              <w:t xml:space="preserve">Протяженность сети в двухтрубном исчислении – 648 п.м.</w:t>
            </w:r>
            <w:r>
              <w:rPr>
                <w:sz w:val="22"/>
                <w:szCs w:val="22"/>
              </w:rPr>
            </w:r>
            <w:r>
              <w:rPr>
                <w:sz w:val="22"/>
                <w:szCs w:val="22"/>
              </w:rPr>
            </w:r>
          </w:p>
          <w:p>
            <w:pPr>
              <w:jc w:val="both"/>
              <w:rPr>
                <w:sz w:val="22"/>
                <w:szCs w:val="22"/>
              </w:rPr>
            </w:pPr>
            <w:r>
              <w:rPr>
                <w:sz w:val="22"/>
                <w:szCs w:val="22"/>
              </w:rPr>
              <w:t xml:space="preserve">Средневзвешенный диаметр – 143,3 мм.</w:t>
            </w:r>
            <w:r>
              <w:rPr>
                <w:sz w:val="22"/>
                <w:szCs w:val="22"/>
              </w:rPr>
            </w:r>
            <w:r>
              <w:rPr>
                <w:sz w:val="22"/>
                <w:szCs w:val="22"/>
              </w:rPr>
            </w:r>
          </w:p>
          <w:p>
            <w:pPr>
              <w:jc w:val="both"/>
              <w:rPr>
                <w:sz w:val="22"/>
                <w:szCs w:val="22"/>
              </w:rPr>
            </w:pPr>
            <w:r>
              <w:rPr>
                <w:sz w:val="22"/>
                <w:szCs w:val="22"/>
              </w:rPr>
              <w:t xml:space="preserve">Износ - 62 %. Потери тепловой энергии при передаче по сетям – 467 Гкал/год.</w:t>
            </w:r>
            <w:r>
              <w:rPr>
                <w:sz w:val="22"/>
                <w:szCs w:val="22"/>
              </w:rPr>
            </w:r>
            <w:r>
              <w:rPr>
                <w:sz w:val="22"/>
                <w:szCs w:val="22"/>
              </w:rPr>
            </w:r>
          </w:p>
          <w:p>
            <w:pPr>
              <w:jc w:val="both"/>
              <w:rPr>
                <w:sz w:val="22"/>
                <w:szCs w:val="22"/>
              </w:rPr>
            </w:pPr>
            <w:r>
              <w:rPr>
                <w:sz w:val="22"/>
                <w:szCs w:val="22"/>
              </w:rPr>
            </w:r>
            <w:r>
              <w:rPr>
                <w:sz w:val="22"/>
                <w:szCs w:val="22"/>
              </w:rPr>
            </w:r>
            <w:r>
              <w:rPr>
                <w:sz w:val="22"/>
                <w:szCs w:val="22"/>
              </w:rPr>
            </w:r>
          </w:p>
        </w:tc>
        <w:tc>
          <w:tcPr>
            <w:tcW w:w="2268" w:type="dxa"/>
            <w:textDirection w:val="lrTb"/>
            <w:noWrap w:val="false"/>
          </w:tcPr>
          <w:p>
            <w:pPr>
              <w:jc w:val="both"/>
              <w:rPr>
                <w:sz w:val="22"/>
                <w:szCs w:val="22"/>
              </w:rPr>
            </w:pPr>
            <w:r>
              <w:rPr>
                <w:sz w:val="22"/>
                <w:szCs w:val="22"/>
              </w:rPr>
              <w:t xml:space="preserve">Протяженность сети в двухтрубном исчислении –677,1</w:t>
            </w:r>
            <w:r>
              <w:rPr>
                <w:color w:val="000000" w:themeColor="text1"/>
                <w:sz w:val="22"/>
                <w:szCs w:val="22"/>
              </w:rPr>
              <w:t xml:space="preserve"> п</w:t>
            </w:r>
            <w:r>
              <w:rPr>
                <w:sz w:val="22"/>
                <w:szCs w:val="22"/>
              </w:rPr>
              <w:t xml:space="preserve">.м.</w:t>
            </w:r>
            <w:r>
              <w:rPr>
                <w:sz w:val="22"/>
                <w:szCs w:val="22"/>
              </w:rPr>
            </w:r>
            <w:r>
              <w:rPr>
                <w:sz w:val="22"/>
                <w:szCs w:val="22"/>
              </w:rPr>
            </w:r>
          </w:p>
          <w:p>
            <w:pPr>
              <w:jc w:val="both"/>
              <w:rPr>
                <w:sz w:val="22"/>
                <w:szCs w:val="22"/>
              </w:rPr>
            </w:pPr>
            <w:r>
              <w:rPr>
                <w:sz w:val="22"/>
                <w:szCs w:val="22"/>
              </w:rPr>
              <w:t xml:space="preserve">Средневзвешенный диаметр – 148,6</w:t>
            </w:r>
            <w:r>
              <w:rPr>
                <w:color w:val="ff0000"/>
                <w:sz w:val="22"/>
                <w:szCs w:val="22"/>
              </w:rPr>
              <w:t xml:space="preserve"> </w:t>
            </w:r>
            <w:r>
              <w:rPr>
                <w:sz w:val="22"/>
                <w:szCs w:val="22"/>
              </w:rPr>
              <w:t xml:space="preserve">мм.</w:t>
            </w:r>
            <w:r>
              <w:rPr>
                <w:sz w:val="22"/>
                <w:szCs w:val="22"/>
              </w:rPr>
            </w:r>
            <w:r>
              <w:rPr>
                <w:sz w:val="22"/>
                <w:szCs w:val="22"/>
              </w:rPr>
            </w:r>
          </w:p>
          <w:p>
            <w:pPr>
              <w:jc w:val="both"/>
              <w:rPr>
                <w:sz w:val="22"/>
                <w:szCs w:val="22"/>
              </w:rPr>
            </w:pPr>
            <w:r>
              <w:rPr>
                <w:sz w:val="22"/>
                <w:szCs w:val="22"/>
              </w:rPr>
              <w:t xml:space="preserve">Износ - 7 %.</w:t>
            </w:r>
            <w:r>
              <w:rPr>
                <w:sz w:val="22"/>
                <w:szCs w:val="22"/>
              </w:rPr>
            </w:r>
            <w:r>
              <w:rPr>
                <w:sz w:val="22"/>
                <w:szCs w:val="22"/>
              </w:rPr>
            </w:r>
          </w:p>
          <w:p>
            <w:pPr>
              <w:jc w:val="both"/>
              <w:rPr>
                <w:sz w:val="22"/>
                <w:szCs w:val="22"/>
              </w:rPr>
            </w:pPr>
            <w:r>
              <w:rPr>
                <w:sz w:val="22"/>
                <w:szCs w:val="22"/>
              </w:rPr>
              <w:t xml:space="preserve">Потери тепловой энергии при передаче по сетям – 259 Гкал/год.</w:t>
            </w:r>
            <w:r>
              <w:rPr>
                <w:sz w:val="22"/>
                <w:szCs w:val="22"/>
              </w:rPr>
            </w:r>
            <w:r>
              <w:rPr>
                <w:sz w:val="22"/>
                <w:szCs w:val="22"/>
              </w:rPr>
            </w:r>
          </w:p>
        </w:tc>
      </w:tr>
      <w:tr>
        <w:tblPrEx/>
        <w:trPr>
          <w:trHeight w:val="300"/>
        </w:trPr>
        <w:tc>
          <w:tcPr>
            <w:tcW w:w="640" w:type="dxa"/>
            <w:vMerge w:val="continue"/>
            <w:textDirection w:val="lrTb"/>
            <w:noWrap w:val="false"/>
          </w:tcPr>
          <w:p>
            <w:pPr>
              <w:jc w:val="both"/>
              <w:rPr>
                <w:sz w:val="22"/>
                <w:szCs w:val="22"/>
              </w:rPr>
            </w:pPr>
            <w:r>
              <w:rPr>
                <w:sz w:val="22"/>
                <w:szCs w:val="22"/>
              </w:rPr>
            </w:r>
            <w:r>
              <w:rPr>
                <w:sz w:val="22"/>
                <w:szCs w:val="22"/>
              </w:rPr>
            </w:r>
            <w:r>
              <w:rPr>
                <w:sz w:val="22"/>
                <w:szCs w:val="22"/>
              </w:rPr>
            </w:r>
          </w:p>
        </w:tc>
        <w:tc>
          <w:tcPr>
            <w:tcW w:w="4280" w:type="dxa"/>
            <w:vMerge w:val="continue"/>
            <w:textDirection w:val="lrTb"/>
            <w:noWrap w:val="false"/>
          </w:tcPr>
          <w:p>
            <w:pPr>
              <w:jc w:val="both"/>
              <w:rPr>
                <w:sz w:val="22"/>
                <w:szCs w:val="22"/>
              </w:rPr>
            </w:pPr>
            <w:r>
              <w:rPr>
                <w:sz w:val="22"/>
                <w:szCs w:val="22"/>
              </w:rPr>
            </w:r>
            <w:r>
              <w:rPr>
                <w:sz w:val="22"/>
                <w:szCs w:val="22"/>
              </w:rPr>
            </w:r>
            <w:r>
              <w:rPr>
                <w:sz w:val="22"/>
                <w:szCs w:val="22"/>
              </w:rPr>
            </w:r>
          </w:p>
        </w:tc>
        <w:tc>
          <w:tcPr>
            <w:gridSpan w:val="2"/>
            <w:tcW w:w="4544" w:type="dxa"/>
            <w:textDirection w:val="lrTb"/>
            <w:noWrap w:val="false"/>
          </w:tcPr>
          <w:p>
            <w:pPr>
              <w:jc w:val="both"/>
              <w:rPr>
                <w:sz w:val="22"/>
                <w:szCs w:val="22"/>
              </w:rPr>
            </w:pPr>
            <w:r>
              <w:rPr>
                <w:sz w:val="22"/>
                <w:szCs w:val="22"/>
              </w:rPr>
              <w:t xml:space="preserve">Планируется заменить:  сеть ЦО – 1354 п.м. в однотрубном исчислении.</w:t>
            </w:r>
            <w:r>
              <w:rPr>
                <w:sz w:val="22"/>
                <w:szCs w:val="22"/>
              </w:rPr>
            </w:r>
            <w:r>
              <w:rPr>
                <w:sz w:val="22"/>
                <w:szCs w:val="22"/>
              </w:rPr>
            </w:r>
          </w:p>
        </w:tc>
      </w:tr>
    </w:tbl>
    <w:p>
      <w:pPr>
        <w:ind w:firstLine="680"/>
        <w:jc w:val="both"/>
        <w:rPr>
          <w:sz w:val="24"/>
          <w:szCs w:val="24"/>
        </w:rPr>
      </w:pPr>
      <w:r>
        <w:rPr>
          <w:sz w:val="24"/>
          <w:szCs w:val="24"/>
        </w:rPr>
      </w:r>
      <w:r>
        <w:rPr>
          <w:sz w:val="24"/>
          <w:szCs w:val="24"/>
        </w:rPr>
      </w:r>
      <w:r>
        <w:rPr>
          <w:sz w:val="24"/>
          <w:szCs w:val="24"/>
        </w:rPr>
      </w:r>
    </w:p>
    <w:tbl>
      <w:tblPr>
        <w:tblStyle w:val="937"/>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188"/>
        <w:gridCol w:w="3188"/>
        <w:gridCol w:w="3188"/>
      </w:tblGrid>
      <w:tr>
        <w:tblPrEx/>
        <w:trPr/>
        <w:tc>
          <w:tcPr>
            <w:tcW w:w="5211" w:type="dxa"/>
            <w:textDirection w:val="lrTb"/>
            <w:noWrap w:val="false"/>
          </w:tcPr>
          <w:p>
            <w:pPr>
              <w:jc w:val="both"/>
              <w:rPr>
                <w:b/>
                <w:sz w:val="24"/>
                <w:szCs w:val="24"/>
              </w:rPr>
            </w:pPr>
            <w:r>
              <w:rPr>
                <w:b/>
                <w:sz w:val="24"/>
                <w:szCs w:val="24"/>
              </w:rPr>
              <w:t xml:space="preserve">Концедент</w:t>
            </w:r>
            <w:r>
              <w:rPr>
                <w:b/>
                <w:sz w:val="24"/>
                <w:szCs w:val="24"/>
              </w:rPr>
            </w:r>
            <w:r>
              <w:rPr>
                <w:b/>
                <w:sz w:val="24"/>
                <w:szCs w:val="24"/>
              </w:rPr>
            </w:r>
          </w:p>
        </w:tc>
        <w:tc>
          <w:tcPr>
            <w:tcW w:w="5954" w:type="dxa"/>
            <w:textDirection w:val="lrTb"/>
            <w:noWrap w:val="false"/>
          </w:tcPr>
          <w:p>
            <w:pPr>
              <w:jc w:val="both"/>
              <w:rPr>
                <w:b/>
                <w:sz w:val="24"/>
                <w:szCs w:val="24"/>
              </w:rPr>
            </w:pPr>
            <w:r>
              <w:rPr>
                <w:b/>
                <w:sz w:val="24"/>
                <w:szCs w:val="24"/>
              </w:rPr>
              <w:t xml:space="preserve">Концессионер</w:t>
            </w:r>
            <w:r>
              <w:rPr>
                <w:b/>
                <w:sz w:val="24"/>
                <w:szCs w:val="24"/>
              </w:rPr>
            </w:r>
            <w:r>
              <w:rPr>
                <w:b/>
                <w:sz w:val="24"/>
                <w:szCs w:val="24"/>
              </w:rPr>
            </w:r>
          </w:p>
        </w:tc>
        <w:tc>
          <w:tcPr>
            <w:tcW w:w="4394" w:type="dxa"/>
            <w:textDirection w:val="lrTb"/>
            <w:noWrap w:val="false"/>
          </w:tcPr>
          <w:p>
            <w:pPr>
              <w:jc w:val="both"/>
              <w:rPr>
                <w:b/>
                <w:sz w:val="24"/>
                <w:szCs w:val="24"/>
              </w:rPr>
            </w:pPr>
            <w:r>
              <w:rPr>
                <w:b/>
                <w:sz w:val="24"/>
                <w:szCs w:val="24"/>
              </w:rPr>
              <w:t xml:space="preserve">Субъект</w:t>
            </w:r>
            <w:r>
              <w:rPr>
                <w:b/>
                <w:sz w:val="24"/>
                <w:szCs w:val="24"/>
              </w:rPr>
            </w:r>
            <w:r>
              <w:rPr>
                <w:b/>
                <w:sz w:val="24"/>
                <w:szCs w:val="24"/>
              </w:rPr>
            </w:r>
          </w:p>
        </w:tc>
      </w:tr>
      <w:tr>
        <w:tblPrEx/>
        <w:trPr/>
        <w:tc>
          <w:tcPr>
            <w:tcW w:w="5211" w:type="dxa"/>
            <w:textDirection w:val="lrTb"/>
            <w:noWrap w:val="false"/>
          </w:tcPr>
          <w:p>
            <w:pPr>
              <w:jc w:val="both"/>
              <w:rPr>
                <w:b/>
                <w:sz w:val="24"/>
                <w:szCs w:val="24"/>
              </w:rPr>
            </w:pPr>
            <w:r>
              <w:rPr>
                <w:b/>
                <w:sz w:val="24"/>
                <w:szCs w:val="24"/>
              </w:rPr>
              <w:t xml:space="preserve">Муниципальное образование Печенгский муниципальный округ Мурманской области</w:t>
            </w:r>
            <w:r>
              <w:rPr>
                <w:b/>
                <w:sz w:val="24"/>
                <w:szCs w:val="24"/>
              </w:rPr>
            </w:r>
            <w:r>
              <w:rPr>
                <w:b/>
                <w:sz w:val="24"/>
                <w:szCs w:val="24"/>
              </w:rPr>
            </w:r>
          </w:p>
        </w:tc>
        <w:tc>
          <w:tcPr>
            <w:tcW w:w="5954" w:type="dxa"/>
            <w:textDirection w:val="lrTb"/>
            <w:noWrap w:val="false"/>
          </w:tcPr>
          <w:p>
            <w:pPr>
              <w:jc w:val="both"/>
              <w:rPr>
                <w:b/>
                <w:sz w:val="24"/>
                <w:szCs w:val="24"/>
              </w:rPr>
            </w:pPr>
            <w:r>
              <w:rPr>
                <w:b/>
                <w:sz w:val="24"/>
                <w:szCs w:val="24"/>
              </w:rPr>
              <w:t xml:space="preserve">Общество с ограниченной ответственностью «ПромВоенСтрой»</w:t>
            </w:r>
            <w:r>
              <w:rPr>
                <w:b/>
                <w:sz w:val="24"/>
                <w:szCs w:val="24"/>
              </w:rPr>
            </w:r>
            <w:r>
              <w:rPr>
                <w:b/>
                <w:sz w:val="24"/>
                <w:szCs w:val="24"/>
              </w:rPr>
            </w:r>
          </w:p>
        </w:tc>
        <w:tc>
          <w:tcPr>
            <w:tcW w:w="4394" w:type="dxa"/>
            <w:textDirection w:val="lrTb"/>
            <w:noWrap w:val="false"/>
          </w:tcPr>
          <w:p>
            <w:pPr>
              <w:jc w:val="both"/>
              <w:rPr>
                <w:b/>
                <w:sz w:val="24"/>
                <w:szCs w:val="24"/>
              </w:rPr>
            </w:pPr>
            <w:r>
              <w:rPr>
                <w:b/>
                <w:sz w:val="24"/>
                <w:szCs w:val="24"/>
              </w:rPr>
              <w:t xml:space="preserve">Мурманская область</w:t>
            </w:r>
            <w:r>
              <w:rPr>
                <w:b/>
                <w:sz w:val="24"/>
                <w:szCs w:val="24"/>
              </w:rPr>
            </w:r>
            <w:r>
              <w:rPr>
                <w:b/>
                <w:sz w:val="24"/>
                <w:szCs w:val="24"/>
              </w:rPr>
            </w:r>
          </w:p>
          <w:p>
            <w:pPr>
              <w:jc w:val="both"/>
              <w:rPr>
                <w:b/>
                <w:sz w:val="24"/>
                <w:szCs w:val="24"/>
              </w:rPr>
            </w:pPr>
            <w:r>
              <w:rPr>
                <w:b/>
                <w:sz w:val="24"/>
                <w:szCs w:val="24"/>
              </w:rPr>
            </w:r>
            <w:r>
              <w:rPr>
                <w:b/>
                <w:sz w:val="24"/>
                <w:szCs w:val="24"/>
              </w:rPr>
            </w:r>
            <w:r>
              <w:rPr>
                <w:b/>
                <w:sz w:val="24"/>
                <w:szCs w:val="24"/>
              </w:rPr>
            </w:r>
          </w:p>
        </w:tc>
      </w:tr>
      <w:tr>
        <w:tblPrEx/>
        <w:trPr/>
        <w:tc>
          <w:tcPr>
            <w:tcW w:w="5211" w:type="dxa"/>
            <w:textDirection w:val="lrTb"/>
            <w:noWrap w:val="false"/>
          </w:tcPr>
          <w:p>
            <w:pPr>
              <w:jc w:val="both"/>
              <w:rPr>
                <w:b/>
                <w:sz w:val="24"/>
                <w:szCs w:val="24"/>
              </w:rPr>
            </w:pPr>
            <w:r>
              <w:rPr>
                <w:b/>
                <w:sz w:val="24"/>
                <w:szCs w:val="24"/>
              </w:rPr>
            </w:r>
            <w:r>
              <w:rPr>
                <w:b/>
                <w:sz w:val="24"/>
                <w:szCs w:val="24"/>
              </w:rPr>
            </w:r>
            <w:r>
              <w:rPr>
                <w:b/>
                <w:sz w:val="24"/>
                <w:szCs w:val="24"/>
              </w:rPr>
            </w:r>
          </w:p>
        </w:tc>
        <w:tc>
          <w:tcPr>
            <w:tcW w:w="5954" w:type="dxa"/>
            <w:textDirection w:val="lrTb"/>
            <w:noWrap w:val="false"/>
          </w:tcPr>
          <w:p>
            <w:pPr>
              <w:jc w:val="both"/>
              <w:rPr>
                <w:b/>
                <w:sz w:val="24"/>
                <w:szCs w:val="24"/>
              </w:rPr>
            </w:pPr>
            <w:r>
              <w:rPr>
                <w:b/>
                <w:sz w:val="24"/>
                <w:szCs w:val="24"/>
              </w:rPr>
            </w:r>
            <w:r>
              <w:rPr>
                <w:b/>
                <w:sz w:val="24"/>
                <w:szCs w:val="24"/>
              </w:rPr>
            </w:r>
            <w:r>
              <w:rPr>
                <w:b/>
                <w:sz w:val="24"/>
                <w:szCs w:val="24"/>
              </w:rPr>
            </w:r>
          </w:p>
        </w:tc>
        <w:tc>
          <w:tcPr>
            <w:tcW w:w="4394" w:type="dxa"/>
            <w:textDirection w:val="lrTb"/>
            <w:noWrap w:val="false"/>
          </w:tcPr>
          <w:p>
            <w:pPr>
              <w:jc w:val="both"/>
              <w:rPr>
                <w:b/>
                <w:sz w:val="24"/>
                <w:szCs w:val="24"/>
              </w:rPr>
            </w:pPr>
            <w:r>
              <w:rPr>
                <w:b/>
                <w:sz w:val="24"/>
                <w:szCs w:val="24"/>
              </w:rPr>
            </w:r>
            <w:r>
              <w:rPr>
                <w:b/>
                <w:sz w:val="24"/>
                <w:szCs w:val="24"/>
              </w:rPr>
            </w:r>
            <w:r>
              <w:rPr>
                <w:b/>
                <w:sz w:val="24"/>
                <w:szCs w:val="24"/>
              </w:rPr>
            </w:r>
          </w:p>
        </w:tc>
      </w:tr>
      <w:tr>
        <w:tblPrEx/>
        <w:trPr/>
        <w:tc>
          <w:tcPr>
            <w:tcW w:w="5211" w:type="dxa"/>
            <w:textDirection w:val="lrTb"/>
            <w:noWrap w:val="false"/>
          </w:tcPr>
          <w:p>
            <w:pPr>
              <w:jc w:val="both"/>
              <w:rPr>
                <w:b/>
                <w:sz w:val="24"/>
                <w:szCs w:val="24"/>
              </w:rPr>
            </w:pPr>
            <w:r>
              <w:rPr>
                <w:b/>
                <w:sz w:val="24"/>
                <w:szCs w:val="24"/>
              </w:rPr>
              <w:t xml:space="preserve">Глава округа</w:t>
            </w:r>
            <w:r>
              <w:rPr>
                <w:b/>
                <w:sz w:val="24"/>
                <w:szCs w:val="24"/>
              </w:rPr>
            </w:r>
            <w:r>
              <w:rPr>
                <w:b/>
                <w:sz w:val="24"/>
                <w:szCs w:val="24"/>
              </w:rPr>
            </w:r>
          </w:p>
        </w:tc>
        <w:tc>
          <w:tcPr>
            <w:tcW w:w="5954" w:type="dxa"/>
            <w:textDirection w:val="lrTb"/>
            <w:noWrap w:val="false"/>
          </w:tcPr>
          <w:p>
            <w:pPr>
              <w:jc w:val="both"/>
              <w:rPr>
                <w:b/>
                <w:sz w:val="24"/>
                <w:szCs w:val="24"/>
              </w:rPr>
            </w:pPr>
            <w:r>
              <w:rPr>
                <w:b/>
                <w:sz w:val="24"/>
                <w:szCs w:val="24"/>
              </w:rPr>
              <w:t xml:space="preserve">Генеральный директор</w:t>
            </w:r>
            <w:r>
              <w:rPr>
                <w:b/>
                <w:sz w:val="24"/>
                <w:szCs w:val="24"/>
              </w:rPr>
            </w:r>
            <w:r>
              <w:rPr>
                <w:b/>
                <w:sz w:val="24"/>
                <w:szCs w:val="24"/>
              </w:rPr>
            </w:r>
          </w:p>
        </w:tc>
        <w:tc>
          <w:tcPr>
            <w:tcW w:w="4394" w:type="dxa"/>
            <w:textDirection w:val="lrTb"/>
            <w:noWrap w:val="false"/>
          </w:tcPr>
          <w:p>
            <w:pPr>
              <w:jc w:val="both"/>
              <w:rPr>
                <w:b/>
                <w:sz w:val="24"/>
                <w:szCs w:val="24"/>
              </w:rPr>
            </w:pPr>
            <w:r>
              <w:rPr>
                <w:b/>
                <w:sz w:val="24"/>
                <w:szCs w:val="24"/>
              </w:rPr>
              <w:t xml:space="preserve">Губернатор</w:t>
            </w:r>
            <w:r>
              <w:rPr>
                <w:b/>
                <w:sz w:val="24"/>
                <w:szCs w:val="24"/>
              </w:rPr>
            </w:r>
            <w:r>
              <w:rPr>
                <w:b/>
                <w:sz w:val="24"/>
                <w:szCs w:val="24"/>
              </w:rPr>
            </w:r>
          </w:p>
        </w:tc>
      </w:tr>
      <w:tr>
        <w:tblPrEx/>
        <w:trPr>
          <w:trHeight w:val="567"/>
        </w:trPr>
        <w:tc>
          <w:tcPr>
            <w:tcW w:w="5211" w:type="dxa"/>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c>
          <w:tcPr>
            <w:tcW w:w="5954" w:type="dxa"/>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c>
          <w:tcPr>
            <w:tcW w:w="4394" w:type="dxa"/>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r>
      <w:tr>
        <w:tblPrEx/>
        <w:trPr/>
        <w:tc>
          <w:tcPr>
            <w:tcW w:w="5211" w:type="dxa"/>
            <w:textDirection w:val="lrTb"/>
            <w:noWrap w:val="false"/>
          </w:tcPr>
          <w:p>
            <w:pPr>
              <w:jc w:val="both"/>
              <w:rPr>
                <w:b/>
                <w:sz w:val="24"/>
                <w:szCs w:val="24"/>
              </w:rPr>
            </w:pPr>
            <w:r>
              <w:rPr>
                <w:sz w:val="24"/>
                <w:szCs w:val="24"/>
              </w:rPr>
              <w:t xml:space="preserve">МП      /Кузнецов А.В../</w:t>
            </w:r>
            <w:r>
              <w:rPr>
                <w:b/>
                <w:sz w:val="24"/>
                <w:szCs w:val="24"/>
              </w:rPr>
            </w:r>
            <w:r>
              <w:rPr>
                <w:b/>
                <w:sz w:val="24"/>
                <w:szCs w:val="24"/>
              </w:rPr>
            </w:r>
          </w:p>
        </w:tc>
        <w:tc>
          <w:tcPr>
            <w:tcW w:w="5954" w:type="dxa"/>
            <w:textDirection w:val="lrTb"/>
            <w:noWrap w:val="false"/>
          </w:tcPr>
          <w:p>
            <w:pPr>
              <w:jc w:val="both"/>
              <w:rPr>
                <w:b/>
                <w:sz w:val="24"/>
                <w:szCs w:val="24"/>
              </w:rPr>
            </w:pPr>
            <w:r>
              <w:rPr>
                <w:sz w:val="24"/>
                <w:szCs w:val="24"/>
              </w:rPr>
              <w:t xml:space="preserve">МП       /Аршакян А.Р./</w:t>
            </w:r>
            <w:r>
              <w:rPr>
                <w:b/>
                <w:sz w:val="24"/>
                <w:szCs w:val="24"/>
              </w:rPr>
            </w:r>
            <w:r>
              <w:rPr>
                <w:b/>
                <w:sz w:val="24"/>
                <w:szCs w:val="24"/>
              </w:rPr>
            </w:r>
          </w:p>
        </w:tc>
        <w:tc>
          <w:tcPr>
            <w:tcW w:w="4394" w:type="dxa"/>
            <w:textDirection w:val="lrTb"/>
            <w:noWrap w:val="false"/>
          </w:tcPr>
          <w:p>
            <w:pPr>
              <w:jc w:val="both"/>
              <w:rPr>
                <w:b/>
                <w:sz w:val="24"/>
                <w:szCs w:val="24"/>
              </w:rPr>
            </w:pPr>
            <w:r>
              <w:rPr>
                <w:sz w:val="24"/>
                <w:szCs w:val="24"/>
              </w:rPr>
              <w:t xml:space="preserve">МП         /Чибис А.В./</w:t>
            </w:r>
            <w:r>
              <w:rPr>
                <w:b/>
                <w:sz w:val="24"/>
                <w:szCs w:val="24"/>
              </w:rPr>
            </w:r>
            <w:r>
              <w:rPr>
                <w:b/>
                <w:sz w:val="24"/>
                <w:szCs w:val="24"/>
              </w:rPr>
            </w:r>
          </w:p>
        </w:tc>
      </w:tr>
      <w:tr>
        <w:tblPrEx/>
        <w:trPr/>
        <w:tc>
          <w:tcPr>
            <w:tcW w:w="5211" w:type="dxa"/>
            <w:textDirection w:val="lrTb"/>
            <w:noWrap w:val="false"/>
          </w:tcPr>
          <w:p>
            <w:pPr>
              <w:jc w:val="both"/>
              <w:rPr>
                <w:b/>
                <w:sz w:val="24"/>
                <w:szCs w:val="24"/>
              </w:rPr>
            </w:pPr>
            <w:r>
              <w:rPr>
                <w:sz w:val="24"/>
                <w:szCs w:val="24"/>
              </w:rPr>
              <w:t xml:space="preserve">«___»____________ 20__ г.</w:t>
            </w:r>
            <w:r>
              <w:rPr>
                <w:b/>
                <w:sz w:val="24"/>
                <w:szCs w:val="24"/>
              </w:rPr>
            </w:r>
            <w:r>
              <w:rPr>
                <w:b/>
                <w:sz w:val="24"/>
                <w:szCs w:val="24"/>
              </w:rPr>
            </w:r>
          </w:p>
        </w:tc>
        <w:tc>
          <w:tcPr>
            <w:tcW w:w="5954" w:type="dxa"/>
            <w:textDirection w:val="lrTb"/>
            <w:noWrap w:val="false"/>
          </w:tcPr>
          <w:p>
            <w:pPr>
              <w:jc w:val="both"/>
              <w:rPr>
                <w:sz w:val="24"/>
                <w:szCs w:val="24"/>
              </w:rPr>
            </w:pPr>
            <w:r>
              <w:rPr>
                <w:sz w:val="24"/>
                <w:szCs w:val="24"/>
              </w:rPr>
              <w:t xml:space="preserve">«___»____________ 20__ г.</w:t>
            </w:r>
            <w:r>
              <w:rPr>
                <w:sz w:val="24"/>
                <w:szCs w:val="24"/>
              </w:rPr>
            </w:r>
            <w:r>
              <w:rPr>
                <w:sz w:val="24"/>
                <w:szCs w:val="24"/>
              </w:rPr>
            </w:r>
          </w:p>
        </w:tc>
        <w:tc>
          <w:tcPr>
            <w:tcW w:w="4394" w:type="dxa"/>
            <w:textDirection w:val="lrTb"/>
            <w:noWrap w:val="false"/>
          </w:tcPr>
          <w:p>
            <w:pPr>
              <w:jc w:val="both"/>
              <w:rPr>
                <w:b/>
                <w:sz w:val="24"/>
                <w:szCs w:val="24"/>
              </w:rPr>
            </w:pPr>
            <w:r>
              <w:rPr>
                <w:sz w:val="24"/>
                <w:szCs w:val="24"/>
              </w:rPr>
              <w:t xml:space="preserve">«___»____________ 20__ г.</w:t>
            </w:r>
            <w:r>
              <w:rPr>
                <w:b/>
                <w:sz w:val="24"/>
                <w:szCs w:val="24"/>
              </w:rPr>
            </w:r>
            <w:r>
              <w:rPr>
                <w:b/>
                <w:sz w:val="24"/>
                <w:szCs w:val="24"/>
              </w:rPr>
            </w:r>
          </w:p>
        </w:tc>
      </w:tr>
    </w:tbl>
    <w:p>
      <w:pPr>
        <w:ind w:firstLine="680"/>
        <w:jc w:val="both"/>
        <w:rPr>
          <w:sz w:val="24"/>
          <w:szCs w:val="24"/>
        </w:rPr>
      </w:pPr>
      <w:r>
        <w:rPr>
          <w:sz w:val="24"/>
          <w:szCs w:val="24"/>
        </w:rPr>
      </w:r>
      <w:r>
        <w:rPr>
          <w:sz w:val="24"/>
          <w:szCs w:val="24"/>
        </w:rPr>
      </w:r>
      <w:r>
        <w:rPr>
          <w:sz w:val="24"/>
          <w:szCs w:val="24"/>
        </w:rPr>
      </w:r>
    </w:p>
    <w:p>
      <w:pPr>
        <w:shd w:val="nil" w:color="auto"/>
        <w:rPr>
          <w:sz w:val="24"/>
          <w:szCs w:val="24"/>
        </w:rPr>
      </w:pPr>
      <w:r>
        <w:rPr>
          <w:sz w:val="24"/>
          <w:szCs w:val="24"/>
        </w:rPr>
        <w:br w:type="page" w:clear="all"/>
      </w:r>
      <w:r>
        <w:rPr>
          <w:sz w:val="24"/>
          <w:szCs w:val="24"/>
        </w:rPr>
      </w:r>
      <w:r>
        <w:rPr>
          <w:sz w:val="24"/>
          <w:szCs w:val="24"/>
        </w:rPr>
      </w:r>
    </w:p>
    <w:p>
      <w:pPr>
        <w:ind w:left="5528" w:right="0" w:firstLine="0"/>
        <w:jc w:val="both"/>
        <w:rPr>
          <w:sz w:val="24"/>
          <w:szCs w:val="24"/>
        </w:rPr>
      </w:pPr>
      <w:r>
        <w:rPr>
          <w:sz w:val="24"/>
          <w:szCs w:val="24"/>
        </w:rPr>
        <w:t xml:space="preserve">Приложение № 3</w:t>
      </w:r>
      <w:r>
        <w:rPr>
          <w:sz w:val="24"/>
          <w:szCs w:val="24"/>
        </w:rPr>
      </w:r>
      <w:r>
        <w:rPr>
          <w:sz w:val="24"/>
          <w:szCs w:val="24"/>
        </w:rPr>
      </w:r>
    </w:p>
    <w:p>
      <w:pPr>
        <w:ind w:left="5528" w:right="0" w:firstLine="0"/>
        <w:jc w:val="both"/>
        <w:rPr>
          <w:sz w:val="24"/>
          <w:szCs w:val="24"/>
        </w:rPr>
      </w:pPr>
      <w:r>
        <w:rPr>
          <w:sz w:val="24"/>
          <w:szCs w:val="24"/>
        </w:rPr>
        <w:t xml:space="preserve">к Концессионному соглашению</w:t>
      </w:r>
      <w:r>
        <w:rPr>
          <w:sz w:val="24"/>
          <w:szCs w:val="24"/>
        </w:rPr>
      </w:r>
      <w:r>
        <w:rPr>
          <w:sz w:val="24"/>
          <w:szCs w:val="24"/>
        </w:rPr>
      </w:r>
    </w:p>
    <w:p>
      <w:pPr>
        <w:ind w:left="5528" w:right="0" w:firstLine="0"/>
        <w:jc w:val="both"/>
        <w:rPr>
          <w:sz w:val="24"/>
          <w:szCs w:val="24"/>
        </w:rPr>
      </w:pPr>
      <w:r>
        <w:rPr>
          <w:sz w:val="24"/>
          <w:szCs w:val="24"/>
        </w:rPr>
        <w:t xml:space="preserve">от «__»______ 2024 года №______</w:t>
      </w:r>
      <w:r>
        <w:rPr>
          <w:sz w:val="24"/>
          <w:szCs w:val="24"/>
        </w:rPr>
      </w:r>
      <w:r>
        <w:rPr>
          <w:sz w:val="24"/>
          <w:szCs w:val="24"/>
        </w:rPr>
      </w:r>
    </w:p>
    <w:p>
      <w:pPr>
        <w:ind w:firstLine="680"/>
        <w:jc w:val="both"/>
        <w:rPr>
          <w:sz w:val="24"/>
          <w:szCs w:val="24"/>
        </w:rPr>
      </w:pPr>
      <w:r>
        <w:rPr>
          <w:sz w:val="24"/>
          <w:szCs w:val="24"/>
        </w:rPr>
      </w:r>
      <w:r>
        <w:rPr>
          <w:sz w:val="24"/>
          <w:szCs w:val="24"/>
        </w:rPr>
      </w:r>
      <w:r>
        <w:rPr>
          <w:sz w:val="24"/>
          <w:szCs w:val="24"/>
        </w:rPr>
      </w:r>
    </w:p>
    <w:p>
      <w:pPr>
        <w:ind w:firstLine="680"/>
        <w:jc w:val="center"/>
        <w:rPr>
          <w:b/>
          <w:sz w:val="24"/>
          <w:szCs w:val="24"/>
          <w:lang w:eastAsia="zh-CN"/>
        </w:rPr>
      </w:pPr>
      <w:r>
        <w:rPr>
          <w:b/>
          <w:sz w:val="24"/>
          <w:szCs w:val="24"/>
          <w:lang w:eastAsia="zh-CN"/>
        </w:rPr>
        <w:t xml:space="preserve">Объем инвестиций для реконструкции</w:t>
      </w:r>
      <w:r>
        <w:rPr>
          <w:b/>
          <w:sz w:val="24"/>
          <w:szCs w:val="24"/>
          <w:lang w:eastAsia="zh-CN"/>
        </w:rPr>
      </w:r>
      <w:r>
        <w:rPr>
          <w:b/>
          <w:sz w:val="24"/>
          <w:szCs w:val="24"/>
          <w:lang w:eastAsia="zh-CN"/>
        </w:rPr>
      </w:r>
    </w:p>
    <w:p>
      <w:pPr>
        <w:ind w:firstLine="680"/>
        <w:jc w:val="center"/>
        <w:rPr>
          <w:b/>
          <w:sz w:val="24"/>
          <w:szCs w:val="24"/>
          <w:lang w:eastAsia="zh-CN"/>
        </w:rPr>
      </w:pPr>
      <w:r>
        <w:rPr>
          <w:b/>
          <w:sz w:val="24"/>
          <w:szCs w:val="24"/>
          <w:lang w:eastAsia="zh-CN"/>
        </w:rPr>
        <w:t xml:space="preserve">Объектов Соглашения</w:t>
      </w:r>
      <w:r>
        <w:rPr>
          <w:b/>
          <w:sz w:val="24"/>
          <w:szCs w:val="24"/>
          <w:lang w:eastAsia="zh-CN"/>
        </w:rPr>
      </w:r>
      <w:r>
        <w:rPr>
          <w:b/>
          <w:sz w:val="24"/>
          <w:szCs w:val="24"/>
          <w:lang w:eastAsia="zh-CN"/>
        </w:rPr>
      </w:r>
    </w:p>
    <w:p>
      <w:pPr>
        <w:ind w:firstLine="680"/>
        <w:jc w:val="both"/>
        <w:rPr>
          <w:b/>
          <w:sz w:val="24"/>
          <w:szCs w:val="24"/>
          <w:lang w:eastAsia="zh-CN"/>
        </w:rPr>
      </w:pPr>
      <w:r>
        <w:rPr>
          <w:b/>
          <w:sz w:val="24"/>
          <w:szCs w:val="24"/>
          <w:lang w:eastAsia="zh-CN"/>
        </w:rPr>
      </w:r>
      <w:r>
        <w:rPr>
          <w:b/>
          <w:sz w:val="24"/>
          <w:szCs w:val="24"/>
          <w:lang w:eastAsia="zh-CN"/>
        </w:rPr>
      </w:r>
      <w:r>
        <w:rPr>
          <w:b/>
          <w:sz w:val="24"/>
          <w:szCs w:val="24"/>
          <w:lang w:eastAsia="zh-CN"/>
        </w:rPr>
      </w:r>
    </w:p>
    <w:tbl>
      <w:tblPr>
        <w:tblW w:w="4988" w:type="pct"/>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000" w:firstRow="0" w:lastRow="0" w:firstColumn="0" w:lastColumn="0" w:noHBand="0" w:noVBand="0"/>
      </w:tblPr>
      <w:tblGrid>
        <w:gridCol w:w="464"/>
        <w:gridCol w:w="3086"/>
        <w:gridCol w:w="1394"/>
        <w:gridCol w:w="1647"/>
        <w:gridCol w:w="1394"/>
        <w:gridCol w:w="1396"/>
      </w:tblGrid>
      <w:tr>
        <w:tblPrEx/>
        <w:trPr>
          <w:trHeight w:val="1390"/>
        </w:trPr>
        <w:tc>
          <w:tcPr>
            <w:shd w:val="clear" w:color="auto" w:fill="ffffff"/>
            <w:tcW w:w="247" w:type="pct"/>
            <w:vAlign w:val="center"/>
            <w:vMerge w:val="restart"/>
            <w:textDirection w:val="lrTb"/>
            <w:noWrap w:val="false"/>
          </w:tcPr>
          <w:p>
            <w:pPr>
              <w:pStyle w:val="964"/>
              <w:jc w:val="both"/>
              <w:widowControl w:val="off"/>
              <w:rPr>
                <w:sz w:val="22"/>
                <w:szCs w:val="22"/>
              </w:rPr>
            </w:pPr>
            <w:r>
              <w:rPr>
                <w:sz w:val="22"/>
                <w:szCs w:val="22"/>
              </w:rPr>
              <w:t xml:space="preserve">№ п/п</w:t>
            </w:r>
            <w:r>
              <w:rPr>
                <w:sz w:val="22"/>
                <w:szCs w:val="22"/>
              </w:rPr>
            </w:r>
            <w:r>
              <w:rPr>
                <w:sz w:val="22"/>
                <w:szCs w:val="22"/>
              </w:rPr>
            </w:r>
          </w:p>
        </w:tc>
        <w:tc>
          <w:tcPr>
            <w:shd w:val="clear" w:color="auto" w:fill="ffffff"/>
            <w:tcW w:w="1645" w:type="pct"/>
            <w:vAlign w:val="center"/>
            <w:vMerge w:val="restart"/>
            <w:textDirection w:val="lrTb"/>
            <w:noWrap w:val="false"/>
          </w:tcPr>
          <w:p>
            <w:pPr>
              <w:pStyle w:val="964"/>
              <w:jc w:val="center"/>
              <w:widowControl w:val="off"/>
              <w:rPr>
                <w:sz w:val="22"/>
                <w:szCs w:val="22"/>
              </w:rPr>
            </w:pPr>
            <w:r>
              <w:rPr>
                <w:sz w:val="22"/>
                <w:szCs w:val="22"/>
              </w:rPr>
              <w:t xml:space="preserve">Мероприятие</w:t>
            </w:r>
            <w:r>
              <w:rPr>
                <w:sz w:val="22"/>
                <w:szCs w:val="22"/>
              </w:rPr>
            </w:r>
            <w:r>
              <w:rPr>
                <w:sz w:val="22"/>
                <w:szCs w:val="22"/>
              </w:rPr>
            </w:r>
          </w:p>
        </w:tc>
        <w:tc>
          <w:tcPr>
            <w:shd w:val="clear" w:color="auto" w:fill="ffffff"/>
            <w:tcW w:w="743" w:type="pct"/>
            <w:vAlign w:val="center"/>
            <w:vMerge w:val="restart"/>
            <w:textDirection w:val="lrTb"/>
            <w:noWrap w:val="false"/>
          </w:tcPr>
          <w:p>
            <w:pPr>
              <w:pStyle w:val="964"/>
              <w:jc w:val="center"/>
              <w:widowControl w:val="off"/>
              <w:rPr>
                <w:sz w:val="22"/>
                <w:szCs w:val="22"/>
              </w:rPr>
            </w:pPr>
            <w:r>
              <w:rPr>
                <w:sz w:val="22"/>
                <w:szCs w:val="22"/>
              </w:rPr>
              <w:t xml:space="preserve">Предельная сметная стоимость реконструкции объекта/подготовки</w:t>
            </w:r>
            <w:r>
              <w:rPr>
                <w:sz w:val="22"/>
                <w:szCs w:val="22"/>
              </w:rPr>
            </w:r>
            <w:r>
              <w:rPr>
                <w:sz w:val="22"/>
                <w:szCs w:val="22"/>
              </w:rPr>
            </w:r>
          </w:p>
          <w:p>
            <w:pPr>
              <w:pStyle w:val="964"/>
              <w:jc w:val="center"/>
              <w:widowControl w:val="off"/>
              <w:rPr>
                <w:color w:val="ffffff" w:themeColor="background1"/>
                <w:sz w:val="22"/>
                <w:szCs w:val="22"/>
              </w:rPr>
            </w:pPr>
            <w:r>
              <w:rPr>
                <w:sz w:val="22"/>
                <w:szCs w:val="22"/>
              </w:rPr>
              <w:t xml:space="preserve">проекта </w:t>
            </w:r>
            <w:r>
              <w:rPr>
                <w:color w:val="ffffff" w:themeColor="background1"/>
                <w:sz w:val="22"/>
                <w:szCs w:val="22"/>
              </w:rPr>
              <w:t xml:space="preserve">модернизации Иного имущества</w:t>
            </w:r>
            <w:r>
              <w:rPr>
                <w:color w:val="ffffff" w:themeColor="background1"/>
                <w:sz w:val="22"/>
                <w:szCs w:val="22"/>
              </w:rPr>
            </w:r>
            <w:r>
              <w:rPr>
                <w:color w:val="ffffff" w:themeColor="background1"/>
                <w:sz w:val="22"/>
                <w:szCs w:val="22"/>
              </w:rPr>
            </w:r>
          </w:p>
          <w:p>
            <w:pPr>
              <w:pStyle w:val="964"/>
              <w:jc w:val="center"/>
              <w:widowControl w:val="off"/>
              <w:rPr>
                <w:sz w:val="22"/>
                <w:szCs w:val="22"/>
              </w:rPr>
            </w:pPr>
            <w:r>
              <w:rPr>
                <w:sz w:val="22"/>
                <w:szCs w:val="22"/>
              </w:rPr>
              <w:t xml:space="preserve">(с НДС, руб)</w:t>
            </w:r>
            <w:r>
              <w:rPr>
                <w:sz w:val="22"/>
                <w:szCs w:val="22"/>
              </w:rPr>
            </w:r>
            <w:r>
              <w:rPr>
                <w:sz w:val="22"/>
                <w:szCs w:val="22"/>
              </w:rPr>
            </w:r>
          </w:p>
        </w:tc>
        <w:tc>
          <w:tcPr>
            <w:gridSpan w:val="3"/>
            <w:shd w:val="clear" w:color="auto" w:fill="ffffff"/>
            <w:tcW w:w="2365" w:type="pct"/>
            <w:vAlign w:val="center"/>
            <w:textDirection w:val="lrTb"/>
            <w:noWrap w:val="false"/>
          </w:tcPr>
          <w:p>
            <w:pPr>
              <w:pStyle w:val="964"/>
              <w:jc w:val="center"/>
              <w:widowControl w:val="off"/>
              <w:rPr>
                <w:sz w:val="22"/>
                <w:szCs w:val="22"/>
              </w:rPr>
            </w:pPr>
            <w:r>
              <w:rPr>
                <w:sz w:val="22"/>
                <w:szCs w:val="22"/>
              </w:rPr>
              <w:t xml:space="preserve">Источники финансирования, руб. с НДС</w:t>
            </w:r>
            <w:r>
              <w:rPr>
                <w:sz w:val="22"/>
                <w:szCs w:val="22"/>
              </w:rPr>
            </w:r>
            <w:r>
              <w:rPr>
                <w:sz w:val="22"/>
                <w:szCs w:val="22"/>
              </w:rPr>
            </w:r>
          </w:p>
        </w:tc>
      </w:tr>
      <w:tr>
        <w:tblPrEx/>
        <w:trPr>
          <w:trHeight w:val="101"/>
        </w:trPr>
        <w:tc>
          <w:tcPr>
            <w:shd w:val="clear" w:color="auto" w:fill="ffffff"/>
            <w:tcW w:w="247" w:type="pct"/>
            <w:vAlign w:val="center"/>
            <w:vMerge w:val="continue"/>
            <w:textDirection w:val="lrTb"/>
            <w:noWrap w:val="false"/>
          </w:tcPr>
          <w:p>
            <w:pPr>
              <w:pStyle w:val="964"/>
              <w:jc w:val="both"/>
              <w:widowControl w:val="off"/>
              <w:rPr>
                <w:sz w:val="22"/>
                <w:szCs w:val="22"/>
              </w:rPr>
            </w:pPr>
            <w:r>
              <w:rPr>
                <w:sz w:val="22"/>
                <w:szCs w:val="22"/>
              </w:rPr>
            </w:r>
            <w:r>
              <w:rPr>
                <w:sz w:val="22"/>
                <w:szCs w:val="22"/>
              </w:rPr>
            </w:r>
            <w:r>
              <w:rPr>
                <w:sz w:val="22"/>
                <w:szCs w:val="22"/>
              </w:rPr>
            </w:r>
          </w:p>
        </w:tc>
        <w:tc>
          <w:tcPr>
            <w:shd w:val="clear" w:color="auto" w:fill="ffffff"/>
            <w:tcW w:w="1645" w:type="pct"/>
            <w:vAlign w:val="center"/>
            <w:vMerge w:val="continue"/>
            <w:textDirection w:val="lrTb"/>
            <w:noWrap w:val="false"/>
          </w:tcPr>
          <w:p>
            <w:pPr>
              <w:pStyle w:val="964"/>
              <w:jc w:val="center"/>
              <w:widowControl w:val="off"/>
              <w:rPr>
                <w:sz w:val="22"/>
                <w:szCs w:val="22"/>
              </w:rPr>
            </w:pPr>
            <w:r>
              <w:rPr>
                <w:sz w:val="22"/>
                <w:szCs w:val="22"/>
              </w:rPr>
            </w:r>
            <w:r>
              <w:rPr>
                <w:sz w:val="22"/>
                <w:szCs w:val="22"/>
              </w:rPr>
            </w:r>
            <w:r>
              <w:rPr>
                <w:sz w:val="22"/>
                <w:szCs w:val="22"/>
              </w:rPr>
            </w:r>
          </w:p>
        </w:tc>
        <w:tc>
          <w:tcPr>
            <w:shd w:val="clear" w:color="auto" w:fill="ffffff"/>
            <w:tcW w:w="743" w:type="pct"/>
            <w:vAlign w:val="center"/>
            <w:vMerge w:val="continue"/>
            <w:textDirection w:val="lrTb"/>
            <w:noWrap w:val="false"/>
          </w:tcPr>
          <w:p>
            <w:pPr>
              <w:pStyle w:val="964"/>
              <w:jc w:val="center"/>
              <w:widowControl w:val="off"/>
              <w:rPr>
                <w:sz w:val="22"/>
                <w:szCs w:val="22"/>
              </w:rPr>
            </w:pPr>
            <w:r>
              <w:rPr>
                <w:sz w:val="22"/>
                <w:szCs w:val="22"/>
              </w:rPr>
            </w:r>
            <w:r>
              <w:rPr>
                <w:sz w:val="22"/>
                <w:szCs w:val="22"/>
              </w:rPr>
            </w:r>
            <w:r>
              <w:rPr>
                <w:sz w:val="22"/>
                <w:szCs w:val="22"/>
              </w:rPr>
            </w:r>
          </w:p>
        </w:tc>
        <w:tc>
          <w:tcPr>
            <w:shd w:val="clear" w:color="auto" w:fill="ffffff"/>
            <w:tcW w:w="878" w:type="pct"/>
            <w:vAlign w:val="center"/>
            <w:textDirection w:val="lrTb"/>
            <w:noWrap w:val="false"/>
          </w:tcPr>
          <w:p>
            <w:pPr>
              <w:pStyle w:val="964"/>
              <w:jc w:val="center"/>
              <w:widowControl w:val="off"/>
              <w:rPr>
                <w:sz w:val="22"/>
                <w:szCs w:val="22"/>
              </w:rPr>
            </w:pPr>
            <w:r>
              <w:rPr>
                <w:sz w:val="22"/>
                <w:szCs w:val="22"/>
              </w:rPr>
              <w:t xml:space="preserve">В т.ч. Капитальный грант</w:t>
            </w:r>
            <w:r>
              <w:rPr>
                <w:sz w:val="22"/>
                <w:szCs w:val="22"/>
              </w:rPr>
            </w:r>
            <w:r>
              <w:rPr>
                <w:sz w:val="22"/>
                <w:szCs w:val="22"/>
              </w:rPr>
            </w:r>
          </w:p>
        </w:tc>
        <w:tc>
          <w:tcPr>
            <w:shd w:val="clear" w:color="auto" w:fill="ffffff"/>
            <w:tcW w:w="743" w:type="pct"/>
            <w:vAlign w:val="center"/>
            <w:textDirection w:val="lrTb"/>
            <w:noWrap w:val="false"/>
          </w:tcPr>
          <w:p>
            <w:pPr>
              <w:pStyle w:val="964"/>
              <w:jc w:val="center"/>
              <w:widowControl w:val="off"/>
              <w:rPr>
                <w:sz w:val="22"/>
                <w:szCs w:val="22"/>
              </w:rPr>
            </w:pPr>
            <w:r>
              <w:rPr>
                <w:sz w:val="22"/>
                <w:szCs w:val="22"/>
              </w:rPr>
              <w:t xml:space="preserve">В т.ч. Собственные средства концессионера</w:t>
            </w:r>
            <w:r>
              <w:rPr>
                <w:sz w:val="22"/>
                <w:szCs w:val="22"/>
              </w:rPr>
            </w:r>
            <w:r>
              <w:rPr>
                <w:sz w:val="22"/>
                <w:szCs w:val="22"/>
              </w:rPr>
            </w:r>
          </w:p>
        </w:tc>
        <w:tc>
          <w:tcPr>
            <w:shd w:val="clear" w:color="auto" w:fill="ffffff"/>
            <w:tcW w:w="743" w:type="pct"/>
            <w:vAlign w:val="center"/>
            <w:textDirection w:val="lrTb"/>
            <w:noWrap w:val="false"/>
          </w:tcPr>
          <w:p>
            <w:pPr>
              <w:pStyle w:val="964"/>
              <w:jc w:val="center"/>
              <w:widowControl w:val="off"/>
              <w:rPr>
                <w:sz w:val="22"/>
                <w:szCs w:val="22"/>
              </w:rPr>
            </w:pPr>
            <w:r>
              <w:rPr>
                <w:sz w:val="22"/>
                <w:szCs w:val="22"/>
              </w:rPr>
              <w:t xml:space="preserve">Прогнозные сроки</w:t>
            </w:r>
            <w:r>
              <w:rPr>
                <w:sz w:val="22"/>
                <w:szCs w:val="22"/>
              </w:rPr>
            </w:r>
            <w:r>
              <w:rPr>
                <w:sz w:val="22"/>
                <w:szCs w:val="22"/>
              </w:rPr>
            </w:r>
          </w:p>
          <w:p>
            <w:pPr>
              <w:pStyle w:val="964"/>
              <w:jc w:val="center"/>
              <w:widowControl w:val="off"/>
              <w:rPr>
                <w:sz w:val="22"/>
                <w:szCs w:val="22"/>
              </w:rPr>
            </w:pPr>
            <w:r>
              <w:rPr>
                <w:sz w:val="22"/>
                <w:szCs w:val="22"/>
              </w:rPr>
              <w:t xml:space="preserve">реализации</w:t>
            </w:r>
            <w:r>
              <w:rPr>
                <w:sz w:val="22"/>
                <w:szCs w:val="22"/>
              </w:rPr>
            </w:r>
            <w:r>
              <w:rPr>
                <w:sz w:val="22"/>
                <w:szCs w:val="22"/>
              </w:rPr>
            </w:r>
          </w:p>
        </w:tc>
      </w:tr>
      <w:tr>
        <w:tblPrEx/>
        <w:trPr>
          <w:trHeight w:val="363"/>
        </w:trPr>
        <w:tc>
          <w:tcPr>
            <w:tcW w:w="247" w:type="pct"/>
            <w:textDirection w:val="lrTb"/>
            <w:noWrap w:val="false"/>
          </w:tcPr>
          <w:p>
            <w:pPr>
              <w:jc w:val="both"/>
              <w:rPr>
                <w:sz w:val="22"/>
                <w:szCs w:val="22"/>
              </w:rPr>
            </w:pPr>
            <w:r>
              <w:rPr>
                <w:sz w:val="22"/>
                <w:szCs w:val="22"/>
              </w:rPr>
              <w:t xml:space="preserve">1.</w:t>
            </w:r>
            <w:r>
              <w:rPr>
                <w:sz w:val="22"/>
                <w:szCs w:val="22"/>
              </w:rPr>
            </w:r>
            <w:r>
              <w:rPr>
                <w:sz w:val="22"/>
                <w:szCs w:val="22"/>
              </w:rPr>
            </w:r>
          </w:p>
        </w:tc>
        <w:tc>
          <w:tcPr>
            <w:gridSpan w:val="5"/>
            <w:tcW w:w="4753" w:type="pct"/>
            <w:textDirection w:val="lrTb"/>
            <w:noWrap w:val="false"/>
          </w:tcPr>
          <w:p>
            <w:pPr>
              <w:pStyle w:val="964"/>
              <w:jc w:val="both"/>
              <w:widowControl w:val="off"/>
              <w:rPr>
                <w:b/>
                <w:sz w:val="22"/>
                <w:szCs w:val="22"/>
              </w:rPr>
            </w:pPr>
            <w:r>
              <w:rPr>
                <w:b/>
                <w:sz w:val="22"/>
                <w:szCs w:val="22"/>
              </w:rPr>
              <w:t xml:space="preserve">Реконструкция котельных</w:t>
            </w:r>
            <w:r>
              <w:rPr>
                <w:b/>
                <w:sz w:val="22"/>
                <w:szCs w:val="22"/>
              </w:rPr>
            </w:r>
            <w:r>
              <w:rPr>
                <w:b/>
                <w:sz w:val="22"/>
                <w:szCs w:val="22"/>
              </w:rPr>
            </w:r>
          </w:p>
        </w:tc>
      </w:tr>
      <w:tr>
        <w:tblPrEx/>
        <w:trPr>
          <w:trHeight w:val="363"/>
        </w:trPr>
        <w:tc>
          <w:tcPr>
            <w:tcW w:w="247" w:type="pct"/>
            <w:textDirection w:val="lrTb"/>
            <w:noWrap w:val="false"/>
          </w:tcPr>
          <w:p>
            <w:pPr>
              <w:jc w:val="both"/>
              <w:rPr>
                <w:sz w:val="22"/>
                <w:szCs w:val="22"/>
              </w:rPr>
            </w:pPr>
            <w:r>
              <w:rPr>
                <w:sz w:val="22"/>
                <w:szCs w:val="22"/>
              </w:rPr>
              <w:t xml:space="preserve">1.1.</w:t>
            </w:r>
            <w:r>
              <w:rPr>
                <w:sz w:val="22"/>
                <w:szCs w:val="22"/>
              </w:rPr>
            </w:r>
            <w:r>
              <w:rPr>
                <w:sz w:val="22"/>
                <w:szCs w:val="22"/>
              </w:rPr>
            </w:r>
          </w:p>
        </w:tc>
        <w:tc>
          <w:tcPr>
            <w:tcW w:w="1645" w:type="pct"/>
            <w:textDirection w:val="lrTb"/>
            <w:noWrap w:val="false"/>
          </w:tcPr>
          <w:p>
            <w:pPr>
              <w:ind w:right="115"/>
              <w:jc w:val="both"/>
              <w:rPr>
                <w:sz w:val="22"/>
                <w:szCs w:val="22"/>
              </w:rPr>
            </w:pPr>
            <w:r>
              <w:rPr>
                <w:sz w:val="22"/>
                <w:szCs w:val="22"/>
              </w:rPr>
              <w:t xml:space="preserve">Реконструкция котельной № 13/73 пгт. Печенга Печенгский муниципальный округ Мурманской области.</w:t>
            </w:r>
            <w:r>
              <w:rPr>
                <w:sz w:val="22"/>
                <w:szCs w:val="22"/>
              </w:rPr>
            </w:r>
            <w:r>
              <w:rPr>
                <w:sz w:val="22"/>
                <w:szCs w:val="22"/>
              </w:rPr>
            </w:r>
          </w:p>
        </w:tc>
        <w:tc>
          <w:tcPr>
            <w:shd w:val="clear" w:color="auto" w:fill="ffffff"/>
            <w:tcW w:w="743" w:type="pct"/>
            <w:vAlign w:val="center"/>
            <w:textDirection w:val="lrTb"/>
            <w:noWrap w:val="false"/>
          </w:tcPr>
          <w:p>
            <w:pPr>
              <w:pStyle w:val="964"/>
              <w:jc w:val="center"/>
              <w:widowControl w:val="off"/>
              <w:rPr>
                <w:sz w:val="22"/>
                <w:szCs w:val="22"/>
              </w:rPr>
            </w:pPr>
            <w:r>
              <w:rPr>
                <w:sz w:val="22"/>
                <w:szCs w:val="22"/>
              </w:rPr>
              <w:t xml:space="preserve">70 188 210,34</w:t>
            </w:r>
            <w:r>
              <w:rPr>
                <w:sz w:val="22"/>
                <w:szCs w:val="22"/>
              </w:rPr>
            </w:r>
            <w:r>
              <w:rPr>
                <w:sz w:val="22"/>
                <w:szCs w:val="22"/>
              </w:rPr>
            </w:r>
          </w:p>
        </w:tc>
        <w:tc>
          <w:tcPr>
            <w:shd w:val="clear" w:color="auto" w:fill="ffffff"/>
            <w:tcW w:w="878" w:type="pct"/>
            <w:vAlign w:val="center"/>
            <w:textDirection w:val="lrTb"/>
            <w:noWrap w:val="false"/>
          </w:tcPr>
          <w:p>
            <w:pPr>
              <w:pStyle w:val="964"/>
              <w:jc w:val="center"/>
              <w:widowControl w:val="off"/>
              <w:rPr>
                <w:sz w:val="22"/>
                <w:szCs w:val="22"/>
              </w:rPr>
            </w:pPr>
            <w:r>
              <w:rPr>
                <w:sz w:val="22"/>
                <w:szCs w:val="22"/>
              </w:rPr>
              <w:t xml:space="preserve">56 150 570,00</w:t>
            </w:r>
            <w:r>
              <w:rPr>
                <w:sz w:val="22"/>
                <w:szCs w:val="22"/>
              </w:rPr>
            </w:r>
            <w:r>
              <w:rPr>
                <w:sz w:val="22"/>
                <w:szCs w:val="22"/>
              </w:rPr>
            </w:r>
          </w:p>
        </w:tc>
        <w:tc>
          <w:tcPr>
            <w:shd w:val="clear" w:color="auto" w:fill="ffffff"/>
            <w:tcW w:w="743" w:type="pct"/>
            <w:vAlign w:val="center"/>
            <w:textDirection w:val="lrTb"/>
            <w:noWrap w:val="false"/>
          </w:tcPr>
          <w:p>
            <w:pPr>
              <w:pStyle w:val="964"/>
              <w:jc w:val="center"/>
              <w:widowControl w:val="off"/>
              <w:rPr>
                <w:sz w:val="22"/>
                <w:szCs w:val="22"/>
              </w:rPr>
            </w:pPr>
            <w:r>
              <w:rPr>
                <w:sz w:val="22"/>
                <w:szCs w:val="22"/>
              </w:rPr>
              <w:t xml:space="preserve">14 037 640,34</w:t>
            </w:r>
            <w:r>
              <w:rPr>
                <w:sz w:val="22"/>
                <w:szCs w:val="22"/>
              </w:rPr>
            </w:r>
            <w:r>
              <w:rPr>
                <w:sz w:val="22"/>
                <w:szCs w:val="22"/>
              </w:rPr>
            </w:r>
          </w:p>
        </w:tc>
        <w:tc>
          <w:tcPr>
            <w:shd w:val="clear" w:color="auto" w:fill="ffffff"/>
            <w:tcW w:w="743" w:type="pct"/>
            <w:vAlign w:val="center"/>
            <w:textDirection w:val="lrTb"/>
            <w:noWrap w:val="false"/>
          </w:tcPr>
          <w:p>
            <w:pPr>
              <w:pStyle w:val="964"/>
              <w:jc w:val="center"/>
              <w:widowControl w:val="off"/>
              <w:rPr>
                <w:sz w:val="22"/>
                <w:szCs w:val="22"/>
              </w:rPr>
            </w:pPr>
            <w:r>
              <w:rPr>
                <w:sz w:val="22"/>
                <w:szCs w:val="22"/>
              </w:rPr>
              <w:t xml:space="preserve">До</w:t>
            </w:r>
            <w:r>
              <w:rPr>
                <w:sz w:val="22"/>
                <w:szCs w:val="22"/>
              </w:rPr>
            </w:r>
            <w:r>
              <w:rPr>
                <w:sz w:val="22"/>
                <w:szCs w:val="22"/>
              </w:rPr>
            </w:r>
          </w:p>
          <w:p>
            <w:pPr>
              <w:pStyle w:val="964"/>
              <w:jc w:val="center"/>
              <w:widowControl w:val="off"/>
              <w:rPr>
                <w:sz w:val="22"/>
                <w:szCs w:val="22"/>
              </w:rPr>
            </w:pPr>
            <w:r>
              <w:rPr>
                <w:sz w:val="22"/>
                <w:szCs w:val="22"/>
              </w:rPr>
              <w:t xml:space="preserve">31.12.2025 г.</w:t>
            </w:r>
            <w:r>
              <w:rPr>
                <w:sz w:val="22"/>
                <w:szCs w:val="22"/>
              </w:rPr>
            </w:r>
            <w:r>
              <w:rPr>
                <w:sz w:val="22"/>
                <w:szCs w:val="22"/>
              </w:rPr>
            </w:r>
          </w:p>
        </w:tc>
      </w:tr>
      <w:tr>
        <w:tblPrEx/>
        <w:trPr>
          <w:trHeight w:val="363"/>
        </w:trPr>
        <w:tc>
          <w:tcPr>
            <w:tcW w:w="247" w:type="pct"/>
            <w:textDirection w:val="lrTb"/>
            <w:noWrap w:val="false"/>
          </w:tcPr>
          <w:p>
            <w:pPr>
              <w:jc w:val="both"/>
              <w:rPr>
                <w:sz w:val="22"/>
                <w:szCs w:val="22"/>
              </w:rPr>
            </w:pPr>
            <w:r>
              <w:rPr>
                <w:sz w:val="22"/>
                <w:szCs w:val="22"/>
              </w:rPr>
              <w:t xml:space="preserve">1.2.</w:t>
            </w:r>
            <w:r>
              <w:rPr>
                <w:sz w:val="22"/>
                <w:szCs w:val="22"/>
              </w:rPr>
            </w:r>
            <w:r>
              <w:rPr>
                <w:sz w:val="22"/>
                <w:szCs w:val="22"/>
              </w:rPr>
            </w:r>
          </w:p>
        </w:tc>
        <w:tc>
          <w:tcPr>
            <w:tcW w:w="1645" w:type="pct"/>
            <w:textDirection w:val="lrTb"/>
            <w:noWrap w:val="false"/>
          </w:tcPr>
          <w:p>
            <w:pPr>
              <w:ind w:right="115"/>
              <w:jc w:val="both"/>
              <w:rPr>
                <w:sz w:val="22"/>
                <w:szCs w:val="22"/>
              </w:rPr>
            </w:pPr>
            <w:r>
              <w:rPr>
                <w:sz w:val="22"/>
                <w:szCs w:val="22"/>
              </w:rPr>
              <w:t xml:space="preserve">Реконструкция котельной № 4/152 ж/д ст. Печенга Печенгский муниципальный округ Мурманской области.</w:t>
            </w:r>
            <w:r>
              <w:rPr>
                <w:sz w:val="22"/>
                <w:szCs w:val="22"/>
              </w:rPr>
            </w:r>
            <w:r>
              <w:rPr>
                <w:sz w:val="22"/>
                <w:szCs w:val="22"/>
              </w:rPr>
            </w:r>
          </w:p>
        </w:tc>
        <w:tc>
          <w:tcPr>
            <w:shd w:val="clear" w:color="auto" w:fill="ffffff"/>
            <w:tcW w:w="743" w:type="pct"/>
            <w:vAlign w:val="center"/>
            <w:textDirection w:val="lrTb"/>
            <w:noWrap w:val="false"/>
          </w:tcPr>
          <w:p>
            <w:pPr>
              <w:pStyle w:val="964"/>
              <w:jc w:val="center"/>
              <w:widowControl w:val="off"/>
              <w:rPr>
                <w:sz w:val="22"/>
                <w:szCs w:val="22"/>
              </w:rPr>
            </w:pPr>
            <w:r>
              <w:rPr>
                <w:sz w:val="22"/>
                <w:szCs w:val="22"/>
              </w:rPr>
              <w:t xml:space="preserve">54 665 972,15</w:t>
            </w:r>
            <w:r>
              <w:rPr>
                <w:sz w:val="22"/>
                <w:szCs w:val="22"/>
              </w:rPr>
            </w:r>
            <w:r>
              <w:rPr>
                <w:sz w:val="22"/>
                <w:szCs w:val="22"/>
              </w:rPr>
            </w:r>
          </w:p>
        </w:tc>
        <w:tc>
          <w:tcPr>
            <w:shd w:val="clear" w:color="auto" w:fill="ffffff"/>
            <w:tcW w:w="878" w:type="pct"/>
            <w:vAlign w:val="center"/>
            <w:textDirection w:val="lrTb"/>
            <w:noWrap w:val="false"/>
          </w:tcPr>
          <w:p>
            <w:pPr>
              <w:pStyle w:val="964"/>
              <w:jc w:val="center"/>
              <w:widowControl w:val="off"/>
              <w:rPr>
                <w:sz w:val="22"/>
                <w:szCs w:val="22"/>
              </w:rPr>
            </w:pPr>
            <w:r>
              <w:rPr>
                <w:sz w:val="22"/>
                <w:szCs w:val="22"/>
              </w:rPr>
              <w:t xml:space="preserve">43 732 780,00</w:t>
            </w:r>
            <w:r>
              <w:rPr>
                <w:sz w:val="22"/>
                <w:szCs w:val="22"/>
              </w:rPr>
            </w:r>
            <w:r>
              <w:rPr>
                <w:sz w:val="22"/>
                <w:szCs w:val="22"/>
              </w:rPr>
            </w:r>
          </w:p>
        </w:tc>
        <w:tc>
          <w:tcPr>
            <w:shd w:val="clear" w:color="auto" w:fill="ffffff"/>
            <w:tcW w:w="743" w:type="pct"/>
            <w:vAlign w:val="center"/>
            <w:textDirection w:val="lrTb"/>
            <w:noWrap w:val="false"/>
          </w:tcPr>
          <w:p>
            <w:pPr>
              <w:pStyle w:val="964"/>
              <w:jc w:val="center"/>
              <w:widowControl w:val="off"/>
              <w:rPr>
                <w:sz w:val="22"/>
                <w:szCs w:val="22"/>
              </w:rPr>
            </w:pPr>
            <w:r>
              <w:rPr>
                <w:sz w:val="22"/>
                <w:szCs w:val="22"/>
              </w:rPr>
              <w:t xml:space="preserve">10 933 192,15</w:t>
            </w:r>
            <w:r>
              <w:rPr>
                <w:sz w:val="22"/>
                <w:szCs w:val="22"/>
              </w:rPr>
            </w:r>
            <w:r>
              <w:rPr>
                <w:sz w:val="22"/>
                <w:szCs w:val="22"/>
              </w:rPr>
            </w:r>
          </w:p>
        </w:tc>
        <w:tc>
          <w:tcPr>
            <w:shd w:val="clear" w:color="auto" w:fill="ffffff"/>
            <w:tcW w:w="743" w:type="pct"/>
            <w:vAlign w:val="center"/>
            <w:textDirection w:val="lrTb"/>
            <w:noWrap w:val="false"/>
          </w:tcPr>
          <w:p>
            <w:pPr>
              <w:pStyle w:val="964"/>
              <w:jc w:val="center"/>
              <w:widowControl w:val="off"/>
              <w:rPr>
                <w:sz w:val="22"/>
                <w:szCs w:val="22"/>
              </w:rPr>
            </w:pPr>
            <w:r>
              <w:rPr>
                <w:sz w:val="22"/>
                <w:szCs w:val="22"/>
              </w:rPr>
              <w:t xml:space="preserve">До</w:t>
            </w:r>
            <w:r>
              <w:rPr>
                <w:sz w:val="22"/>
                <w:szCs w:val="22"/>
              </w:rPr>
            </w:r>
            <w:r>
              <w:rPr>
                <w:sz w:val="22"/>
                <w:szCs w:val="22"/>
              </w:rPr>
            </w:r>
          </w:p>
          <w:p>
            <w:pPr>
              <w:pStyle w:val="964"/>
              <w:jc w:val="center"/>
              <w:widowControl w:val="off"/>
              <w:rPr>
                <w:sz w:val="22"/>
                <w:szCs w:val="22"/>
              </w:rPr>
            </w:pPr>
            <w:r>
              <w:rPr>
                <w:sz w:val="22"/>
                <w:szCs w:val="22"/>
              </w:rPr>
              <w:t xml:space="preserve">31.12.2025 г.</w:t>
            </w:r>
            <w:r>
              <w:rPr>
                <w:sz w:val="22"/>
                <w:szCs w:val="22"/>
              </w:rPr>
            </w:r>
            <w:r>
              <w:rPr>
                <w:sz w:val="22"/>
                <w:szCs w:val="22"/>
              </w:rPr>
            </w:r>
          </w:p>
        </w:tc>
      </w:tr>
      <w:tr>
        <w:tblPrEx/>
        <w:trPr>
          <w:trHeight w:val="363"/>
        </w:trPr>
        <w:tc>
          <w:tcPr>
            <w:tcW w:w="247" w:type="pct"/>
            <w:textDirection w:val="lrTb"/>
            <w:noWrap w:val="false"/>
          </w:tcPr>
          <w:p>
            <w:pPr>
              <w:jc w:val="both"/>
              <w:rPr>
                <w:sz w:val="22"/>
                <w:szCs w:val="22"/>
              </w:rPr>
            </w:pPr>
            <w:r>
              <w:rPr>
                <w:sz w:val="22"/>
                <w:szCs w:val="22"/>
              </w:rPr>
              <w:t xml:space="preserve">1.3.</w:t>
            </w:r>
            <w:r>
              <w:rPr>
                <w:sz w:val="22"/>
                <w:szCs w:val="22"/>
              </w:rPr>
            </w:r>
            <w:r>
              <w:rPr>
                <w:sz w:val="22"/>
                <w:szCs w:val="22"/>
              </w:rPr>
            </w:r>
          </w:p>
        </w:tc>
        <w:tc>
          <w:tcPr>
            <w:tcW w:w="1645" w:type="pct"/>
            <w:textDirection w:val="lrTb"/>
            <w:noWrap w:val="false"/>
          </w:tcPr>
          <w:p>
            <w:pPr>
              <w:ind w:right="115"/>
              <w:jc w:val="both"/>
              <w:rPr>
                <w:color w:val="00b050"/>
                <w:sz w:val="22"/>
                <w:szCs w:val="22"/>
              </w:rPr>
            </w:pPr>
            <w:r>
              <w:rPr>
                <w:sz w:val="22"/>
                <w:szCs w:val="22"/>
              </w:rPr>
              <w:t xml:space="preserve">Реконструкция котельной № 42/138 н.п. Спутник Печенгский муниципальный округ Мурманской области.</w:t>
            </w:r>
            <w:r>
              <w:rPr>
                <w:color w:val="00b050"/>
                <w:sz w:val="22"/>
                <w:szCs w:val="22"/>
              </w:rPr>
            </w:r>
            <w:r>
              <w:rPr>
                <w:color w:val="00b050"/>
                <w:sz w:val="22"/>
                <w:szCs w:val="22"/>
              </w:rPr>
            </w:r>
          </w:p>
        </w:tc>
        <w:tc>
          <w:tcPr>
            <w:shd w:val="clear" w:color="auto" w:fill="ffffff"/>
            <w:tcW w:w="743" w:type="pct"/>
            <w:vAlign w:val="center"/>
            <w:textDirection w:val="lrTb"/>
            <w:noWrap w:val="false"/>
          </w:tcPr>
          <w:p>
            <w:pPr>
              <w:pStyle w:val="964"/>
              <w:jc w:val="center"/>
              <w:widowControl w:val="off"/>
              <w:rPr>
                <w:sz w:val="22"/>
                <w:szCs w:val="22"/>
              </w:rPr>
            </w:pPr>
            <w:r>
              <w:rPr>
                <w:sz w:val="22"/>
                <w:szCs w:val="22"/>
              </w:rPr>
              <w:t xml:space="preserve">50 487 701,79</w:t>
            </w:r>
            <w:r>
              <w:rPr>
                <w:sz w:val="22"/>
                <w:szCs w:val="22"/>
              </w:rPr>
            </w:r>
            <w:r>
              <w:rPr>
                <w:sz w:val="22"/>
                <w:szCs w:val="22"/>
              </w:rPr>
            </w:r>
          </w:p>
        </w:tc>
        <w:tc>
          <w:tcPr>
            <w:shd w:val="clear" w:color="auto" w:fill="ffffff"/>
            <w:tcW w:w="878" w:type="pct"/>
            <w:vAlign w:val="center"/>
            <w:textDirection w:val="lrTb"/>
            <w:noWrap w:val="false"/>
          </w:tcPr>
          <w:p>
            <w:pPr>
              <w:pStyle w:val="964"/>
              <w:jc w:val="center"/>
              <w:widowControl w:val="off"/>
              <w:rPr>
                <w:sz w:val="22"/>
                <w:szCs w:val="22"/>
              </w:rPr>
            </w:pPr>
            <w:r>
              <w:rPr>
                <w:sz w:val="22"/>
                <w:szCs w:val="22"/>
              </w:rPr>
              <w:t xml:space="preserve">40 390 161,62</w:t>
            </w:r>
            <w:r>
              <w:rPr>
                <w:sz w:val="22"/>
                <w:szCs w:val="22"/>
              </w:rPr>
            </w:r>
            <w:r>
              <w:rPr>
                <w:sz w:val="22"/>
                <w:szCs w:val="22"/>
              </w:rPr>
            </w:r>
          </w:p>
        </w:tc>
        <w:tc>
          <w:tcPr>
            <w:shd w:val="clear" w:color="auto" w:fill="ffffff"/>
            <w:tcW w:w="743" w:type="pct"/>
            <w:vAlign w:val="center"/>
            <w:textDirection w:val="lrTb"/>
            <w:noWrap w:val="false"/>
          </w:tcPr>
          <w:p>
            <w:pPr>
              <w:pStyle w:val="964"/>
              <w:jc w:val="center"/>
              <w:widowControl w:val="off"/>
              <w:rPr>
                <w:sz w:val="22"/>
                <w:szCs w:val="22"/>
              </w:rPr>
            </w:pPr>
            <w:r>
              <w:rPr>
                <w:sz w:val="22"/>
                <w:szCs w:val="22"/>
              </w:rPr>
              <w:t xml:space="preserve">10 097 540,17</w:t>
            </w:r>
            <w:r>
              <w:rPr>
                <w:sz w:val="22"/>
                <w:szCs w:val="22"/>
              </w:rPr>
            </w:r>
            <w:r>
              <w:rPr>
                <w:sz w:val="22"/>
                <w:szCs w:val="22"/>
              </w:rPr>
            </w:r>
          </w:p>
        </w:tc>
        <w:tc>
          <w:tcPr>
            <w:shd w:val="clear" w:color="auto" w:fill="ffffff"/>
            <w:tcW w:w="743" w:type="pct"/>
            <w:vAlign w:val="center"/>
            <w:textDirection w:val="lrTb"/>
            <w:noWrap w:val="false"/>
          </w:tcPr>
          <w:p>
            <w:pPr>
              <w:pStyle w:val="964"/>
              <w:jc w:val="center"/>
              <w:widowControl w:val="off"/>
              <w:rPr>
                <w:sz w:val="22"/>
                <w:szCs w:val="22"/>
              </w:rPr>
            </w:pPr>
            <w:r>
              <w:rPr>
                <w:sz w:val="22"/>
                <w:szCs w:val="22"/>
              </w:rPr>
              <w:t xml:space="preserve">До</w:t>
            </w:r>
            <w:r>
              <w:rPr>
                <w:sz w:val="22"/>
                <w:szCs w:val="22"/>
              </w:rPr>
            </w:r>
            <w:r>
              <w:rPr>
                <w:sz w:val="22"/>
                <w:szCs w:val="22"/>
              </w:rPr>
            </w:r>
          </w:p>
          <w:p>
            <w:pPr>
              <w:pStyle w:val="964"/>
              <w:jc w:val="center"/>
              <w:widowControl w:val="off"/>
              <w:rPr>
                <w:sz w:val="22"/>
                <w:szCs w:val="22"/>
              </w:rPr>
            </w:pPr>
            <w:r>
              <w:rPr>
                <w:sz w:val="22"/>
                <w:szCs w:val="22"/>
              </w:rPr>
              <w:t xml:space="preserve">31.12.2025 г.</w:t>
            </w:r>
            <w:r>
              <w:rPr>
                <w:sz w:val="22"/>
                <w:szCs w:val="22"/>
              </w:rPr>
            </w:r>
            <w:r>
              <w:rPr>
                <w:sz w:val="22"/>
                <w:szCs w:val="22"/>
              </w:rPr>
            </w:r>
          </w:p>
        </w:tc>
      </w:tr>
      <w:tr>
        <w:tblPrEx/>
        <w:trPr>
          <w:trHeight w:val="363"/>
        </w:trPr>
        <w:tc>
          <w:tcPr>
            <w:tcW w:w="247" w:type="pct"/>
            <w:textDirection w:val="lrTb"/>
            <w:noWrap w:val="false"/>
          </w:tcPr>
          <w:p>
            <w:pPr>
              <w:jc w:val="both"/>
              <w:rPr>
                <w:sz w:val="22"/>
                <w:szCs w:val="22"/>
              </w:rPr>
            </w:pPr>
            <w:r>
              <w:rPr>
                <w:sz w:val="22"/>
                <w:szCs w:val="22"/>
              </w:rPr>
              <w:t xml:space="preserve">1.4.</w:t>
            </w:r>
            <w:r>
              <w:rPr>
                <w:sz w:val="22"/>
                <w:szCs w:val="22"/>
              </w:rPr>
            </w:r>
            <w:r>
              <w:rPr>
                <w:sz w:val="22"/>
                <w:szCs w:val="22"/>
              </w:rPr>
            </w:r>
          </w:p>
        </w:tc>
        <w:tc>
          <w:tcPr>
            <w:tcW w:w="1645" w:type="pct"/>
            <w:textDirection w:val="lrTb"/>
            <w:noWrap w:val="false"/>
          </w:tcPr>
          <w:p>
            <w:pPr>
              <w:ind w:right="115"/>
              <w:jc w:val="both"/>
              <w:rPr>
                <w:sz w:val="22"/>
                <w:szCs w:val="22"/>
              </w:rPr>
            </w:pPr>
            <w:r>
              <w:rPr>
                <w:sz w:val="22"/>
                <w:szCs w:val="22"/>
              </w:rPr>
              <w:t xml:space="preserve">Реконструкция котельной № 13/55 пгт. Печенга Печенгский муниципальный округ Мурманской области.</w:t>
            </w:r>
            <w:r>
              <w:rPr>
                <w:sz w:val="22"/>
                <w:szCs w:val="22"/>
              </w:rPr>
            </w:r>
            <w:r>
              <w:rPr>
                <w:sz w:val="22"/>
                <w:szCs w:val="22"/>
              </w:rPr>
            </w:r>
          </w:p>
        </w:tc>
        <w:tc>
          <w:tcPr>
            <w:shd w:val="clear" w:color="auto" w:fill="ffffff"/>
            <w:tcW w:w="743" w:type="pct"/>
            <w:vAlign w:val="center"/>
            <w:textDirection w:val="lrTb"/>
            <w:noWrap w:val="false"/>
          </w:tcPr>
          <w:p>
            <w:pPr>
              <w:pStyle w:val="964"/>
              <w:jc w:val="center"/>
              <w:widowControl w:val="off"/>
              <w:rPr>
                <w:sz w:val="22"/>
                <w:szCs w:val="22"/>
              </w:rPr>
            </w:pPr>
            <w:r>
              <w:rPr>
                <w:sz w:val="22"/>
                <w:szCs w:val="22"/>
              </w:rPr>
              <w:t xml:space="preserve">21 388 864,69</w:t>
            </w:r>
            <w:r>
              <w:rPr>
                <w:sz w:val="22"/>
                <w:szCs w:val="22"/>
              </w:rPr>
            </w:r>
            <w:r>
              <w:rPr>
                <w:sz w:val="22"/>
                <w:szCs w:val="22"/>
              </w:rPr>
            </w:r>
          </w:p>
        </w:tc>
        <w:tc>
          <w:tcPr>
            <w:shd w:val="clear" w:color="auto" w:fill="ffffff"/>
            <w:tcW w:w="878" w:type="pct"/>
            <w:vAlign w:val="center"/>
            <w:textDirection w:val="lrTb"/>
            <w:noWrap w:val="false"/>
          </w:tcPr>
          <w:p>
            <w:pPr>
              <w:pStyle w:val="964"/>
              <w:jc w:val="center"/>
              <w:widowControl w:val="off"/>
              <w:rPr>
                <w:sz w:val="22"/>
                <w:szCs w:val="22"/>
              </w:rPr>
            </w:pPr>
            <w:r>
              <w:rPr>
                <w:sz w:val="22"/>
                <w:szCs w:val="22"/>
              </w:rPr>
              <w:t xml:space="preserve">17 111 090,91</w:t>
            </w:r>
            <w:r>
              <w:rPr>
                <w:sz w:val="22"/>
                <w:szCs w:val="22"/>
              </w:rPr>
            </w:r>
            <w:r>
              <w:rPr>
                <w:sz w:val="22"/>
                <w:szCs w:val="22"/>
              </w:rPr>
            </w:r>
          </w:p>
        </w:tc>
        <w:tc>
          <w:tcPr>
            <w:shd w:val="clear" w:color="auto" w:fill="ffffff"/>
            <w:tcW w:w="743" w:type="pct"/>
            <w:vAlign w:val="center"/>
            <w:textDirection w:val="lrTb"/>
            <w:noWrap w:val="false"/>
          </w:tcPr>
          <w:p>
            <w:pPr>
              <w:pStyle w:val="964"/>
              <w:jc w:val="center"/>
              <w:widowControl w:val="off"/>
              <w:rPr>
                <w:sz w:val="22"/>
                <w:szCs w:val="22"/>
              </w:rPr>
            </w:pPr>
            <w:r>
              <w:rPr>
                <w:sz w:val="22"/>
                <w:szCs w:val="22"/>
              </w:rPr>
              <w:t xml:space="preserve">4 277 773,78</w:t>
            </w:r>
            <w:r>
              <w:rPr>
                <w:sz w:val="22"/>
                <w:szCs w:val="22"/>
              </w:rPr>
            </w:r>
            <w:r>
              <w:rPr>
                <w:sz w:val="22"/>
                <w:szCs w:val="22"/>
              </w:rPr>
            </w:r>
          </w:p>
        </w:tc>
        <w:tc>
          <w:tcPr>
            <w:shd w:val="clear" w:color="auto" w:fill="ffffff"/>
            <w:tcW w:w="743" w:type="pct"/>
            <w:vAlign w:val="center"/>
            <w:textDirection w:val="lrTb"/>
            <w:noWrap w:val="false"/>
          </w:tcPr>
          <w:p>
            <w:pPr>
              <w:pStyle w:val="964"/>
              <w:jc w:val="center"/>
              <w:widowControl w:val="off"/>
              <w:rPr>
                <w:sz w:val="22"/>
                <w:szCs w:val="22"/>
              </w:rPr>
            </w:pPr>
            <w:r>
              <w:rPr>
                <w:sz w:val="22"/>
                <w:szCs w:val="22"/>
              </w:rPr>
              <w:t xml:space="preserve">До</w:t>
            </w:r>
            <w:r>
              <w:rPr>
                <w:sz w:val="22"/>
                <w:szCs w:val="22"/>
              </w:rPr>
            </w:r>
            <w:r>
              <w:rPr>
                <w:sz w:val="22"/>
                <w:szCs w:val="22"/>
              </w:rPr>
            </w:r>
          </w:p>
          <w:p>
            <w:pPr>
              <w:pStyle w:val="964"/>
              <w:jc w:val="center"/>
              <w:widowControl w:val="off"/>
              <w:rPr>
                <w:sz w:val="22"/>
                <w:szCs w:val="22"/>
              </w:rPr>
            </w:pPr>
            <w:r>
              <w:rPr>
                <w:sz w:val="22"/>
                <w:szCs w:val="22"/>
              </w:rPr>
              <w:t xml:space="preserve">31.12.2025 г.</w:t>
            </w:r>
            <w:r>
              <w:rPr>
                <w:sz w:val="22"/>
                <w:szCs w:val="22"/>
              </w:rPr>
            </w:r>
            <w:r>
              <w:rPr>
                <w:sz w:val="22"/>
                <w:szCs w:val="22"/>
              </w:rPr>
            </w:r>
          </w:p>
        </w:tc>
      </w:tr>
      <w:tr>
        <w:tblPrEx/>
        <w:trPr>
          <w:trHeight w:val="363"/>
        </w:trPr>
        <w:tc>
          <w:tcPr>
            <w:tcW w:w="247" w:type="pct"/>
            <w:textDirection w:val="lrTb"/>
            <w:noWrap w:val="false"/>
          </w:tcPr>
          <w:p>
            <w:pPr>
              <w:jc w:val="both"/>
              <w:rPr>
                <w:sz w:val="22"/>
                <w:szCs w:val="22"/>
              </w:rPr>
            </w:pPr>
            <w:r>
              <w:rPr>
                <w:sz w:val="22"/>
                <w:szCs w:val="22"/>
              </w:rPr>
              <w:t xml:space="preserve">2.</w:t>
            </w:r>
            <w:r>
              <w:rPr>
                <w:sz w:val="22"/>
                <w:szCs w:val="22"/>
              </w:rPr>
            </w:r>
            <w:r>
              <w:rPr>
                <w:sz w:val="22"/>
                <w:szCs w:val="22"/>
              </w:rPr>
            </w:r>
          </w:p>
        </w:tc>
        <w:tc>
          <w:tcPr>
            <w:gridSpan w:val="5"/>
            <w:tcW w:w="4753" w:type="pct"/>
            <w:textDirection w:val="lrTb"/>
            <w:noWrap w:val="false"/>
          </w:tcPr>
          <w:p>
            <w:pPr>
              <w:pStyle w:val="964"/>
              <w:jc w:val="both"/>
              <w:widowControl w:val="off"/>
              <w:rPr>
                <w:b/>
                <w:sz w:val="22"/>
                <w:szCs w:val="22"/>
              </w:rPr>
            </w:pPr>
            <w:r>
              <w:rPr>
                <w:b/>
                <w:sz w:val="22"/>
                <w:szCs w:val="22"/>
              </w:rPr>
              <w:t xml:space="preserve">Реконструкция тепловых сетей.</w:t>
            </w:r>
            <w:r>
              <w:rPr>
                <w:b/>
                <w:sz w:val="22"/>
                <w:szCs w:val="22"/>
              </w:rPr>
            </w:r>
            <w:r>
              <w:rPr>
                <w:b/>
                <w:sz w:val="22"/>
                <w:szCs w:val="22"/>
              </w:rPr>
            </w:r>
          </w:p>
        </w:tc>
      </w:tr>
      <w:tr>
        <w:tblPrEx/>
        <w:trPr>
          <w:trHeight w:val="363"/>
        </w:trPr>
        <w:tc>
          <w:tcPr>
            <w:tcW w:w="247" w:type="pct"/>
            <w:textDirection w:val="lrTb"/>
            <w:noWrap w:val="false"/>
          </w:tcPr>
          <w:p>
            <w:pPr>
              <w:jc w:val="both"/>
              <w:rPr>
                <w:sz w:val="22"/>
                <w:szCs w:val="22"/>
              </w:rPr>
            </w:pPr>
            <w:r>
              <w:rPr>
                <w:sz w:val="22"/>
                <w:szCs w:val="22"/>
              </w:rPr>
              <w:t xml:space="preserve">2.1.</w:t>
            </w:r>
            <w:r>
              <w:rPr>
                <w:sz w:val="22"/>
                <w:szCs w:val="22"/>
              </w:rPr>
            </w:r>
            <w:r>
              <w:rPr>
                <w:sz w:val="22"/>
                <w:szCs w:val="22"/>
              </w:rPr>
            </w:r>
          </w:p>
        </w:tc>
        <w:tc>
          <w:tcPr>
            <w:tcW w:w="1645" w:type="pct"/>
            <w:textDirection w:val="lrTb"/>
            <w:noWrap w:val="false"/>
          </w:tcPr>
          <w:p>
            <w:pPr>
              <w:ind w:right="114"/>
              <w:jc w:val="both"/>
              <w:rPr>
                <w:sz w:val="22"/>
                <w:szCs w:val="22"/>
              </w:rPr>
            </w:pPr>
            <w:r>
              <w:rPr>
                <w:sz w:val="22"/>
                <w:szCs w:val="22"/>
              </w:rPr>
              <w:t xml:space="preserve">Реконструкция тепловой сети котельной № 13/73 ул. Стадионная п.г.т. Печенга Печенгский муниципальный округ Мурманской области. Сет</w:t>
            </w:r>
            <w:r>
              <w:rPr>
                <w:sz w:val="22"/>
                <w:szCs w:val="22"/>
              </w:rPr>
              <w:t xml:space="preserve">ь ЦО и ГВС по участкам: От котельной до узла распределения точка «А» в районе ТК-1;  От точки «А» в районе ТК-1 в сторону МКД № 7 до МКД № 8   через МКД № 5 с ответвлением на МКД № 10;  От точки «А» в районе ТК-1 в сторону МКД № 4 до МКД № 9 через МКД № 3.</w:t>
            </w:r>
            <w:r>
              <w:rPr>
                <w:sz w:val="22"/>
                <w:szCs w:val="22"/>
              </w:rPr>
            </w:r>
            <w:r>
              <w:rPr>
                <w:sz w:val="22"/>
                <w:szCs w:val="22"/>
              </w:rPr>
            </w:r>
          </w:p>
        </w:tc>
        <w:tc>
          <w:tcPr>
            <w:shd w:val="clear" w:color="auto" w:fill="ffffff"/>
            <w:tcW w:w="743" w:type="pct"/>
            <w:vAlign w:val="center"/>
            <w:textDirection w:val="lrTb"/>
            <w:noWrap w:val="false"/>
          </w:tcPr>
          <w:p>
            <w:pPr>
              <w:pStyle w:val="964"/>
              <w:jc w:val="center"/>
              <w:widowControl w:val="off"/>
              <w:rPr>
                <w:sz w:val="22"/>
                <w:szCs w:val="22"/>
              </w:rPr>
            </w:pPr>
            <w:r>
              <w:rPr>
                <w:sz w:val="22"/>
                <w:szCs w:val="22"/>
              </w:rPr>
              <w:t xml:space="preserve">45 652 244,05</w:t>
            </w:r>
            <w:r>
              <w:rPr>
                <w:sz w:val="22"/>
                <w:szCs w:val="22"/>
              </w:rPr>
            </w:r>
            <w:r>
              <w:rPr>
                <w:sz w:val="22"/>
                <w:szCs w:val="22"/>
              </w:rPr>
            </w:r>
          </w:p>
        </w:tc>
        <w:tc>
          <w:tcPr>
            <w:shd w:val="clear" w:color="auto" w:fill="ffffff"/>
            <w:tcW w:w="878" w:type="pct"/>
            <w:vAlign w:val="center"/>
            <w:textDirection w:val="lrTb"/>
            <w:noWrap w:val="false"/>
          </w:tcPr>
          <w:p>
            <w:pPr>
              <w:pStyle w:val="964"/>
              <w:jc w:val="center"/>
              <w:widowControl w:val="off"/>
              <w:rPr>
                <w:sz w:val="22"/>
                <w:szCs w:val="22"/>
              </w:rPr>
            </w:pPr>
            <w:r>
              <w:rPr>
                <w:sz w:val="22"/>
                <w:szCs w:val="22"/>
              </w:rPr>
              <w:t xml:space="preserve">36 521 790,00</w:t>
            </w:r>
            <w:r>
              <w:rPr>
                <w:sz w:val="22"/>
                <w:szCs w:val="22"/>
              </w:rPr>
            </w:r>
            <w:r>
              <w:rPr>
                <w:sz w:val="22"/>
                <w:szCs w:val="22"/>
              </w:rPr>
            </w:r>
          </w:p>
        </w:tc>
        <w:tc>
          <w:tcPr>
            <w:shd w:val="clear" w:color="auto" w:fill="ffffff"/>
            <w:tcW w:w="743" w:type="pct"/>
            <w:vAlign w:val="center"/>
            <w:textDirection w:val="lrTb"/>
            <w:noWrap w:val="false"/>
          </w:tcPr>
          <w:p>
            <w:pPr>
              <w:pStyle w:val="964"/>
              <w:jc w:val="center"/>
              <w:widowControl w:val="off"/>
              <w:rPr>
                <w:sz w:val="22"/>
                <w:szCs w:val="22"/>
              </w:rPr>
            </w:pPr>
            <w:r>
              <w:rPr>
                <w:sz w:val="22"/>
                <w:szCs w:val="22"/>
              </w:rPr>
              <w:t xml:space="preserve">9 130 454,05</w:t>
            </w:r>
            <w:r>
              <w:rPr>
                <w:sz w:val="22"/>
                <w:szCs w:val="22"/>
              </w:rPr>
            </w:r>
            <w:r>
              <w:rPr>
                <w:sz w:val="22"/>
                <w:szCs w:val="22"/>
              </w:rPr>
            </w:r>
          </w:p>
        </w:tc>
        <w:tc>
          <w:tcPr>
            <w:shd w:val="clear" w:color="auto" w:fill="ffffff"/>
            <w:tcW w:w="743" w:type="pct"/>
            <w:vAlign w:val="center"/>
            <w:textDirection w:val="lrTb"/>
            <w:noWrap w:val="false"/>
          </w:tcPr>
          <w:p>
            <w:pPr>
              <w:pStyle w:val="964"/>
              <w:jc w:val="center"/>
              <w:widowControl w:val="off"/>
              <w:rPr>
                <w:sz w:val="22"/>
                <w:szCs w:val="22"/>
              </w:rPr>
            </w:pPr>
            <w:r>
              <w:rPr>
                <w:sz w:val="22"/>
                <w:szCs w:val="22"/>
              </w:rPr>
              <w:t xml:space="preserve">До</w:t>
            </w:r>
            <w:r>
              <w:rPr>
                <w:sz w:val="22"/>
                <w:szCs w:val="22"/>
              </w:rPr>
            </w:r>
            <w:r>
              <w:rPr>
                <w:sz w:val="22"/>
                <w:szCs w:val="22"/>
              </w:rPr>
            </w:r>
          </w:p>
          <w:p>
            <w:pPr>
              <w:pStyle w:val="964"/>
              <w:jc w:val="center"/>
              <w:widowControl w:val="off"/>
              <w:rPr>
                <w:sz w:val="22"/>
                <w:szCs w:val="22"/>
              </w:rPr>
            </w:pPr>
            <w:r>
              <w:rPr>
                <w:sz w:val="22"/>
                <w:szCs w:val="22"/>
              </w:rPr>
              <w:t xml:space="preserve">31.12.2025 г.</w:t>
            </w:r>
            <w:r>
              <w:rPr>
                <w:sz w:val="22"/>
                <w:szCs w:val="22"/>
              </w:rPr>
            </w:r>
            <w:r>
              <w:rPr>
                <w:sz w:val="22"/>
                <w:szCs w:val="22"/>
              </w:rPr>
            </w:r>
          </w:p>
        </w:tc>
      </w:tr>
      <w:tr>
        <w:tblPrEx/>
        <w:trPr>
          <w:trHeight w:val="363"/>
        </w:trPr>
        <w:tc>
          <w:tcPr>
            <w:tcBorders>
              <w:right w:val="single" w:color="auto" w:sz="4" w:space="0"/>
            </w:tcBorders>
            <w:tcW w:w="247" w:type="pct"/>
            <w:textDirection w:val="lrTb"/>
            <w:noWrap w:val="false"/>
          </w:tcPr>
          <w:p>
            <w:pPr>
              <w:jc w:val="both"/>
              <w:rPr>
                <w:sz w:val="22"/>
                <w:szCs w:val="22"/>
              </w:rPr>
            </w:pPr>
            <w:r>
              <w:rPr>
                <w:sz w:val="22"/>
                <w:szCs w:val="22"/>
              </w:rPr>
              <w:t xml:space="preserve">2.2.</w:t>
            </w:r>
            <w:r>
              <w:rPr>
                <w:sz w:val="22"/>
                <w:szCs w:val="22"/>
              </w:rPr>
            </w:r>
            <w:r>
              <w:rPr>
                <w:sz w:val="22"/>
                <w:szCs w:val="22"/>
              </w:rPr>
            </w:r>
          </w:p>
        </w:tc>
        <w:tc>
          <w:tcPr>
            <w:tcW w:w="1645" w:type="pct"/>
            <w:textDirection w:val="lrTb"/>
            <w:noWrap w:val="false"/>
          </w:tcPr>
          <w:p>
            <w:pPr>
              <w:ind w:right="114"/>
              <w:jc w:val="both"/>
              <w:rPr>
                <w:sz w:val="22"/>
                <w:szCs w:val="22"/>
              </w:rPr>
            </w:pPr>
            <w:r>
              <w:rPr>
                <w:sz w:val="22"/>
                <w:szCs w:val="22"/>
              </w:rPr>
              <w:t xml:space="preserve">Реконструкция тепловой сети котельной № 4/152 ж/д ст. 19 км. п.г.т. Печенга Печенгский </w:t>
            </w:r>
            <w:r>
              <w:rPr>
                <w:sz w:val="22"/>
                <w:szCs w:val="22"/>
              </w:rPr>
              <w:t xml:space="preserve">муниципальный округ Мурманской области. Сеть ЦО по участкам:  От точки врезки от центральной трассы до точки </w:t>
            </w:r>
            <w:r>
              <w:rPr>
                <w:sz w:val="22"/>
                <w:szCs w:val="22"/>
              </w:rPr>
              <w:t xml:space="preserve">врезки в МКД № 2, транзитом через МКД № 2 до точки врезки в МКД № 4;  От точки врезки от центральной трассы до точки врезки в МКД № 3;  От точки врезки от центральной трассы до точки врезки в МКД № 1;  От угла МКД № 1 до ТК № 1 возле дороги.  Сеть ГВС по у</w:t>
            </w:r>
            <w:r>
              <w:rPr>
                <w:sz w:val="22"/>
                <w:szCs w:val="22"/>
              </w:rPr>
              <w:t xml:space="preserve">часткам:  От точки врезки от центральной трассы до точки врезки в МКД № 2, транзитом через МКД № 2 до точки врезки в МКД № 4; От точки врезки от центральной трассы до точки врезки в МКД № 3;  От точки врезки от центральной трассы до точки врезки в МКД № 1.</w:t>
            </w:r>
            <w:r>
              <w:rPr>
                <w:sz w:val="22"/>
                <w:szCs w:val="22"/>
              </w:rPr>
            </w:r>
            <w:r>
              <w:rPr>
                <w:sz w:val="22"/>
                <w:szCs w:val="22"/>
              </w:rPr>
            </w:r>
          </w:p>
        </w:tc>
        <w:tc>
          <w:tcPr>
            <w:shd w:val="clear" w:color="auto" w:fill="ffffff"/>
            <w:tcBorders>
              <w:left w:val="single" w:color="auto" w:sz="4" w:space="0"/>
            </w:tcBorders>
            <w:tcW w:w="743" w:type="pct"/>
            <w:vAlign w:val="center"/>
            <w:textDirection w:val="lrTb"/>
            <w:noWrap w:val="false"/>
          </w:tcPr>
          <w:p>
            <w:pPr>
              <w:pStyle w:val="964"/>
              <w:jc w:val="center"/>
              <w:widowControl w:val="off"/>
              <w:rPr>
                <w:sz w:val="22"/>
                <w:szCs w:val="22"/>
              </w:rPr>
            </w:pPr>
            <w:r>
              <w:rPr>
                <w:sz w:val="22"/>
                <w:szCs w:val="22"/>
              </w:rPr>
              <w:t xml:space="preserve">7 304 372,83</w:t>
            </w:r>
            <w:r>
              <w:rPr>
                <w:sz w:val="22"/>
                <w:szCs w:val="22"/>
              </w:rPr>
            </w:r>
            <w:r>
              <w:rPr>
                <w:sz w:val="22"/>
                <w:szCs w:val="22"/>
              </w:rPr>
            </w:r>
          </w:p>
        </w:tc>
        <w:tc>
          <w:tcPr>
            <w:shd w:val="clear" w:color="auto" w:fill="ffffff"/>
            <w:tcW w:w="878" w:type="pct"/>
            <w:vAlign w:val="center"/>
            <w:textDirection w:val="lrTb"/>
            <w:noWrap w:val="false"/>
          </w:tcPr>
          <w:p>
            <w:pPr>
              <w:pStyle w:val="964"/>
              <w:jc w:val="center"/>
              <w:widowControl w:val="off"/>
              <w:rPr>
                <w:sz w:val="22"/>
                <w:szCs w:val="22"/>
              </w:rPr>
            </w:pPr>
            <w:r>
              <w:rPr>
                <w:sz w:val="22"/>
                <w:szCs w:val="22"/>
              </w:rPr>
              <w:t xml:space="preserve">5 843 500,00</w:t>
            </w:r>
            <w:r>
              <w:rPr>
                <w:sz w:val="22"/>
                <w:szCs w:val="22"/>
              </w:rPr>
            </w:r>
            <w:r>
              <w:rPr>
                <w:sz w:val="22"/>
                <w:szCs w:val="22"/>
              </w:rPr>
            </w:r>
          </w:p>
        </w:tc>
        <w:tc>
          <w:tcPr>
            <w:shd w:val="clear" w:color="auto" w:fill="ffffff"/>
            <w:tcW w:w="743" w:type="pct"/>
            <w:vAlign w:val="center"/>
            <w:textDirection w:val="lrTb"/>
            <w:noWrap w:val="false"/>
          </w:tcPr>
          <w:p>
            <w:pPr>
              <w:pStyle w:val="964"/>
              <w:jc w:val="center"/>
              <w:widowControl w:val="off"/>
              <w:rPr>
                <w:sz w:val="22"/>
                <w:szCs w:val="22"/>
              </w:rPr>
            </w:pPr>
            <w:r>
              <w:rPr>
                <w:sz w:val="22"/>
                <w:szCs w:val="22"/>
              </w:rPr>
              <w:t xml:space="preserve">1 460 872,83</w:t>
            </w:r>
            <w:r>
              <w:rPr>
                <w:sz w:val="22"/>
                <w:szCs w:val="22"/>
              </w:rPr>
            </w:r>
            <w:r>
              <w:rPr>
                <w:sz w:val="22"/>
                <w:szCs w:val="22"/>
              </w:rPr>
            </w:r>
          </w:p>
        </w:tc>
        <w:tc>
          <w:tcPr>
            <w:shd w:val="clear" w:color="auto" w:fill="ffffff"/>
            <w:tcW w:w="743" w:type="pct"/>
            <w:vAlign w:val="center"/>
            <w:textDirection w:val="lrTb"/>
            <w:noWrap w:val="false"/>
          </w:tcPr>
          <w:p>
            <w:pPr>
              <w:pStyle w:val="964"/>
              <w:jc w:val="center"/>
              <w:widowControl w:val="off"/>
              <w:rPr>
                <w:sz w:val="22"/>
                <w:szCs w:val="22"/>
              </w:rPr>
            </w:pPr>
            <w:r>
              <w:rPr>
                <w:sz w:val="22"/>
                <w:szCs w:val="22"/>
              </w:rPr>
              <w:t xml:space="preserve">До</w:t>
            </w:r>
            <w:r>
              <w:rPr>
                <w:sz w:val="22"/>
                <w:szCs w:val="22"/>
              </w:rPr>
            </w:r>
            <w:r>
              <w:rPr>
                <w:sz w:val="22"/>
                <w:szCs w:val="22"/>
              </w:rPr>
            </w:r>
          </w:p>
          <w:p>
            <w:pPr>
              <w:pStyle w:val="964"/>
              <w:jc w:val="center"/>
              <w:widowControl w:val="off"/>
              <w:rPr>
                <w:sz w:val="22"/>
                <w:szCs w:val="22"/>
              </w:rPr>
            </w:pPr>
            <w:r>
              <w:rPr>
                <w:sz w:val="22"/>
                <w:szCs w:val="22"/>
              </w:rPr>
              <w:t xml:space="preserve">31.12.2024 г.</w:t>
            </w:r>
            <w:r>
              <w:rPr>
                <w:sz w:val="22"/>
                <w:szCs w:val="22"/>
              </w:rPr>
            </w:r>
            <w:r>
              <w:rPr>
                <w:sz w:val="22"/>
                <w:szCs w:val="22"/>
              </w:rPr>
            </w:r>
          </w:p>
        </w:tc>
      </w:tr>
      <w:tr>
        <w:tblPrEx/>
        <w:trPr>
          <w:trHeight w:val="363"/>
        </w:trPr>
        <w:tc>
          <w:tcPr>
            <w:tcBorders>
              <w:right w:val="single" w:color="auto" w:sz="4" w:space="0"/>
            </w:tcBorders>
            <w:tcW w:w="247" w:type="pct"/>
            <w:textDirection w:val="lrTb"/>
            <w:noWrap w:val="false"/>
          </w:tcPr>
          <w:p>
            <w:pPr>
              <w:jc w:val="both"/>
              <w:rPr>
                <w:sz w:val="22"/>
                <w:szCs w:val="22"/>
              </w:rPr>
            </w:pPr>
            <w:r>
              <w:rPr>
                <w:sz w:val="22"/>
                <w:szCs w:val="22"/>
              </w:rPr>
              <w:t xml:space="preserve">2.3.</w:t>
            </w:r>
            <w:r>
              <w:rPr>
                <w:sz w:val="22"/>
                <w:szCs w:val="22"/>
              </w:rPr>
            </w:r>
            <w:r>
              <w:rPr>
                <w:sz w:val="22"/>
                <w:szCs w:val="22"/>
              </w:rPr>
            </w:r>
          </w:p>
        </w:tc>
        <w:tc>
          <w:tcPr>
            <w:tcW w:w="1645" w:type="pct"/>
            <w:textDirection w:val="lrTb"/>
            <w:noWrap w:val="false"/>
          </w:tcPr>
          <w:p>
            <w:pPr>
              <w:ind w:right="114"/>
              <w:jc w:val="both"/>
              <w:rPr>
                <w:sz w:val="22"/>
                <w:szCs w:val="22"/>
              </w:rPr>
            </w:pPr>
            <w:r>
              <w:rPr>
                <w:sz w:val="22"/>
                <w:szCs w:val="22"/>
              </w:rPr>
              <w:t xml:space="preserve">Реконструкция тепловой сети от котельной № 42/138 ул. Новая  н.п. Спутник Печенгский муниципальный округ Мурманской области.  Сеть ЦО по участкам: </w:t>
            </w:r>
            <w:r>
              <w:rPr>
                <w:sz w:val="22"/>
                <w:szCs w:val="22"/>
              </w:rPr>
            </w:r>
            <w:r>
              <w:rPr>
                <w:sz w:val="22"/>
                <w:szCs w:val="22"/>
              </w:rPr>
            </w:r>
          </w:p>
          <w:p>
            <w:pPr>
              <w:ind w:right="114"/>
              <w:jc w:val="both"/>
              <w:rPr>
                <w:sz w:val="22"/>
                <w:szCs w:val="22"/>
              </w:rPr>
            </w:pPr>
            <w:r>
              <w:rPr>
                <w:sz w:val="22"/>
                <w:szCs w:val="22"/>
              </w:rPr>
              <w:t xml:space="preserve">От котельной № 138 до ТК № 2 (возле МКД № 16);  От центральной трассы до точки врезки в МКД № 8 ;  От ТК №2 до МКД № 16; От ТК № 2 до МКД № 19 ; От ТК 2 до ТК № 3 (возле МК</w:t>
            </w:r>
            <w:r>
              <w:rPr>
                <w:sz w:val="22"/>
                <w:szCs w:val="22"/>
              </w:rPr>
              <w:t xml:space="preserve">Д 17) ;  От тк № 3 до МКД № 17;  От ТК 3 до МКД № 21;  От ТК 3 до МКД №  20;  От котельной  № 138 до ТК № 1 (возле КПП);  От ТК № 1 до детского сада № 13;  От центральной трассы до точки врезки в МКД № 18;  От центральной трассы до точки врезки в МКД № 20.</w:t>
            </w:r>
            <w:r>
              <w:rPr>
                <w:sz w:val="22"/>
                <w:szCs w:val="22"/>
              </w:rPr>
            </w:r>
            <w:r>
              <w:rPr>
                <w:sz w:val="22"/>
                <w:szCs w:val="22"/>
              </w:rPr>
            </w:r>
          </w:p>
          <w:p>
            <w:pPr>
              <w:ind w:right="114"/>
              <w:jc w:val="both"/>
              <w:rPr>
                <w:b/>
                <w:sz w:val="22"/>
                <w:szCs w:val="22"/>
              </w:rPr>
            </w:pPr>
            <w:r>
              <w:rPr>
                <w:sz w:val="22"/>
                <w:szCs w:val="22"/>
              </w:rPr>
              <w:t xml:space="preserve">Сеть ГВС по участка</w:t>
            </w:r>
            <w:r>
              <w:rPr>
                <w:sz w:val="22"/>
                <w:szCs w:val="22"/>
              </w:rPr>
              <w:t xml:space="preserve">м:  От котельной № 138 до ТК № 2 (возле МКД № 16);  От ТК №2 до МКД № 16;  От ТК № 2 до МКД № 19;  От ТК 2 до ТК № 3 (возле МКД 17);  От тк № 3 до МКД № 17; От ТК 3 до МКД № 21; От ТК 3 до МКД №  20;  От компенсатора котельной  № 138 до ТК № 1 (возле КПП).</w:t>
            </w:r>
            <w:r>
              <w:rPr>
                <w:b/>
                <w:sz w:val="22"/>
                <w:szCs w:val="22"/>
              </w:rPr>
            </w:r>
            <w:r>
              <w:rPr>
                <w:b/>
                <w:sz w:val="22"/>
                <w:szCs w:val="22"/>
              </w:rPr>
            </w:r>
          </w:p>
        </w:tc>
        <w:tc>
          <w:tcPr>
            <w:shd w:val="clear" w:color="auto" w:fill="ffffff"/>
            <w:tcBorders>
              <w:left w:val="single" w:color="auto" w:sz="4" w:space="0"/>
            </w:tcBorders>
            <w:tcW w:w="743" w:type="pct"/>
            <w:vAlign w:val="center"/>
            <w:textDirection w:val="lrTb"/>
            <w:noWrap w:val="false"/>
          </w:tcPr>
          <w:p>
            <w:pPr>
              <w:pStyle w:val="964"/>
              <w:jc w:val="center"/>
              <w:widowControl w:val="off"/>
              <w:rPr>
                <w:sz w:val="22"/>
                <w:szCs w:val="22"/>
              </w:rPr>
            </w:pPr>
            <w:r>
              <w:rPr>
                <w:sz w:val="22"/>
                <w:szCs w:val="22"/>
              </w:rPr>
              <w:t xml:space="preserve">48 354 375,64</w:t>
            </w:r>
            <w:r>
              <w:rPr>
                <w:sz w:val="22"/>
                <w:szCs w:val="22"/>
              </w:rPr>
            </w:r>
            <w:r>
              <w:rPr>
                <w:sz w:val="22"/>
                <w:szCs w:val="22"/>
              </w:rPr>
            </w:r>
          </w:p>
        </w:tc>
        <w:tc>
          <w:tcPr>
            <w:shd w:val="clear" w:color="auto" w:fill="ffffff"/>
            <w:tcW w:w="878" w:type="pct"/>
            <w:vAlign w:val="center"/>
            <w:textDirection w:val="lrTb"/>
            <w:noWrap w:val="false"/>
          </w:tcPr>
          <w:p>
            <w:pPr>
              <w:pStyle w:val="964"/>
              <w:jc w:val="center"/>
              <w:widowControl w:val="off"/>
              <w:rPr>
                <w:sz w:val="22"/>
                <w:szCs w:val="22"/>
              </w:rPr>
            </w:pPr>
            <w:r>
              <w:rPr>
                <w:sz w:val="22"/>
                <w:szCs w:val="22"/>
              </w:rPr>
              <w:t xml:space="preserve">38 683 500,00</w:t>
            </w:r>
            <w:r>
              <w:rPr>
                <w:sz w:val="22"/>
                <w:szCs w:val="22"/>
              </w:rPr>
            </w:r>
            <w:r>
              <w:rPr>
                <w:sz w:val="22"/>
                <w:szCs w:val="22"/>
              </w:rPr>
            </w:r>
          </w:p>
        </w:tc>
        <w:tc>
          <w:tcPr>
            <w:shd w:val="clear" w:color="auto" w:fill="ffffff"/>
            <w:tcW w:w="743" w:type="pct"/>
            <w:vAlign w:val="center"/>
            <w:textDirection w:val="lrTb"/>
            <w:noWrap w:val="false"/>
          </w:tcPr>
          <w:p>
            <w:pPr>
              <w:pStyle w:val="964"/>
              <w:jc w:val="center"/>
              <w:widowControl w:val="off"/>
              <w:rPr>
                <w:sz w:val="22"/>
                <w:szCs w:val="22"/>
              </w:rPr>
            </w:pPr>
            <w:r>
              <w:rPr>
                <w:sz w:val="22"/>
                <w:szCs w:val="22"/>
              </w:rPr>
              <w:t xml:space="preserve">9 670875,64</w:t>
            </w:r>
            <w:r>
              <w:rPr>
                <w:sz w:val="22"/>
                <w:szCs w:val="22"/>
              </w:rPr>
            </w:r>
            <w:r>
              <w:rPr>
                <w:sz w:val="22"/>
                <w:szCs w:val="22"/>
              </w:rPr>
            </w:r>
          </w:p>
        </w:tc>
        <w:tc>
          <w:tcPr>
            <w:shd w:val="clear" w:color="auto" w:fill="ffffff"/>
            <w:tcW w:w="743" w:type="pct"/>
            <w:vAlign w:val="center"/>
            <w:textDirection w:val="lrTb"/>
            <w:noWrap w:val="false"/>
          </w:tcPr>
          <w:p>
            <w:pPr>
              <w:pStyle w:val="964"/>
              <w:jc w:val="center"/>
              <w:widowControl w:val="off"/>
              <w:rPr>
                <w:sz w:val="22"/>
                <w:szCs w:val="22"/>
              </w:rPr>
            </w:pPr>
            <w:r>
              <w:rPr>
                <w:sz w:val="22"/>
                <w:szCs w:val="22"/>
              </w:rPr>
              <w:t xml:space="preserve">До</w:t>
            </w:r>
            <w:r>
              <w:rPr>
                <w:sz w:val="22"/>
                <w:szCs w:val="22"/>
              </w:rPr>
            </w:r>
            <w:r>
              <w:rPr>
                <w:sz w:val="22"/>
                <w:szCs w:val="22"/>
              </w:rPr>
            </w:r>
          </w:p>
          <w:p>
            <w:pPr>
              <w:pStyle w:val="964"/>
              <w:jc w:val="center"/>
              <w:widowControl w:val="off"/>
              <w:rPr>
                <w:sz w:val="22"/>
                <w:szCs w:val="22"/>
              </w:rPr>
            </w:pPr>
            <w:r>
              <w:rPr>
                <w:sz w:val="22"/>
                <w:szCs w:val="22"/>
              </w:rPr>
              <w:t xml:space="preserve">31.12.2024 г.</w:t>
            </w:r>
            <w:r>
              <w:rPr>
                <w:sz w:val="22"/>
                <w:szCs w:val="22"/>
              </w:rPr>
            </w:r>
            <w:r>
              <w:rPr>
                <w:sz w:val="22"/>
                <w:szCs w:val="22"/>
              </w:rPr>
            </w:r>
          </w:p>
        </w:tc>
      </w:tr>
      <w:tr>
        <w:tblPrEx/>
        <w:trPr>
          <w:trHeight w:val="363"/>
        </w:trPr>
        <w:tc>
          <w:tcPr>
            <w:tcW w:w="247" w:type="pct"/>
            <w:textDirection w:val="lrTb"/>
            <w:noWrap w:val="false"/>
          </w:tcPr>
          <w:p>
            <w:pPr>
              <w:jc w:val="both"/>
              <w:rPr>
                <w:sz w:val="22"/>
                <w:szCs w:val="22"/>
              </w:rPr>
            </w:pPr>
            <w:r>
              <w:rPr>
                <w:sz w:val="22"/>
                <w:szCs w:val="22"/>
              </w:rPr>
              <w:t xml:space="preserve">2.4.</w:t>
            </w:r>
            <w:r>
              <w:rPr>
                <w:sz w:val="22"/>
                <w:szCs w:val="22"/>
              </w:rPr>
            </w:r>
            <w:r>
              <w:rPr>
                <w:sz w:val="22"/>
                <w:szCs w:val="22"/>
              </w:rPr>
            </w:r>
          </w:p>
        </w:tc>
        <w:tc>
          <w:tcPr>
            <w:tcW w:w="1645" w:type="pct"/>
            <w:textDirection w:val="lrTb"/>
            <w:noWrap w:val="false"/>
          </w:tcPr>
          <w:p>
            <w:pPr>
              <w:ind w:right="114"/>
              <w:jc w:val="both"/>
              <w:rPr>
                <w:sz w:val="22"/>
                <w:szCs w:val="22"/>
              </w:rPr>
            </w:pPr>
            <w:r>
              <w:rPr>
                <w:sz w:val="22"/>
                <w:szCs w:val="22"/>
              </w:rPr>
              <w:t xml:space="preserve">Реконструкция тепловой сети котельной № 13/55 п.г.т. Печенга Печенгский муниципальный округ Мурманской области. Сеть ЦО по участкам:  От ТК в районе коте</w:t>
            </w:r>
            <w:r>
              <w:rPr>
                <w:sz w:val="22"/>
                <w:szCs w:val="22"/>
              </w:rPr>
              <w:t xml:space="preserve">льной № 13/55 до угла МКД № 10;  От МКД  № 10 до МКД № 6 через МКД № 12 и МКД № 11;  Ответвления от МКД № 10 до МКД № 8, от МКД № 12 до МКД № 7; от МКД № 11 до МКД № 6;  От угла МКД № 11 до Дома офицеров; От угла МКД № 11 до МКД № 4; От МКД № 4 до МКД № 3.</w:t>
            </w:r>
            <w:r>
              <w:rPr>
                <w:sz w:val="22"/>
                <w:szCs w:val="22"/>
              </w:rPr>
            </w:r>
            <w:r>
              <w:rPr>
                <w:sz w:val="22"/>
                <w:szCs w:val="22"/>
              </w:rPr>
            </w:r>
          </w:p>
        </w:tc>
        <w:tc>
          <w:tcPr>
            <w:shd w:val="clear" w:color="auto" w:fill="ffffff"/>
            <w:tcBorders>
              <w:left w:val="single" w:color="auto" w:sz="4" w:space="0"/>
            </w:tcBorders>
            <w:tcW w:w="743" w:type="pct"/>
            <w:vAlign w:val="center"/>
            <w:textDirection w:val="lrTb"/>
            <w:noWrap w:val="false"/>
          </w:tcPr>
          <w:p>
            <w:pPr>
              <w:pStyle w:val="964"/>
              <w:jc w:val="center"/>
              <w:widowControl w:val="off"/>
              <w:rPr>
                <w:sz w:val="22"/>
                <w:szCs w:val="22"/>
              </w:rPr>
            </w:pPr>
            <w:r>
              <w:rPr>
                <w:sz w:val="22"/>
                <w:szCs w:val="22"/>
              </w:rPr>
              <w:t xml:space="preserve">27 860 960,60</w:t>
            </w:r>
            <w:r>
              <w:rPr>
                <w:sz w:val="22"/>
                <w:szCs w:val="22"/>
              </w:rPr>
            </w:r>
            <w:r>
              <w:rPr>
                <w:sz w:val="22"/>
                <w:szCs w:val="22"/>
              </w:rPr>
            </w:r>
          </w:p>
        </w:tc>
        <w:tc>
          <w:tcPr>
            <w:shd w:val="clear" w:color="auto" w:fill="ffffff"/>
            <w:tcW w:w="878" w:type="pct"/>
            <w:vAlign w:val="center"/>
            <w:textDirection w:val="lrTb"/>
            <w:noWrap w:val="false"/>
          </w:tcPr>
          <w:p>
            <w:pPr>
              <w:pStyle w:val="964"/>
              <w:jc w:val="center"/>
              <w:widowControl w:val="off"/>
              <w:rPr>
                <w:sz w:val="22"/>
                <w:szCs w:val="22"/>
              </w:rPr>
            </w:pPr>
            <w:r>
              <w:rPr>
                <w:sz w:val="22"/>
                <w:szCs w:val="22"/>
              </w:rPr>
              <w:t xml:space="preserve">22 288 770,00</w:t>
            </w:r>
            <w:r>
              <w:rPr>
                <w:sz w:val="22"/>
                <w:szCs w:val="22"/>
              </w:rPr>
            </w:r>
            <w:r>
              <w:rPr>
                <w:sz w:val="22"/>
                <w:szCs w:val="22"/>
              </w:rPr>
            </w:r>
          </w:p>
        </w:tc>
        <w:tc>
          <w:tcPr>
            <w:shd w:val="clear" w:color="auto" w:fill="ffffff"/>
            <w:tcW w:w="743" w:type="pct"/>
            <w:vAlign w:val="center"/>
            <w:textDirection w:val="lrTb"/>
            <w:noWrap w:val="false"/>
          </w:tcPr>
          <w:p>
            <w:pPr>
              <w:pStyle w:val="964"/>
              <w:jc w:val="center"/>
              <w:widowControl w:val="off"/>
              <w:rPr>
                <w:sz w:val="22"/>
                <w:szCs w:val="22"/>
              </w:rPr>
            </w:pPr>
            <w:r>
              <w:rPr>
                <w:sz w:val="22"/>
                <w:szCs w:val="22"/>
              </w:rPr>
              <w:t xml:space="preserve">5 572 190,60</w:t>
            </w:r>
            <w:r>
              <w:rPr>
                <w:sz w:val="22"/>
                <w:szCs w:val="22"/>
              </w:rPr>
            </w:r>
            <w:r>
              <w:rPr>
                <w:sz w:val="22"/>
                <w:szCs w:val="22"/>
              </w:rPr>
            </w:r>
          </w:p>
        </w:tc>
        <w:tc>
          <w:tcPr>
            <w:shd w:val="clear" w:color="auto" w:fill="ffffff"/>
            <w:tcW w:w="743" w:type="pct"/>
            <w:vAlign w:val="center"/>
            <w:textDirection w:val="lrTb"/>
            <w:noWrap w:val="false"/>
          </w:tcPr>
          <w:p>
            <w:pPr>
              <w:pStyle w:val="964"/>
              <w:jc w:val="center"/>
              <w:widowControl w:val="off"/>
              <w:rPr>
                <w:sz w:val="22"/>
                <w:szCs w:val="22"/>
              </w:rPr>
            </w:pPr>
            <w:r>
              <w:rPr>
                <w:sz w:val="22"/>
                <w:szCs w:val="22"/>
              </w:rPr>
              <w:t xml:space="preserve">До</w:t>
            </w:r>
            <w:r>
              <w:rPr>
                <w:sz w:val="22"/>
                <w:szCs w:val="22"/>
              </w:rPr>
            </w:r>
            <w:r>
              <w:rPr>
                <w:sz w:val="22"/>
                <w:szCs w:val="22"/>
              </w:rPr>
            </w:r>
          </w:p>
          <w:p>
            <w:pPr>
              <w:pStyle w:val="964"/>
              <w:jc w:val="center"/>
              <w:widowControl w:val="off"/>
              <w:rPr>
                <w:sz w:val="22"/>
                <w:szCs w:val="22"/>
              </w:rPr>
            </w:pPr>
            <w:r>
              <w:rPr>
                <w:sz w:val="22"/>
                <w:szCs w:val="22"/>
              </w:rPr>
              <w:t xml:space="preserve">31.12.2025 г.</w:t>
            </w:r>
            <w:r>
              <w:rPr>
                <w:sz w:val="22"/>
                <w:szCs w:val="22"/>
              </w:rPr>
            </w:r>
            <w:r>
              <w:rPr>
                <w:sz w:val="22"/>
                <w:szCs w:val="22"/>
              </w:rPr>
            </w:r>
          </w:p>
        </w:tc>
      </w:tr>
      <w:tr>
        <w:tblPrEx/>
        <w:trPr>
          <w:trHeight w:val="313"/>
        </w:trPr>
        <w:tc>
          <w:tcPr>
            <w:shd w:val="clear" w:color="auto" w:fill="ffffff"/>
            <w:tcW w:w="247" w:type="pct"/>
            <w:vAlign w:val="center"/>
            <w:textDirection w:val="lrTb"/>
            <w:noWrap w:val="false"/>
          </w:tcPr>
          <w:p>
            <w:pPr>
              <w:pStyle w:val="964"/>
              <w:jc w:val="both"/>
              <w:widowControl w:val="off"/>
              <w:rPr>
                <w:sz w:val="22"/>
                <w:szCs w:val="22"/>
              </w:rPr>
            </w:pPr>
            <w:r>
              <w:rPr>
                <w:sz w:val="22"/>
                <w:szCs w:val="22"/>
              </w:rPr>
            </w:r>
            <w:r>
              <w:rPr>
                <w:sz w:val="22"/>
                <w:szCs w:val="22"/>
              </w:rPr>
            </w:r>
            <w:r>
              <w:rPr>
                <w:sz w:val="22"/>
                <w:szCs w:val="22"/>
              </w:rPr>
            </w:r>
          </w:p>
        </w:tc>
        <w:tc>
          <w:tcPr>
            <w:shd w:val="clear" w:color="auto" w:fill="ffffff"/>
            <w:tcW w:w="1645" w:type="pct"/>
            <w:vAlign w:val="center"/>
            <w:textDirection w:val="lrTb"/>
            <w:noWrap w:val="false"/>
          </w:tcPr>
          <w:p>
            <w:pPr>
              <w:pStyle w:val="964"/>
              <w:jc w:val="both"/>
              <w:widowControl w:val="off"/>
              <w:rPr>
                <w:b/>
                <w:sz w:val="22"/>
                <w:szCs w:val="22"/>
              </w:rPr>
            </w:pPr>
            <w:r>
              <w:rPr>
                <w:b/>
                <w:sz w:val="22"/>
                <w:szCs w:val="22"/>
              </w:rPr>
              <w:t xml:space="preserve">ВСЕГО:</w:t>
            </w:r>
            <w:r>
              <w:rPr>
                <w:b/>
                <w:sz w:val="22"/>
                <w:szCs w:val="22"/>
              </w:rPr>
            </w:r>
            <w:r>
              <w:rPr>
                <w:b/>
                <w:sz w:val="22"/>
                <w:szCs w:val="22"/>
              </w:rPr>
            </w:r>
          </w:p>
        </w:tc>
        <w:tc>
          <w:tcPr>
            <w:shd w:val="clear" w:color="auto" w:fill="ffffff"/>
            <w:tcW w:w="743" w:type="pct"/>
            <w:vAlign w:val="center"/>
            <w:textDirection w:val="lrTb"/>
            <w:noWrap w:val="false"/>
          </w:tcPr>
          <w:p>
            <w:pPr>
              <w:pStyle w:val="964"/>
              <w:jc w:val="center"/>
              <w:widowControl w:val="off"/>
              <w:rPr>
                <w:b/>
                <w:sz w:val="22"/>
                <w:szCs w:val="22"/>
              </w:rPr>
            </w:pPr>
            <w:r>
              <w:rPr>
                <w:b/>
                <w:sz w:val="22"/>
                <w:szCs w:val="22"/>
              </w:rPr>
              <w:t xml:space="preserve">325 902 702,1</w:t>
            </w:r>
            <w:r>
              <w:rPr>
                <w:b/>
                <w:sz w:val="22"/>
                <w:szCs w:val="22"/>
              </w:rPr>
            </w:r>
            <w:r>
              <w:rPr>
                <w:b/>
                <w:sz w:val="22"/>
                <w:szCs w:val="22"/>
              </w:rPr>
            </w:r>
          </w:p>
        </w:tc>
        <w:tc>
          <w:tcPr>
            <w:shd w:val="clear" w:color="auto" w:fill="ffffff"/>
            <w:tcW w:w="878" w:type="pct"/>
            <w:vAlign w:val="center"/>
            <w:textDirection w:val="lrTb"/>
            <w:noWrap w:val="false"/>
          </w:tcPr>
          <w:p>
            <w:pPr>
              <w:pStyle w:val="964"/>
              <w:jc w:val="center"/>
              <w:widowControl w:val="off"/>
              <w:rPr>
                <w:b/>
                <w:sz w:val="22"/>
                <w:szCs w:val="22"/>
              </w:rPr>
            </w:pPr>
            <w:r>
              <w:rPr>
                <w:b/>
                <w:sz w:val="22"/>
                <w:szCs w:val="22"/>
              </w:rPr>
              <w:t xml:space="preserve">260 722 162,53</w:t>
            </w:r>
            <w:r>
              <w:rPr>
                <w:b/>
                <w:sz w:val="22"/>
                <w:szCs w:val="22"/>
              </w:rPr>
            </w:r>
            <w:r>
              <w:rPr>
                <w:b/>
                <w:sz w:val="22"/>
                <w:szCs w:val="22"/>
              </w:rPr>
            </w:r>
          </w:p>
        </w:tc>
        <w:tc>
          <w:tcPr>
            <w:shd w:val="clear" w:color="auto" w:fill="ffffff"/>
            <w:tcW w:w="743" w:type="pct"/>
            <w:vAlign w:val="center"/>
            <w:textDirection w:val="lrTb"/>
            <w:noWrap w:val="false"/>
          </w:tcPr>
          <w:p>
            <w:pPr>
              <w:pStyle w:val="964"/>
              <w:jc w:val="center"/>
              <w:widowControl w:val="off"/>
              <w:rPr>
                <w:b/>
                <w:sz w:val="22"/>
                <w:szCs w:val="22"/>
              </w:rPr>
            </w:pPr>
            <w:r>
              <w:rPr>
                <w:b/>
                <w:sz w:val="22"/>
                <w:szCs w:val="22"/>
              </w:rPr>
              <w:t xml:space="preserve">65 180 539,56</w:t>
            </w:r>
            <w:r>
              <w:rPr>
                <w:b/>
                <w:sz w:val="22"/>
                <w:szCs w:val="22"/>
              </w:rPr>
            </w:r>
            <w:r>
              <w:rPr>
                <w:b/>
                <w:sz w:val="22"/>
                <w:szCs w:val="22"/>
              </w:rPr>
            </w:r>
          </w:p>
        </w:tc>
        <w:tc>
          <w:tcPr>
            <w:shd w:val="clear" w:color="auto" w:fill="ffffff"/>
            <w:tcW w:w="743" w:type="pct"/>
            <w:vAlign w:val="center"/>
            <w:textDirection w:val="lrTb"/>
            <w:noWrap w:val="false"/>
          </w:tcPr>
          <w:p>
            <w:pPr>
              <w:pStyle w:val="964"/>
              <w:jc w:val="center"/>
              <w:widowControl w:val="off"/>
              <w:rPr>
                <w:sz w:val="22"/>
                <w:szCs w:val="22"/>
              </w:rPr>
            </w:pPr>
            <w:r>
              <w:rPr>
                <w:sz w:val="22"/>
                <w:szCs w:val="22"/>
              </w:rPr>
            </w:r>
            <w:r>
              <w:rPr>
                <w:sz w:val="22"/>
                <w:szCs w:val="22"/>
              </w:rPr>
            </w:r>
            <w:r>
              <w:rPr>
                <w:sz w:val="22"/>
                <w:szCs w:val="22"/>
              </w:rPr>
            </w:r>
          </w:p>
        </w:tc>
      </w:tr>
    </w:tbl>
    <w:p>
      <w:pPr>
        <w:ind w:firstLine="680"/>
        <w:jc w:val="both"/>
        <w:rPr>
          <w:color w:val="ff0000"/>
          <w:sz w:val="24"/>
          <w:szCs w:val="24"/>
        </w:rPr>
      </w:pPr>
      <w:r>
        <w:rPr>
          <w:color w:val="ff0000"/>
          <w:sz w:val="24"/>
          <w:szCs w:val="24"/>
        </w:rPr>
      </w:r>
      <w:r>
        <w:rPr>
          <w:color w:val="ff0000"/>
          <w:sz w:val="24"/>
          <w:szCs w:val="24"/>
        </w:rPr>
      </w:r>
      <w:r>
        <w:rPr>
          <w:color w:val="ff0000"/>
          <w:sz w:val="24"/>
          <w:szCs w:val="24"/>
        </w:rPr>
      </w:r>
    </w:p>
    <w:tbl>
      <w:tblPr>
        <w:tblStyle w:val="937"/>
        <w:tblW w:w="5000" w:type="pc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188"/>
        <w:gridCol w:w="3188"/>
        <w:gridCol w:w="3188"/>
      </w:tblGrid>
      <w:tr>
        <w:tblPrEx/>
        <w:trPr/>
        <w:tc>
          <w:tcPr>
            <w:tcW w:w="1667" w:type="pct"/>
            <w:textDirection w:val="lrTb"/>
            <w:noWrap w:val="false"/>
          </w:tcPr>
          <w:p>
            <w:pPr>
              <w:jc w:val="both"/>
              <w:rPr>
                <w:b/>
                <w:sz w:val="24"/>
                <w:szCs w:val="24"/>
              </w:rPr>
            </w:pPr>
            <w:r>
              <w:rPr>
                <w:b/>
                <w:sz w:val="24"/>
                <w:szCs w:val="24"/>
              </w:rPr>
              <w:t xml:space="preserve">Концедент</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Концессионер</w:t>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t xml:space="preserve">Субъект</w:t>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t xml:space="preserve">Муниципальное образование Печенгский муниципальный округ Мурманской области</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Общество с ограниченной ответственностью «ПромВоенСтрой»</w:t>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t xml:space="preserve">Мурманская область</w:t>
            </w:r>
            <w:r>
              <w:rPr>
                <w:b/>
                <w:sz w:val="24"/>
                <w:szCs w:val="24"/>
              </w:rPr>
            </w:r>
            <w:r>
              <w:rPr>
                <w:b/>
                <w:sz w:val="24"/>
                <w:szCs w:val="24"/>
              </w:rPr>
            </w:r>
          </w:p>
          <w:p>
            <w:pPr>
              <w:jc w:val="both"/>
              <w:rPr>
                <w:b/>
                <w:sz w:val="24"/>
                <w:szCs w:val="24"/>
              </w:rPr>
            </w:pPr>
            <w:r>
              <w:rPr>
                <w:b/>
                <w:sz w:val="24"/>
                <w:szCs w:val="24"/>
              </w:rPr>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t xml:space="preserve">Глава округа</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Генеральный директор</w:t>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t xml:space="preserve">Губернатор</w:t>
            </w:r>
            <w:r>
              <w:rPr>
                <w:b/>
                <w:sz w:val="24"/>
                <w:szCs w:val="24"/>
              </w:rPr>
            </w:r>
            <w:r>
              <w:rPr>
                <w:b/>
                <w:sz w:val="24"/>
                <w:szCs w:val="24"/>
              </w:rPr>
            </w:r>
          </w:p>
        </w:tc>
      </w:tr>
      <w:tr>
        <w:tblPrEx/>
        <w:trPr>
          <w:trHeight w:val="567"/>
        </w:trPr>
        <w:tc>
          <w:tcPr>
            <w:tcW w:w="1667" w:type="pct"/>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c>
          <w:tcPr>
            <w:tcW w:w="1667" w:type="pct"/>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c>
          <w:tcPr>
            <w:tcW w:w="1666" w:type="pct"/>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r>
      <w:tr>
        <w:tblPrEx/>
        <w:trPr/>
        <w:tc>
          <w:tcPr>
            <w:tcW w:w="1667" w:type="pct"/>
            <w:textDirection w:val="lrTb"/>
            <w:noWrap w:val="false"/>
          </w:tcPr>
          <w:p>
            <w:pPr>
              <w:jc w:val="both"/>
              <w:rPr>
                <w:b/>
                <w:sz w:val="24"/>
                <w:szCs w:val="24"/>
              </w:rPr>
            </w:pPr>
            <w:r>
              <w:rPr>
                <w:sz w:val="24"/>
                <w:szCs w:val="24"/>
              </w:rPr>
              <w:t xml:space="preserve">МП      /Кузнецов А.В../</w:t>
            </w:r>
            <w:r>
              <w:rPr>
                <w:b/>
                <w:sz w:val="24"/>
                <w:szCs w:val="24"/>
              </w:rPr>
            </w:r>
            <w:r>
              <w:rPr>
                <w:b/>
                <w:sz w:val="24"/>
                <w:szCs w:val="24"/>
              </w:rPr>
            </w:r>
          </w:p>
        </w:tc>
        <w:tc>
          <w:tcPr>
            <w:tcW w:w="1667" w:type="pct"/>
            <w:textDirection w:val="lrTb"/>
            <w:noWrap w:val="false"/>
          </w:tcPr>
          <w:p>
            <w:pPr>
              <w:jc w:val="both"/>
              <w:rPr>
                <w:b/>
                <w:sz w:val="24"/>
                <w:szCs w:val="24"/>
              </w:rPr>
            </w:pPr>
            <w:r>
              <w:rPr>
                <w:sz w:val="24"/>
                <w:szCs w:val="24"/>
              </w:rPr>
              <w:t xml:space="preserve">МП       /Аршакян А.Р./</w:t>
            </w:r>
            <w:r>
              <w:rPr>
                <w:b/>
                <w:sz w:val="24"/>
                <w:szCs w:val="24"/>
              </w:rPr>
            </w:r>
            <w:r>
              <w:rPr>
                <w:b/>
                <w:sz w:val="24"/>
                <w:szCs w:val="24"/>
              </w:rPr>
            </w:r>
          </w:p>
        </w:tc>
        <w:tc>
          <w:tcPr>
            <w:tcW w:w="1666" w:type="pct"/>
            <w:textDirection w:val="lrTb"/>
            <w:noWrap w:val="false"/>
          </w:tcPr>
          <w:p>
            <w:pPr>
              <w:jc w:val="both"/>
              <w:rPr>
                <w:b/>
                <w:sz w:val="24"/>
                <w:szCs w:val="24"/>
              </w:rPr>
            </w:pPr>
            <w:r>
              <w:rPr>
                <w:sz w:val="24"/>
                <w:szCs w:val="24"/>
              </w:rPr>
              <w:t xml:space="preserve">МП         /Чибис А.В./</w:t>
            </w:r>
            <w:r>
              <w:rPr>
                <w:b/>
                <w:sz w:val="24"/>
                <w:szCs w:val="24"/>
              </w:rPr>
            </w:r>
            <w:r>
              <w:rPr>
                <w:b/>
                <w:sz w:val="24"/>
                <w:szCs w:val="24"/>
              </w:rPr>
            </w:r>
          </w:p>
        </w:tc>
      </w:tr>
      <w:tr>
        <w:tblPrEx/>
        <w:trPr/>
        <w:tc>
          <w:tcPr>
            <w:tcW w:w="1667" w:type="pct"/>
            <w:textDirection w:val="lrTb"/>
            <w:noWrap w:val="false"/>
          </w:tcPr>
          <w:p>
            <w:pPr>
              <w:jc w:val="both"/>
              <w:rPr>
                <w:b/>
                <w:sz w:val="24"/>
                <w:szCs w:val="24"/>
              </w:rPr>
            </w:pPr>
            <w:r>
              <w:rPr>
                <w:sz w:val="24"/>
                <w:szCs w:val="24"/>
              </w:rPr>
              <w:t xml:space="preserve">«___»____________ 20__ г.</w:t>
            </w:r>
            <w:r>
              <w:rPr>
                <w:b/>
                <w:sz w:val="24"/>
                <w:szCs w:val="24"/>
              </w:rPr>
            </w:r>
            <w:r>
              <w:rPr>
                <w:b/>
                <w:sz w:val="24"/>
                <w:szCs w:val="24"/>
              </w:rPr>
            </w:r>
          </w:p>
        </w:tc>
        <w:tc>
          <w:tcPr>
            <w:tcW w:w="1667" w:type="pct"/>
            <w:textDirection w:val="lrTb"/>
            <w:noWrap w:val="false"/>
          </w:tcPr>
          <w:p>
            <w:pPr>
              <w:jc w:val="both"/>
              <w:rPr>
                <w:sz w:val="24"/>
                <w:szCs w:val="24"/>
              </w:rPr>
            </w:pPr>
            <w:r>
              <w:rPr>
                <w:sz w:val="24"/>
                <w:szCs w:val="24"/>
              </w:rPr>
              <w:t xml:space="preserve">«___»____________ 20__ г.</w:t>
            </w:r>
            <w:r>
              <w:rPr>
                <w:sz w:val="24"/>
                <w:szCs w:val="24"/>
              </w:rPr>
            </w:r>
            <w:r>
              <w:rPr>
                <w:sz w:val="24"/>
                <w:szCs w:val="24"/>
              </w:rPr>
            </w:r>
          </w:p>
        </w:tc>
        <w:tc>
          <w:tcPr>
            <w:tcW w:w="1666" w:type="pct"/>
            <w:textDirection w:val="lrTb"/>
            <w:noWrap w:val="false"/>
          </w:tcPr>
          <w:p>
            <w:pPr>
              <w:jc w:val="both"/>
              <w:rPr>
                <w:b/>
                <w:sz w:val="24"/>
                <w:szCs w:val="24"/>
              </w:rPr>
            </w:pPr>
            <w:r>
              <w:rPr>
                <w:sz w:val="24"/>
                <w:szCs w:val="24"/>
              </w:rPr>
              <w:t xml:space="preserve">«___»____________ 20__ г.</w:t>
            </w:r>
            <w:r>
              <w:rPr>
                <w:b/>
                <w:sz w:val="24"/>
                <w:szCs w:val="24"/>
              </w:rPr>
            </w:r>
            <w:r>
              <w:rPr>
                <w:b/>
                <w:sz w:val="24"/>
                <w:szCs w:val="24"/>
              </w:rPr>
            </w:r>
          </w:p>
        </w:tc>
      </w:tr>
    </w:tbl>
    <w:p>
      <w:pPr>
        <w:ind w:firstLine="680"/>
        <w:jc w:val="both"/>
        <w:rPr>
          <w:sz w:val="24"/>
          <w:szCs w:val="24"/>
        </w:rPr>
      </w:pPr>
      <w:r>
        <w:rPr>
          <w:sz w:val="24"/>
          <w:szCs w:val="24"/>
        </w:rPr>
      </w:r>
      <w:r>
        <w:rPr>
          <w:sz w:val="24"/>
          <w:szCs w:val="24"/>
        </w:rPr>
      </w:r>
      <w:r>
        <w:rPr>
          <w:sz w:val="24"/>
          <w:szCs w:val="24"/>
        </w:rPr>
      </w:r>
    </w:p>
    <w:p>
      <w:pPr>
        <w:ind w:firstLine="680"/>
        <w:jc w:val="both"/>
        <w:rPr>
          <w:sz w:val="24"/>
          <w:szCs w:val="24"/>
        </w:rPr>
        <w:sectPr>
          <w:footnotePr/>
          <w:endnotePr/>
          <w:type w:val="nextPage"/>
          <w:pgSz w:w="11900" w:h="16800" w:orient="portrait"/>
          <w:pgMar w:top="1134" w:right="851" w:bottom="1134" w:left="1701" w:header="720" w:footer="720" w:gutter="0"/>
          <w:pgNumType w:start="24"/>
          <w:cols w:num="1" w:sep="0" w:space="720" w:equalWidth="1"/>
          <w:docGrid w:linePitch="360"/>
        </w:sectPr>
      </w:pPr>
      <w:r>
        <w:rPr>
          <w:sz w:val="24"/>
          <w:szCs w:val="24"/>
        </w:rPr>
      </w:r>
      <w:r>
        <w:rPr>
          <w:sz w:val="24"/>
          <w:szCs w:val="24"/>
        </w:rPr>
      </w:r>
      <w:r>
        <w:rPr>
          <w:sz w:val="24"/>
          <w:szCs w:val="24"/>
        </w:rPr>
      </w:r>
    </w:p>
    <w:p>
      <w:pPr>
        <w:ind w:left="5528" w:right="0" w:firstLine="0"/>
        <w:jc w:val="both"/>
        <w:rPr>
          <w:sz w:val="24"/>
          <w:szCs w:val="24"/>
        </w:rPr>
      </w:pPr>
      <w:r>
        <w:rPr>
          <w:sz w:val="24"/>
          <w:szCs w:val="24"/>
        </w:rPr>
        <w:t xml:space="preserve">Приложение № 4</w:t>
      </w:r>
      <w:r>
        <w:rPr>
          <w:sz w:val="24"/>
          <w:szCs w:val="24"/>
        </w:rPr>
      </w:r>
      <w:r>
        <w:rPr>
          <w:sz w:val="24"/>
          <w:szCs w:val="24"/>
        </w:rPr>
      </w:r>
    </w:p>
    <w:p>
      <w:pPr>
        <w:ind w:left="5528" w:right="0" w:firstLine="0"/>
        <w:jc w:val="both"/>
        <w:rPr>
          <w:sz w:val="24"/>
          <w:szCs w:val="24"/>
        </w:rPr>
      </w:pPr>
      <w:r>
        <w:rPr>
          <w:sz w:val="24"/>
          <w:szCs w:val="24"/>
        </w:rPr>
        <w:t xml:space="preserve">к Концессионному соглашению</w:t>
      </w:r>
      <w:r>
        <w:rPr>
          <w:sz w:val="24"/>
          <w:szCs w:val="24"/>
        </w:rPr>
      </w:r>
      <w:r>
        <w:rPr>
          <w:sz w:val="24"/>
          <w:szCs w:val="24"/>
        </w:rPr>
      </w:r>
    </w:p>
    <w:p>
      <w:pPr>
        <w:ind w:left="5528" w:right="0" w:firstLine="0"/>
        <w:jc w:val="both"/>
        <w:rPr>
          <w:sz w:val="24"/>
          <w:szCs w:val="24"/>
        </w:rPr>
      </w:pPr>
      <w:r>
        <w:rPr>
          <w:sz w:val="24"/>
          <w:szCs w:val="24"/>
        </w:rPr>
        <w:t xml:space="preserve">от «__»______ 2024 года №______</w:t>
      </w:r>
      <w:r>
        <w:rPr>
          <w:sz w:val="24"/>
          <w:szCs w:val="24"/>
        </w:rPr>
      </w:r>
      <w:r>
        <w:rPr>
          <w:sz w:val="24"/>
          <w:szCs w:val="24"/>
        </w:rPr>
      </w:r>
    </w:p>
    <w:p>
      <w:pPr>
        <w:ind w:firstLine="680"/>
        <w:jc w:val="both"/>
        <w:rPr>
          <w:b/>
          <w:color w:val="ff0000"/>
          <w:sz w:val="24"/>
          <w:szCs w:val="24"/>
        </w:rPr>
      </w:pPr>
      <w:r>
        <w:rPr>
          <w:b/>
          <w:color w:val="ff0000"/>
          <w:sz w:val="24"/>
          <w:szCs w:val="24"/>
        </w:rPr>
      </w:r>
      <w:r>
        <w:rPr>
          <w:b/>
          <w:color w:val="ff0000"/>
          <w:sz w:val="24"/>
          <w:szCs w:val="24"/>
        </w:rPr>
      </w:r>
      <w:r>
        <w:rPr>
          <w:b/>
          <w:color w:val="ff0000"/>
          <w:sz w:val="24"/>
          <w:szCs w:val="24"/>
        </w:rPr>
      </w:r>
    </w:p>
    <w:p>
      <w:pPr>
        <w:ind w:firstLine="680"/>
        <w:jc w:val="center"/>
        <w:rPr>
          <w:b/>
          <w:sz w:val="24"/>
          <w:szCs w:val="24"/>
        </w:rPr>
      </w:pPr>
      <w:r>
        <w:rPr>
          <w:b/>
          <w:sz w:val="24"/>
          <w:szCs w:val="24"/>
        </w:rPr>
        <w:t xml:space="preserve">Долгосрочные параметры регулирования деятельности Концессионера в целях исполнения обязательств по Соглашению</w:t>
      </w:r>
      <w:r>
        <w:rPr>
          <w:b/>
          <w:sz w:val="24"/>
          <w:szCs w:val="24"/>
        </w:rPr>
      </w:r>
      <w:r>
        <w:rPr>
          <w:b/>
          <w:sz w:val="24"/>
          <w:szCs w:val="24"/>
        </w:rPr>
      </w:r>
    </w:p>
    <w:p>
      <w:pPr>
        <w:ind w:firstLine="680"/>
        <w:jc w:val="both"/>
        <w:rPr>
          <w:sz w:val="24"/>
          <w:szCs w:val="24"/>
        </w:rPr>
      </w:pPr>
      <w:r>
        <w:rPr>
          <w:sz w:val="24"/>
          <w:szCs w:val="24"/>
        </w:rPr>
      </w:r>
      <w:r>
        <w:rPr>
          <w:sz w:val="24"/>
          <w:szCs w:val="24"/>
        </w:rPr>
      </w:r>
      <w:r>
        <w:rPr>
          <w:sz w:val="24"/>
          <w:szCs w:val="24"/>
        </w:rPr>
      </w:r>
    </w:p>
    <w:p>
      <w:pPr>
        <w:ind w:firstLine="680"/>
        <w:jc w:val="both"/>
        <w:rPr>
          <w:sz w:val="24"/>
          <w:szCs w:val="24"/>
        </w:rPr>
      </w:pPr>
      <w:r>
        <w:rPr>
          <w:b/>
          <w:sz w:val="24"/>
          <w:szCs w:val="24"/>
        </w:rPr>
        <w:t xml:space="preserve">Раздел 1.</w:t>
      </w:r>
      <w:r>
        <w:rPr>
          <w:sz w:val="24"/>
          <w:szCs w:val="24"/>
        </w:rPr>
        <w:t xml:space="preserve"> Долгосрочные параметры регулирования деятельности Концессионера в целях исполнения обязательств по концессионному соглашению в отношении вновь построенных объектов, входящих в состав Объекта Соглашения</w:t>
      </w:r>
      <w:r>
        <w:rPr>
          <w:sz w:val="24"/>
          <w:szCs w:val="24"/>
        </w:rPr>
      </w:r>
      <w:r>
        <w:rPr>
          <w:sz w:val="24"/>
          <w:szCs w:val="24"/>
        </w:rPr>
      </w:r>
    </w:p>
    <w:p>
      <w:pPr>
        <w:ind w:firstLine="680"/>
        <w:jc w:val="both"/>
        <w:rPr>
          <w:sz w:val="24"/>
          <w:szCs w:val="24"/>
        </w:rPr>
      </w:pPr>
      <w:r>
        <w:rPr>
          <w:sz w:val="24"/>
          <w:szCs w:val="24"/>
        </w:rPr>
      </w:r>
      <w:r>
        <w:rPr>
          <w:sz w:val="24"/>
          <w:szCs w:val="24"/>
        </w:rPr>
      </w:r>
      <w:r>
        <w:rPr>
          <w:sz w:val="24"/>
          <w:szCs w:val="24"/>
        </w:rPr>
      </w:r>
    </w:p>
    <w:p>
      <w:pPr>
        <w:numPr>
          <w:ilvl w:val="0"/>
          <w:numId w:val="4"/>
        </w:numPr>
        <w:ind w:left="0" w:firstLine="680"/>
        <w:jc w:val="both"/>
        <w:widowControl w:val="off"/>
        <w:rPr>
          <w:sz w:val="24"/>
          <w:szCs w:val="24"/>
        </w:rPr>
      </w:pPr>
      <w:r>
        <w:rPr>
          <w:sz w:val="24"/>
          <w:szCs w:val="24"/>
        </w:rPr>
        <w:t xml:space="preserve">Базовый уровень операционных расходов: 2024 год – 104 714,20 тыс. руб. (без НДС).</w:t>
      </w:r>
      <w:r>
        <w:rPr>
          <w:sz w:val="24"/>
          <w:szCs w:val="24"/>
        </w:rPr>
      </w:r>
      <w:r>
        <w:rPr>
          <w:sz w:val="24"/>
          <w:szCs w:val="24"/>
        </w:rPr>
      </w:r>
    </w:p>
    <w:p>
      <w:pPr>
        <w:ind w:left="680"/>
        <w:jc w:val="both"/>
        <w:rPr>
          <w:sz w:val="24"/>
          <w:szCs w:val="24"/>
        </w:rPr>
      </w:pPr>
      <w:r>
        <w:rPr>
          <w:sz w:val="24"/>
          <w:szCs w:val="24"/>
        </w:rPr>
      </w:r>
      <w:r>
        <w:rPr>
          <w:sz w:val="24"/>
          <w:szCs w:val="24"/>
        </w:rPr>
      </w:r>
      <w:r>
        <w:rPr>
          <w:sz w:val="24"/>
          <w:szCs w:val="24"/>
        </w:rPr>
      </w:r>
    </w:p>
    <w:p>
      <w:pPr>
        <w:numPr>
          <w:ilvl w:val="0"/>
          <w:numId w:val="4"/>
        </w:numPr>
        <w:ind w:left="0" w:firstLine="680"/>
        <w:jc w:val="both"/>
        <w:widowControl w:val="off"/>
        <w:rPr>
          <w:sz w:val="24"/>
          <w:szCs w:val="24"/>
        </w:rPr>
      </w:pPr>
      <w:r>
        <w:rPr>
          <w:sz w:val="24"/>
          <w:szCs w:val="24"/>
        </w:rPr>
        <w:t xml:space="preserve">Индекс эффективности операционных расходов для объекта концессионного соглашения 2024 г. – 0%; 2025 г. – 2033 г.  – 1 %.</w:t>
      </w:r>
      <w:r>
        <w:rPr>
          <w:sz w:val="24"/>
          <w:szCs w:val="24"/>
        </w:rPr>
      </w:r>
      <w:r>
        <w:rPr>
          <w:sz w:val="24"/>
          <w:szCs w:val="24"/>
        </w:rPr>
      </w:r>
    </w:p>
    <w:p>
      <w:pPr>
        <w:ind w:firstLine="680"/>
        <w:jc w:val="both"/>
        <w:rPr>
          <w:sz w:val="24"/>
          <w:szCs w:val="24"/>
        </w:rPr>
      </w:pPr>
      <w:r>
        <w:rPr>
          <w:sz w:val="24"/>
          <w:szCs w:val="24"/>
        </w:rPr>
      </w:r>
      <w:r>
        <w:rPr>
          <w:sz w:val="24"/>
          <w:szCs w:val="24"/>
        </w:rPr>
      </w:r>
      <w:r>
        <w:rPr>
          <w:sz w:val="24"/>
          <w:szCs w:val="24"/>
        </w:rPr>
      </w:r>
    </w:p>
    <w:p>
      <w:pPr>
        <w:numPr>
          <w:ilvl w:val="0"/>
          <w:numId w:val="4"/>
        </w:numPr>
        <w:ind w:left="0" w:firstLine="680"/>
        <w:jc w:val="both"/>
        <w:widowControl w:val="off"/>
        <w:rPr>
          <w:sz w:val="24"/>
          <w:szCs w:val="24"/>
        </w:rPr>
      </w:pPr>
      <w:r>
        <w:rPr>
          <w:sz w:val="24"/>
          <w:szCs w:val="24"/>
        </w:rPr>
        <w:t xml:space="preserve">Нормативный уровень прибыли на каждый год действия концессионного соглашения (%): 2024 – 2033 г.г. – 0%.</w:t>
      </w:r>
      <w:r>
        <w:rPr>
          <w:sz w:val="24"/>
          <w:szCs w:val="24"/>
        </w:rPr>
      </w:r>
      <w:r>
        <w:rPr>
          <w:sz w:val="24"/>
          <w:szCs w:val="24"/>
        </w:rPr>
      </w:r>
    </w:p>
    <w:p>
      <w:pPr>
        <w:ind w:firstLine="680"/>
        <w:jc w:val="both"/>
        <w:rPr>
          <w:sz w:val="24"/>
          <w:szCs w:val="24"/>
        </w:rPr>
      </w:pPr>
      <w:r>
        <w:rPr>
          <w:sz w:val="24"/>
          <w:szCs w:val="24"/>
        </w:rPr>
      </w:r>
      <w:r>
        <w:rPr>
          <w:sz w:val="24"/>
          <w:szCs w:val="24"/>
        </w:rPr>
      </w:r>
      <w:r>
        <w:rPr>
          <w:sz w:val="24"/>
          <w:szCs w:val="24"/>
        </w:rPr>
      </w:r>
    </w:p>
    <w:p>
      <w:pPr>
        <w:ind w:firstLine="680"/>
        <w:jc w:val="both"/>
        <w:rPr>
          <w:sz w:val="24"/>
          <w:szCs w:val="24"/>
        </w:rPr>
      </w:pPr>
      <w:r>
        <w:rPr>
          <w:b/>
          <w:sz w:val="24"/>
          <w:szCs w:val="24"/>
        </w:rPr>
        <w:t xml:space="preserve">Раздел 2.</w:t>
      </w:r>
      <w:r>
        <w:rPr>
          <w:sz w:val="24"/>
          <w:szCs w:val="24"/>
        </w:rPr>
        <w:t xml:space="preserve"> Необходимая валовая выручка концессионера на каждый год действия концессионного соглашения и предельный (максимальный) рост валовой выручки концессионера в соответствующем году по отношению к предыдущему году</w:t>
      </w:r>
      <w:r>
        <w:rPr>
          <w:sz w:val="24"/>
          <w:szCs w:val="24"/>
        </w:rPr>
      </w:r>
      <w:r>
        <w:rPr>
          <w:sz w:val="24"/>
          <w:szCs w:val="24"/>
        </w:rPr>
      </w:r>
    </w:p>
    <w:p>
      <w:pPr>
        <w:ind w:firstLine="680"/>
        <w:jc w:val="both"/>
        <w:rPr>
          <w:sz w:val="24"/>
          <w:szCs w:val="24"/>
          <w:highlight w:val="magenta"/>
        </w:rPr>
      </w:pPr>
      <w:r>
        <w:rPr>
          <w:sz w:val="24"/>
          <w:szCs w:val="24"/>
          <w:highlight w:val="magenta"/>
        </w:rPr>
      </w:r>
      <w:r>
        <w:rPr>
          <w:sz w:val="24"/>
          <w:szCs w:val="24"/>
          <w:highlight w:val="magenta"/>
        </w:rPr>
      </w:r>
      <w:r>
        <w:rPr>
          <w:sz w:val="24"/>
          <w:szCs w:val="24"/>
          <w:highlight w:val="magenta"/>
        </w:rPr>
      </w:r>
    </w:p>
    <w:p>
      <w:pPr>
        <w:ind w:firstLine="680"/>
        <w:jc w:val="both"/>
        <w:rPr>
          <w:sz w:val="24"/>
          <w:szCs w:val="24"/>
        </w:rPr>
      </w:pPr>
      <w:r>
        <w:rPr>
          <w:sz w:val="24"/>
          <w:szCs w:val="24"/>
        </w:rPr>
        <w:t xml:space="preserve">Необходимая валовая выручка концессионера от деятельности:</w:t>
      </w:r>
      <w:r>
        <w:rPr>
          <w:sz w:val="24"/>
          <w:szCs w:val="24"/>
        </w:rPr>
      </w:r>
      <w:r>
        <w:rPr>
          <w:sz w:val="24"/>
          <w:szCs w:val="24"/>
        </w:rPr>
      </w:r>
    </w:p>
    <w:tbl>
      <w:tblPr>
        <w:tblStyle w:val="937"/>
        <w:tblW w:w="0" w:type="auto"/>
        <w:tblInd w:w="196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126"/>
        <w:gridCol w:w="2254"/>
        <w:gridCol w:w="1984"/>
      </w:tblGrid>
      <w:tr>
        <w:tblPrEx/>
        <w:trPr/>
        <w:tc>
          <w:tcPr>
            <w:tcW w:w="2126" w:type="dxa"/>
            <w:textDirection w:val="lrTb"/>
            <w:noWrap w:val="false"/>
          </w:tcPr>
          <w:p>
            <w:pPr>
              <w:jc w:val="both"/>
              <w:rPr>
                <w:sz w:val="24"/>
                <w:szCs w:val="24"/>
              </w:rPr>
            </w:pPr>
            <w:r>
              <w:rPr>
                <w:sz w:val="24"/>
                <w:szCs w:val="24"/>
              </w:rPr>
              <w:t xml:space="preserve">2024 г. -</w:t>
            </w:r>
            <w:r>
              <w:rPr>
                <w:sz w:val="24"/>
                <w:szCs w:val="24"/>
              </w:rPr>
            </w:r>
            <w:r>
              <w:rPr>
                <w:sz w:val="24"/>
                <w:szCs w:val="24"/>
              </w:rPr>
            </w:r>
          </w:p>
        </w:tc>
        <w:tc>
          <w:tcPr>
            <w:shd w:val="clear" w:color="auto" w:fill="auto"/>
            <w:tcBorders>
              <w:top w:val="none" w:color="000000" w:sz="4" w:space="0"/>
              <w:left w:val="none" w:color="000000" w:sz="4" w:space="0"/>
              <w:bottom w:val="none" w:color="000000" w:sz="4" w:space="0"/>
              <w:right w:val="none" w:color="000000" w:sz="4" w:space="0"/>
            </w:tcBorders>
            <w:tcW w:w="2254" w:type="dxa"/>
            <w:vAlign w:val="center"/>
            <w:textDirection w:val="lrTb"/>
            <w:noWrap w:val="false"/>
          </w:tcPr>
          <w:p>
            <w:pPr>
              <w:jc w:val="both"/>
              <w:rPr>
                <w:sz w:val="24"/>
                <w:szCs w:val="24"/>
              </w:rPr>
            </w:pPr>
            <w:r>
              <w:rPr>
                <w:sz w:val="24"/>
                <w:szCs w:val="24"/>
              </w:rPr>
              <w:t xml:space="preserve">271 174,78</w:t>
            </w:r>
            <w:r>
              <w:rPr>
                <w:sz w:val="24"/>
                <w:szCs w:val="24"/>
              </w:rPr>
            </w:r>
            <w:r>
              <w:rPr>
                <w:sz w:val="24"/>
                <w:szCs w:val="24"/>
              </w:rPr>
            </w:r>
          </w:p>
        </w:tc>
        <w:tc>
          <w:tcPr>
            <w:tcW w:w="1984" w:type="dxa"/>
            <w:textDirection w:val="lrTb"/>
            <w:noWrap w:val="false"/>
          </w:tcPr>
          <w:p>
            <w:pPr>
              <w:jc w:val="both"/>
              <w:rPr>
                <w:sz w:val="24"/>
                <w:szCs w:val="24"/>
              </w:rPr>
            </w:pPr>
            <w:r>
              <w:rPr>
                <w:sz w:val="24"/>
                <w:szCs w:val="24"/>
              </w:rPr>
              <w:t xml:space="preserve">тыс. руб.</w:t>
            </w:r>
            <w:r>
              <w:rPr>
                <w:sz w:val="24"/>
                <w:szCs w:val="24"/>
              </w:rPr>
            </w:r>
            <w:r>
              <w:rPr>
                <w:sz w:val="24"/>
                <w:szCs w:val="24"/>
              </w:rPr>
            </w:r>
          </w:p>
        </w:tc>
      </w:tr>
      <w:tr>
        <w:tblPrEx/>
        <w:trPr/>
        <w:tc>
          <w:tcPr>
            <w:tcW w:w="2126" w:type="dxa"/>
            <w:textDirection w:val="lrTb"/>
            <w:noWrap w:val="false"/>
          </w:tcPr>
          <w:p>
            <w:pPr>
              <w:jc w:val="both"/>
              <w:rPr>
                <w:sz w:val="24"/>
                <w:szCs w:val="24"/>
              </w:rPr>
            </w:pPr>
            <w:r>
              <w:rPr>
                <w:sz w:val="24"/>
                <w:szCs w:val="24"/>
              </w:rPr>
              <w:t xml:space="preserve">2025 г. -</w:t>
            </w:r>
            <w:r>
              <w:rPr>
                <w:sz w:val="24"/>
                <w:szCs w:val="24"/>
              </w:rPr>
            </w:r>
            <w:r>
              <w:rPr>
                <w:sz w:val="24"/>
                <w:szCs w:val="24"/>
              </w:rPr>
            </w:r>
          </w:p>
        </w:tc>
        <w:tc>
          <w:tcPr>
            <w:shd w:val="clear" w:color="auto" w:fill="auto"/>
            <w:tcBorders>
              <w:top w:val="none" w:color="000000" w:sz="4" w:space="0"/>
              <w:left w:val="none" w:color="000000" w:sz="4" w:space="0"/>
              <w:bottom w:val="none" w:color="000000" w:sz="4" w:space="0"/>
              <w:right w:val="none" w:color="000000" w:sz="4" w:space="0"/>
            </w:tcBorders>
            <w:tcW w:w="2254" w:type="dxa"/>
            <w:vAlign w:val="center"/>
            <w:textDirection w:val="lrTb"/>
            <w:noWrap w:val="false"/>
          </w:tcPr>
          <w:p>
            <w:pPr>
              <w:jc w:val="both"/>
              <w:rPr>
                <w:sz w:val="24"/>
                <w:szCs w:val="24"/>
              </w:rPr>
            </w:pPr>
            <w:r>
              <w:rPr>
                <w:sz w:val="24"/>
                <w:szCs w:val="24"/>
              </w:rPr>
              <w:t xml:space="preserve">277 268,88</w:t>
            </w:r>
            <w:r>
              <w:rPr>
                <w:sz w:val="24"/>
                <w:szCs w:val="24"/>
              </w:rPr>
            </w:r>
            <w:r>
              <w:rPr>
                <w:sz w:val="24"/>
                <w:szCs w:val="24"/>
              </w:rPr>
            </w:r>
          </w:p>
        </w:tc>
        <w:tc>
          <w:tcPr>
            <w:tcW w:w="1984" w:type="dxa"/>
            <w:textDirection w:val="lrTb"/>
            <w:noWrap w:val="false"/>
          </w:tcPr>
          <w:p>
            <w:pPr>
              <w:jc w:val="both"/>
              <w:rPr>
                <w:sz w:val="24"/>
                <w:szCs w:val="24"/>
              </w:rPr>
            </w:pPr>
            <w:r>
              <w:rPr>
                <w:sz w:val="24"/>
                <w:szCs w:val="24"/>
              </w:rPr>
              <w:t xml:space="preserve">тыс. руб.</w:t>
            </w:r>
            <w:r>
              <w:rPr>
                <w:sz w:val="24"/>
                <w:szCs w:val="24"/>
              </w:rPr>
            </w:r>
            <w:r>
              <w:rPr>
                <w:sz w:val="24"/>
                <w:szCs w:val="24"/>
              </w:rPr>
            </w:r>
          </w:p>
        </w:tc>
      </w:tr>
      <w:tr>
        <w:tblPrEx/>
        <w:trPr/>
        <w:tc>
          <w:tcPr>
            <w:tcW w:w="2126" w:type="dxa"/>
            <w:textDirection w:val="lrTb"/>
            <w:noWrap w:val="false"/>
          </w:tcPr>
          <w:p>
            <w:pPr>
              <w:jc w:val="both"/>
              <w:rPr>
                <w:sz w:val="24"/>
                <w:szCs w:val="24"/>
              </w:rPr>
            </w:pPr>
            <w:r>
              <w:rPr>
                <w:sz w:val="24"/>
                <w:szCs w:val="24"/>
              </w:rPr>
              <w:t xml:space="preserve">2026 г. -</w:t>
            </w:r>
            <w:r>
              <w:rPr>
                <w:sz w:val="24"/>
                <w:szCs w:val="24"/>
              </w:rPr>
            </w:r>
            <w:r>
              <w:rPr>
                <w:sz w:val="24"/>
                <w:szCs w:val="24"/>
              </w:rPr>
            </w:r>
          </w:p>
        </w:tc>
        <w:tc>
          <w:tcPr>
            <w:shd w:val="clear" w:color="auto" w:fill="auto"/>
            <w:tcBorders>
              <w:top w:val="none" w:color="000000" w:sz="4" w:space="0"/>
              <w:left w:val="none" w:color="000000" w:sz="4" w:space="0"/>
              <w:bottom w:val="none" w:color="000000" w:sz="4" w:space="0"/>
              <w:right w:val="none" w:color="000000" w:sz="4" w:space="0"/>
            </w:tcBorders>
            <w:tcW w:w="2254" w:type="dxa"/>
            <w:vAlign w:val="center"/>
            <w:textDirection w:val="lrTb"/>
            <w:noWrap w:val="false"/>
          </w:tcPr>
          <w:p>
            <w:pPr>
              <w:jc w:val="both"/>
              <w:rPr>
                <w:sz w:val="24"/>
                <w:szCs w:val="24"/>
              </w:rPr>
            </w:pPr>
            <w:r>
              <w:rPr>
                <w:sz w:val="24"/>
                <w:szCs w:val="24"/>
              </w:rPr>
              <w:t xml:space="preserve">251 402,71</w:t>
            </w:r>
            <w:r>
              <w:rPr>
                <w:sz w:val="24"/>
                <w:szCs w:val="24"/>
              </w:rPr>
            </w:r>
            <w:r>
              <w:rPr>
                <w:sz w:val="24"/>
                <w:szCs w:val="24"/>
              </w:rPr>
            </w:r>
          </w:p>
        </w:tc>
        <w:tc>
          <w:tcPr>
            <w:tcW w:w="1984" w:type="dxa"/>
            <w:textDirection w:val="lrTb"/>
            <w:noWrap w:val="false"/>
          </w:tcPr>
          <w:p>
            <w:pPr>
              <w:jc w:val="both"/>
              <w:rPr>
                <w:sz w:val="24"/>
                <w:szCs w:val="24"/>
              </w:rPr>
            </w:pPr>
            <w:r>
              <w:rPr>
                <w:sz w:val="24"/>
                <w:szCs w:val="24"/>
              </w:rPr>
              <w:t xml:space="preserve">тыс. руб.</w:t>
            </w:r>
            <w:r>
              <w:rPr>
                <w:sz w:val="24"/>
                <w:szCs w:val="24"/>
              </w:rPr>
            </w:r>
            <w:r>
              <w:rPr>
                <w:sz w:val="24"/>
                <w:szCs w:val="24"/>
              </w:rPr>
            </w:r>
          </w:p>
        </w:tc>
      </w:tr>
      <w:tr>
        <w:tblPrEx/>
        <w:trPr/>
        <w:tc>
          <w:tcPr>
            <w:tcW w:w="2126" w:type="dxa"/>
            <w:textDirection w:val="lrTb"/>
            <w:noWrap w:val="false"/>
          </w:tcPr>
          <w:p>
            <w:pPr>
              <w:jc w:val="both"/>
              <w:rPr>
                <w:sz w:val="24"/>
                <w:szCs w:val="24"/>
              </w:rPr>
            </w:pPr>
            <w:r>
              <w:rPr>
                <w:sz w:val="24"/>
                <w:szCs w:val="24"/>
              </w:rPr>
              <w:t xml:space="preserve">2027 г. -</w:t>
            </w:r>
            <w:r>
              <w:rPr>
                <w:sz w:val="24"/>
                <w:szCs w:val="24"/>
              </w:rPr>
            </w:r>
            <w:r>
              <w:rPr>
                <w:sz w:val="24"/>
                <w:szCs w:val="24"/>
              </w:rPr>
            </w:r>
          </w:p>
        </w:tc>
        <w:tc>
          <w:tcPr>
            <w:shd w:val="clear" w:color="auto" w:fill="auto"/>
            <w:tcBorders>
              <w:top w:val="none" w:color="000000" w:sz="4" w:space="0"/>
              <w:left w:val="none" w:color="000000" w:sz="4" w:space="0"/>
              <w:bottom w:val="none" w:color="000000" w:sz="4" w:space="0"/>
              <w:right w:val="none" w:color="000000" w:sz="4" w:space="0"/>
            </w:tcBorders>
            <w:tcW w:w="2254" w:type="dxa"/>
            <w:vAlign w:val="center"/>
            <w:textDirection w:val="lrTb"/>
            <w:noWrap w:val="false"/>
          </w:tcPr>
          <w:p>
            <w:pPr>
              <w:jc w:val="both"/>
              <w:rPr>
                <w:sz w:val="24"/>
                <w:szCs w:val="24"/>
              </w:rPr>
            </w:pPr>
            <w:r>
              <w:rPr>
                <w:sz w:val="24"/>
                <w:szCs w:val="24"/>
              </w:rPr>
              <w:t xml:space="preserve">260 104,48</w:t>
            </w:r>
            <w:r>
              <w:rPr>
                <w:sz w:val="24"/>
                <w:szCs w:val="24"/>
              </w:rPr>
            </w:r>
            <w:r>
              <w:rPr>
                <w:sz w:val="24"/>
                <w:szCs w:val="24"/>
              </w:rPr>
            </w:r>
          </w:p>
        </w:tc>
        <w:tc>
          <w:tcPr>
            <w:tcW w:w="1984" w:type="dxa"/>
            <w:textDirection w:val="lrTb"/>
            <w:noWrap w:val="false"/>
          </w:tcPr>
          <w:p>
            <w:pPr>
              <w:jc w:val="both"/>
              <w:rPr>
                <w:sz w:val="24"/>
                <w:szCs w:val="24"/>
              </w:rPr>
            </w:pPr>
            <w:r>
              <w:rPr>
                <w:sz w:val="24"/>
                <w:szCs w:val="24"/>
              </w:rPr>
              <w:t xml:space="preserve">тыс. руб.</w:t>
            </w:r>
            <w:r>
              <w:rPr>
                <w:sz w:val="24"/>
                <w:szCs w:val="24"/>
              </w:rPr>
            </w:r>
            <w:r>
              <w:rPr>
                <w:sz w:val="24"/>
                <w:szCs w:val="24"/>
              </w:rPr>
            </w:r>
          </w:p>
        </w:tc>
      </w:tr>
      <w:tr>
        <w:tblPrEx/>
        <w:trPr/>
        <w:tc>
          <w:tcPr>
            <w:tcW w:w="2126" w:type="dxa"/>
            <w:textDirection w:val="lrTb"/>
            <w:noWrap w:val="false"/>
          </w:tcPr>
          <w:p>
            <w:pPr>
              <w:jc w:val="both"/>
              <w:rPr>
                <w:sz w:val="24"/>
                <w:szCs w:val="24"/>
              </w:rPr>
            </w:pPr>
            <w:r>
              <w:rPr>
                <w:sz w:val="24"/>
                <w:szCs w:val="24"/>
              </w:rPr>
              <w:t xml:space="preserve">2028 г. -</w:t>
            </w:r>
            <w:r>
              <w:rPr>
                <w:sz w:val="24"/>
                <w:szCs w:val="24"/>
              </w:rPr>
            </w:r>
            <w:r>
              <w:rPr>
                <w:sz w:val="24"/>
                <w:szCs w:val="24"/>
              </w:rPr>
            </w:r>
          </w:p>
        </w:tc>
        <w:tc>
          <w:tcPr>
            <w:shd w:val="clear" w:color="auto" w:fill="auto"/>
            <w:tcBorders>
              <w:top w:val="none" w:color="000000" w:sz="4" w:space="0"/>
              <w:left w:val="none" w:color="000000" w:sz="4" w:space="0"/>
              <w:bottom w:val="none" w:color="000000" w:sz="4" w:space="0"/>
              <w:right w:val="none" w:color="000000" w:sz="4" w:space="0"/>
            </w:tcBorders>
            <w:tcW w:w="2254" w:type="dxa"/>
            <w:vAlign w:val="center"/>
            <w:textDirection w:val="lrTb"/>
            <w:noWrap w:val="false"/>
          </w:tcPr>
          <w:p>
            <w:pPr>
              <w:jc w:val="both"/>
              <w:rPr>
                <w:sz w:val="24"/>
                <w:szCs w:val="24"/>
              </w:rPr>
            </w:pPr>
            <w:r>
              <w:rPr>
                <w:sz w:val="24"/>
                <w:szCs w:val="24"/>
              </w:rPr>
              <w:t xml:space="preserve">269 277,77</w:t>
            </w:r>
            <w:r>
              <w:rPr>
                <w:sz w:val="24"/>
                <w:szCs w:val="24"/>
              </w:rPr>
            </w:r>
            <w:r>
              <w:rPr>
                <w:sz w:val="24"/>
                <w:szCs w:val="24"/>
              </w:rPr>
            </w:r>
          </w:p>
        </w:tc>
        <w:tc>
          <w:tcPr>
            <w:tcW w:w="1984" w:type="dxa"/>
            <w:textDirection w:val="lrTb"/>
            <w:noWrap w:val="false"/>
          </w:tcPr>
          <w:p>
            <w:pPr>
              <w:jc w:val="both"/>
              <w:rPr>
                <w:sz w:val="24"/>
                <w:szCs w:val="24"/>
              </w:rPr>
            </w:pPr>
            <w:r>
              <w:rPr>
                <w:sz w:val="24"/>
                <w:szCs w:val="24"/>
              </w:rPr>
              <w:t xml:space="preserve">тыс. руб.</w:t>
            </w:r>
            <w:r>
              <w:rPr>
                <w:sz w:val="24"/>
                <w:szCs w:val="24"/>
              </w:rPr>
            </w:r>
            <w:r>
              <w:rPr>
                <w:sz w:val="24"/>
                <w:szCs w:val="24"/>
              </w:rPr>
            </w:r>
          </w:p>
        </w:tc>
      </w:tr>
      <w:tr>
        <w:tblPrEx/>
        <w:trPr/>
        <w:tc>
          <w:tcPr>
            <w:tcW w:w="2126" w:type="dxa"/>
            <w:textDirection w:val="lrTb"/>
            <w:noWrap w:val="false"/>
          </w:tcPr>
          <w:p>
            <w:pPr>
              <w:jc w:val="both"/>
              <w:rPr>
                <w:sz w:val="24"/>
                <w:szCs w:val="24"/>
              </w:rPr>
            </w:pPr>
            <w:r>
              <w:rPr>
                <w:sz w:val="24"/>
                <w:szCs w:val="24"/>
              </w:rPr>
              <w:t xml:space="preserve">2029 г. -</w:t>
            </w:r>
            <w:r>
              <w:rPr>
                <w:sz w:val="24"/>
                <w:szCs w:val="24"/>
              </w:rPr>
            </w:r>
            <w:r>
              <w:rPr>
                <w:sz w:val="24"/>
                <w:szCs w:val="24"/>
              </w:rPr>
            </w:r>
          </w:p>
        </w:tc>
        <w:tc>
          <w:tcPr>
            <w:shd w:val="clear" w:color="auto" w:fill="auto"/>
            <w:tcBorders>
              <w:top w:val="none" w:color="000000" w:sz="4" w:space="0"/>
              <w:left w:val="none" w:color="000000" w:sz="4" w:space="0"/>
              <w:bottom w:val="none" w:color="000000" w:sz="4" w:space="0"/>
              <w:right w:val="none" w:color="000000" w:sz="4" w:space="0"/>
            </w:tcBorders>
            <w:tcW w:w="2254" w:type="dxa"/>
            <w:vAlign w:val="center"/>
            <w:textDirection w:val="lrTb"/>
            <w:noWrap w:val="false"/>
          </w:tcPr>
          <w:p>
            <w:pPr>
              <w:jc w:val="both"/>
              <w:rPr>
                <w:sz w:val="24"/>
                <w:szCs w:val="24"/>
              </w:rPr>
            </w:pPr>
            <w:r>
              <w:rPr>
                <w:sz w:val="24"/>
                <w:szCs w:val="24"/>
              </w:rPr>
              <w:t xml:space="preserve">277 940,79</w:t>
            </w:r>
            <w:r>
              <w:rPr>
                <w:sz w:val="24"/>
                <w:szCs w:val="24"/>
              </w:rPr>
            </w:r>
            <w:r>
              <w:rPr>
                <w:sz w:val="24"/>
                <w:szCs w:val="24"/>
              </w:rPr>
            </w:r>
          </w:p>
        </w:tc>
        <w:tc>
          <w:tcPr>
            <w:tcW w:w="1984" w:type="dxa"/>
            <w:textDirection w:val="lrTb"/>
            <w:noWrap w:val="false"/>
          </w:tcPr>
          <w:p>
            <w:pPr>
              <w:jc w:val="both"/>
              <w:rPr>
                <w:sz w:val="24"/>
                <w:szCs w:val="24"/>
              </w:rPr>
            </w:pPr>
            <w:r>
              <w:rPr>
                <w:sz w:val="24"/>
                <w:szCs w:val="24"/>
              </w:rPr>
              <w:t xml:space="preserve">тыс. руб.</w:t>
            </w:r>
            <w:r>
              <w:rPr>
                <w:sz w:val="24"/>
                <w:szCs w:val="24"/>
              </w:rPr>
            </w:r>
            <w:r>
              <w:rPr>
                <w:sz w:val="24"/>
                <w:szCs w:val="24"/>
              </w:rPr>
            </w:r>
          </w:p>
        </w:tc>
      </w:tr>
      <w:tr>
        <w:tblPrEx/>
        <w:trPr/>
        <w:tc>
          <w:tcPr>
            <w:tcW w:w="2126" w:type="dxa"/>
            <w:textDirection w:val="lrTb"/>
            <w:noWrap w:val="false"/>
          </w:tcPr>
          <w:p>
            <w:pPr>
              <w:jc w:val="both"/>
              <w:rPr>
                <w:sz w:val="24"/>
                <w:szCs w:val="24"/>
              </w:rPr>
            </w:pPr>
            <w:r>
              <w:rPr>
                <w:sz w:val="24"/>
                <w:szCs w:val="24"/>
              </w:rPr>
              <w:t xml:space="preserve">2030 г. -</w:t>
            </w:r>
            <w:r>
              <w:rPr>
                <w:sz w:val="24"/>
                <w:szCs w:val="24"/>
              </w:rPr>
            </w:r>
            <w:r>
              <w:rPr>
                <w:sz w:val="24"/>
                <w:szCs w:val="24"/>
              </w:rPr>
            </w:r>
          </w:p>
        </w:tc>
        <w:tc>
          <w:tcPr>
            <w:shd w:val="clear" w:color="auto" w:fill="auto"/>
            <w:tcBorders>
              <w:top w:val="none" w:color="000000" w:sz="4" w:space="0"/>
              <w:left w:val="none" w:color="000000" w:sz="4" w:space="0"/>
              <w:bottom w:val="none" w:color="000000" w:sz="4" w:space="0"/>
              <w:right w:val="none" w:color="000000" w:sz="4" w:space="0"/>
            </w:tcBorders>
            <w:tcW w:w="2254" w:type="dxa"/>
            <w:vAlign w:val="center"/>
            <w:textDirection w:val="lrTb"/>
            <w:noWrap w:val="false"/>
          </w:tcPr>
          <w:p>
            <w:pPr>
              <w:jc w:val="both"/>
              <w:rPr>
                <w:sz w:val="24"/>
                <w:szCs w:val="24"/>
              </w:rPr>
            </w:pPr>
            <w:r>
              <w:rPr>
                <w:sz w:val="24"/>
                <w:szCs w:val="24"/>
              </w:rPr>
              <w:t xml:space="preserve">287 651,52</w:t>
            </w:r>
            <w:r>
              <w:rPr>
                <w:sz w:val="24"/>
                <w:szCs w:val="24"/>
              </w:rPr>
            </w:r>
            <w:r>
              <w:rPr>
                <w:sz w:val="24"/>
                <w:szCs w:val="24"/>
              </w:rPr>
            </w:r>
          </w:p>
        </w:tc>
        <w:tc>
          <w:tcPr>
            <w:tcW w:w="1984" w:type="dxa"/>
            <w:textDirection w:val="lrTb"/>
            <w:noWrap w:val="false"/>
          </w:tcPr>
          <w:p>
            <w:pPr>
              <w:jc w:val="both"/>
              <w:rPr>
                <w:sz w:val="24"/>
                <w:szCs w:val="24"/>
              </w:rPr>
            </w:pPr>
            <w:r>
              <w:rPr>
                <w:sz w:val="24"/>
                <w:szCs w:val="24"/>
              </w:rPr>
              <w:t xml:space="preserve">тыс. руб.</w:t>
            </w:r>
            <w:r>
              <w:rPr>
                <w:sz w:val="24"/>
                <w:szCs w:val="24"/>
              </w:rPr>
            </w:r>
            <w:r>
              <w:rPr>
                <w:sz w:val="24"/>
                <w:szCs w:val="24"/>
              </w:rPr>
            </w:r>
          </w:p>
        </w:tc>
      </w:tr>
      <w:tr>
        <w:tblPrEx/>
        <w:trPr/>
        <w:tc>
          <w:tcPr>
            <w:tcW w:w="2126" w:type="dxa"/>
            <w:textDirection w:val="lrTb"/>
            <w:noWrap w:val="false"/>
          </w:tcPr>
          <w:p>
            <w:pPr>
              <w:jc w:val="both"/>
              <w:rPr>
                <w:sz w:val="24"/>
                <w:szCs w:val="24"/>
              </w:rPr>
            </w:pPr>
            <w:r>
              <w:rPr>
                <w:sz w:val="24"/>
                <w:szCs w:val="24"/>
              </w:rPr>
              <w:t xml:space="preserve">2031 г. -</w:t>
            </w:r>
            <w:r>
              <w:rPr>
                <w:sz w:val="24"/>
                <w:szCs w:val="24"/>
              </w:rPr>
            </w:r>
            <w:r>
              <w:rPr>
                <w:sz w:val="24"/>
                <w:szCs w:val="24"/>
              </w:rPr>
            </w:r>
          </w:p>
        </w:tc>
        <w:tc>
          <w:tcPr>
            <w:shd w:val="clear" w:color="auto" w:fill="auto"/>
            <w:tcBorders>
              <w:top w:val="none" w:color="000000" w:sz="4" w:space="0"/>
              <w:left w:val="none" w:color="000000" w:sz="4" w:space="0"/>
              <w:bottom w:val="none" w:color="000000" w:sz="4" w:space="0"/>
              <w:right w:val="none" w:color="000000" w:sz="4" w:space="0"/>
            </w:tcBorders>
            <w:tcW w:w="2254" w:type="dxa"/>
            <w:vAlign w:val="center"/>
            <w:textDirection w:val="lrTb"/>
            <w:noWrap w:val="false"/>
          </w:tcPr>
          <w:p>
            <w:pPr>
              <w:jc w:val="both"/>
              <w:rPr>
                <w:sz w:val="24"/>
                <w:szCs w:val="24"/>
              </w:rPr>
            </w:pPr>
            <w:r>
              <w:rPr>
                <w:sz w:val="24"/>
                <w:szCs w:val="24"/>
              </w:rPr>
              <w:t xml:space="preserve">297 722,87</w:t>
            </w:r>
            <w:r>
              <w:rPr>
                <w:sz w:val="24"/>
                <w:szCs w:val="24"/>
              </w:rPr>
            </w:r>
            <w:r>
              <w:rPr>
                <w:sz w:val="24"/>
                <w:szCs w:val="24"/>
              </w:rPr>
            </w:r>
          </w:p>
        </w:tc>
        <w:tc>
          <w:tcPr>
            <w:tcW w:w="1984" w:type="dxa"/>
            <w:textDirection w:val="lrTb"/>
            <w:noWrap w:val="false"/>
          </w:tcPr>
          <w:p>
            <w:pPr>
              <w:jc w:val="both"/>
              <w:rPr>
                <w:sz w:val="24"/>
                <w:szCs w:val="24"/>
              </w:rPr>
            </w:pPr>
            <w:r>
              <w:rPr>
                <w:sz w:val="24"/>
                <w:szCs w:val="24"/>
              </w:rPr>
              <w:t xml:space="preserve">тыс. руб.</w:t>
            </w:r>
            <w:r>
              <w:rPr>
                <w:sz w:val="24"/>
                <w:szCs w:val="24"/>
              </w:rPr>
            </w:r>
            <w:r>
              <w:rPr>
                <w:sz w:val="24"/>
                <w:szCs w:val="24"/>
              </w:rPr>
            </w:r>
          </w:p>
        </w:tc>
      </w:tr>
      <w:tr>
        <w:tblPrEx/>
        <w:trPr/>
        <w:tc>
          <w:tcPr>
            <w:tcW w:w="2126" w:type="dxa"/>
            <w:textDirection w:val="lrTb"/>
            <w:noWrap w:val="false"/>
          </w:tcPr>
          <w:p>
            <w:pPr>
              <w:jc w:val="both"/>
              <w:rPr>
                <w:sz w:val="24"/>
                <w:szCs w:val="24"/>
              </w:rPr>
            </w:pPr>
            <w:r>
              <w:rPr>
                <w:sz w:val="24"/>
                <w:szCs w:val="24"/>
              </w:rPr>
              <w:t xml:space="preserve">2032 г. -</w:t>
            </w:r>
            <w:r>
              <w:rPr>
                <w:sz w:val="24"/>
                <w:szCs w:val="24"/>
              </w:rPr>
            </w:r>
            <w:r>
              <w:rPr>
                <w:sz w:val="24"/>
                <w:szCs w:val="24"/>
              </w:rPr>
            </w:r>
          </w:p>
        </w:tc>
        <w:tc>
          <w:tcPr>
            <w:shd w:val="clear" w:color="auto" w:fill="auto"/>
            <w:tcBorders>
              <w:top w:val="none" w:color="000000" w:sz="4" w:space="0"/>
              <w:left w:val="none" w:color="000000" w:sz="4" w:space="0"/>
              <w:bottom w:val="none" w:color="000000" w:sz="4" w:space="0"/>
              <w:right w:val="none" w:color="000000" w:sz="4" w:space="0"/>
            </w:tcBorders>
            <w:tcW w:w="2254" w:type="dxa"/>
            <w:vAlign w:val="center"/>
            <w:textDirection w:val="lrTb"/>
            <w:noWrap w:val="false"/>
          </w:tcPr>
          <w:p>
            <w:pPr>
              <w:jc w:val="both"/>
              <w:rPr>
                <w:sz w:val="24"/>
                <w:szCs w:val="24"/>
              </w:rPr>
            </w:pPr>
            <w:r>
              <w:rPr>
                <w:sz w:val="24"/>
                <w:szCs w:val="24"/>
              </w:rPr>
              <w:t xml:space="preserve">308 168,84</w:t>
            </w:r>
            <w:r>
              <w:rPr>
                <w:sz w:val="24"/>
                <w:szCs w:val="24"/>
              </w:rPr>
            </w:r>
            <w:r>
              <w:rPr>
                <w:sz w:val="24"/>
                <w:szCs w:val="24"/>
              </w:rPr>
            </w:r>
          </w:p>
        </w:tc>
        <w:tc>
          <w:tcPr>
            <w:tcW w:w="1984" w:type="dxa"/>
            <w:textDirection w:val="lrTb"/>
            <w:noWrap w:val="false"/>
          </w:tcPr>
          <w:p>
            <w:pPr>
              <w:jc w:val="both"/>
              <w:rPr>
                <w:sz w:val="24"/>
                <w:szCs w:val="24"/>
              </w:rPr>
            </w:pPr>
            <w:r>
              <w:rPr>
                <w:sz w:val="24"/>
                <w:szCs w:val="24"/>
              </w:rPr>
              <w:t xml:space="preserve">тыс. руб.</w:t>
            </w:r>
            <w:r>
              <w:rPr>
                <w:sz w:val="24"/>
                <w:szCs w:val="24"/>
              </w:rPr>
            </w:r>
            <w:r>
              <w:rPr>
                <w:sz w:val="24"/>
                <w:szCs w:val="24"/>
              </w:rPr>
            </w:r>
          </w:p>
        </w:tc>
      </w:tr>
      <w:tr>
        <w:tblPrEx/>
        <w:trPr/>
        <w:tc>
          <w:tcPr>
            <w:tcW w:w="2126" w:type="dxa"/>
            <w:textDirection w:val="lrTb"/>
            <w:noWrap w:val="false"/>
          </w:tcPr>
          <w:p>
            <w:pPr>
              <w:jc w:val="both"/>
              <w:rPr>
                <w:sz w:val="24"/>
                <w:szCs w:val="24"/>
              </w:rPr>
            </w:pPr>
            <w:r>
              <w:rPr>
                <w:sz w:val="24"/>
                <w:szCs w:val="24"/>
              </w:rPr>
              <w:t xml:space="preserve">2033 г. -</w:t>
            </w:r>
            <w:r>
              <w:rPr>
                <w:sz w:val="24"/>
                <w:szCs w:val="24"/>
              </w:rPr>
            </w:r>
            <w:r>
              <w:rPr>
                <w:sz w:val="24"/>
                <w:szCs w:val="24"/>
              </w:rPr>
            </w:r>
          </w:p>
        </w:tc>
        <w:tc>
          <w:tcPr>
            <w:shd w:val="clear" w:color="auto" w:fill="auto"/>
            <w:tcBorders>
              <w:top w:val="none" w:color="000000" w:sz="4" w:space="0"/>
              <w:left w:val="none" w:color="000000" w:sz="4" w:space="0"/>
              <w:right w:val="none" w:color="000000" w:sz="4" w:space="0"/>
            </w:tcBorders>
            <w:tcW w:w="2254" w:type="dxa"/>
            <w:vAlign w:val="center"/>
            <w:textDirection w:val="lrTb"/>
            <w:noWrap w:val="false"/>
          </w:tcPr>
          <w:p>
            <w:pPr>
              <w:jc w:val="both"/>
              <w:rPr>
                <w:sz w:val="24"/>
                <w:szCs w:val="24"/>
              </w:rPr>
            </w:pPr>
            <w:r>
              <w:rPr>
                <w:sz w:val="24"/>
                <w:szCs w:val="24"/>
              </w:rPr>
              <w:t xml:space="preserve">319 004,02</w:t>
            </w:r>
            <w:r>
              <w:rPr>
                <w:sz w:val="24"/>
                <w:szCs w:val="24"/>
              </w:rPr>
            </w:r>
            <w:r>
              <w:rPr>
                <w:sz w:val="24"/>
                <w:szCs w:val="24"/>
              </w:rPr>
            </w:r>
          </w:p>
        </w:tc>
        <w:tc>
          <w:tcPr>
            <w:tcW w:w="1984" w:type="dxa"/>
            <w:textDirection w:val="lrTb"/>
            <w:noWrap w:val="false"/>
          </w:tcPr>
          <w:p>
            <w:pPr>
              <w:jc w:val="both"/>
              <w:rPr>
                <w:sz w:val="24"/>
                <w:szCs w:val="24"/>
              </w:rPr>
            </w:pPr>
            <w:r>
              <w:rPr>
                <w:sz w:val="24"/>
                <w:szCs w:val="24"/>
              </w:rPr>
              <w:t xml:space="preserve">тыс. руб.</w:t>
            </w:r>
            <w:r>
              <w:rPr>
                <w:sz w:val="24"/>
                <w:szCs w:val="24"/>
              </w:rPr>
            </w:r>
            <w:r>
              <w:rPr>
                <w:sz w:val="24"/>
                <w:szCs w:val="24"/>
              </w:rPr>
            </w:r>
          </w:p>
        </w:tc>
      </w:tr>
    </w:tbl>
    <w:p>
      <w:pPr>
        <w:ind w:firstLine="680"/>
        <w:jc w:val="both"/>
        <w:rPr>
          <w:sz w:val="24"/>
          <w:szCs w:val="24"/>
        </w:rPr>
      </w:pPr>
      <w:r>
        <w:rPr>
          <w:sz w:val="24"/>
          <w:szCs w:val="24"/>
        </w:rPr>
      </w:r>
      <w:r>
        <w:rPr>
          <w:sz w:val="24"/>
          <w:szCs w:val="24"/>
        </w:rPr>
      </w:r>
      <w:r>
        <w:rPr>
          <w:sz w:val="24"/>
          <w:szCs w:val="24"/>
        </w:rPr>
      </w:r>
    </w:p>
    <w:p>
      <w:pPr>
        <w:ind w:firstLine="680"/>
        <w:jc w:val="both"/>
        <w:rPr>
          <w:sz w:val="24"/>
          <w:szCs w:val="24"/>
        </w:rPr>
      </w:pPr>
      <w:r>
        <w:rPr>
          <w:sz w:val="24"/>
          <w:szCs w:val="24"/>
        </w:rPr>
        <w:t xml:space="preserve">Предельный (максимальный) рост валовой выручки концессионера от деятельности с использованием вновь построенных объектов, входящих в состав Объекта Соглашения, в соответствующем году по отношению к предыдущему году: </w:t>
      </w:r>
      <w:r>
        <w:rPr>
          <w:sz w:val="24"/>
          <w:szCs w:val="24"/>
        </w:rPr>
      </w:r>
      <w:r>
        <w:rPr>
          <w:sz w:val="24"/>
          <w:szCs w:val="24"/>
        </w:rPr>
      </w:r>
    </w:p>
    <w:p>
      <w:pPr>
        <w:ind w:firstLine="680"/>
        <w:jc w:val="both"/>
        <w:rPr>
          <w:sz w:val="24"/>
          <w:szCs w:val="24"/>
        </w:rPr>
      </w:pPr>
      <w:r>
        <w:rPr>
          <w:sz w:val="24"/>
          <w:szCs w:val="24"/>
        </w:rPr>
      </w:r>
      <w:r>
        <w:rPr>
          <w:sz w:val="24"/>
          <w:szCs w:val="24"/>
        </w:rPr>
      </w:r>
      <w:r>
        <w:rPr>
          <w:sz w:val="24"/>
          <w:szCs w:val="24"/>
        </w:rPr>
      </w:r>
    </w:p>
    <w:tbl>
      <w:tblPr>
        <w:tblStyle w:val="937"/>
        <w:tblW w:w="0" w:type="auto"/>
        <w:tblInd w:w="2968" w:type="dxa"/>
        <w:tblLook w:val="04A0" w:firstRow="1" w:lastRow="0" w:firstColumn="1" w:lastColumn="0" w:noHBand="0" w:noVBand="1"/>
      </w:tblPr>
      <w:tblGrid>
        <w:gridCol w:w="1143"/>
        <w:gridCol w:w="1125"/>
        <w:gridCol w:w="2268"/>
      </w:tblGrid>
      <w:tr>
        <w:tblPrEx/>
        <w:trPr/>
        <w:tc>
          <w:tcPr>
            <w:tcBorders>
              <w:top w:val="none" w:color="000000" w:sz="4" w:space="0"/>
              <w:left w:val="none" w:color="000000" w:sz="4" w:space="0"/>
              <w:bottom w:val="none" w:color="000000" w:sz="4" w:space="0"/>
              <w:right w:val="none" w:color="000000" w:sz="4" w:space="0"/>
            </w:tcBorders>
            <w:tcW w:w="1143" w:type="dxa"/>
            <w:textDirection w:val="lrTb"/>
            <w:noWrap w:val="false"/>
          </w:tcPr>
          <w:p>
            <w:pPr>
              <w:jc w:val="both"/>
              <w:rPr>
                <w:sz w:val="24"/>
                <w:szCs w:val="24"/>
              </w:rPr>
            </w:pPr>
            <w:r>
              <w:rPr>
                <w:sz w:val="24"/>
                <w:szCs w:val="24"/>
              </w:rPr>
              <w:t xml:space="preserve">2025/</w:t>
            </w:r>
            <w:r>
              <w:rPr>
                <w:sz w:val="24"/>
                <w:szCs w:val="24"/>
              </w:rPr>
            </w:r>
            <w:r>
              <w:rPr>
                <w:sz w:val="24"/>
                <w:szCs w:val="24"/>
              </w:rPr>
            </w:r>
          </w:p>
        </w:tc>
        <w:tc>
          <w:tcPr>
            <w:tcBorders>
              <w:top w:val="none" w:color="000000" w:sz="4" w:space="0"/>
              <w:left w:val="none" w:color="000000" w:sz="4" w:space="0"/>
              <w:bottom w:val="none" w:color="000000" w:sz="4" w:space="0"/>
              <w:right w:val="none" w:color="000000" w:sz="4" w:space="0"/>
            </w:tcBorders>
            <w:tcW w:w="1125" w:type="dxa"/>
            <w:textDirection w:val="lrTb"/>
            <w:noWrap w:val="false"/>
          </w:tcPr>
          <w:p>
            <w:pPr>
              <w:jc w:val="both"/>
              <w:rPr>
                <w:sz w:val="24"/>
                <w:szCs w:val="24"/>
              </w:rPr>
            </w:pPr>
            <w:r>
              <w:rPr>
                <w:sz w:val="24"/>
                <w:szCs w:val="24"/>
              </w:rPr>
              <w:t xml:space="preserve">2024</w:t>
            </w:r>
            <w:r>
              <w:rPr>
                <w:sz w:val="24"/>
                <w:szCs w:val="24"/>
              </w:rPr>
            </w:r>
            <w:r>
              <w:rPr>
                <w:sz w:val="24"/>
                <w:szCs w:val="24"/>
              </w:rPr>
            </w:r>
          </w:p>
        </w:tc>
        <w:tc>
          <w:tcPr>
            <w:shd w:val="clear" w:color="auto" w:fill="auto"/>
            <w:tcBorders>
              <w:top w:val="none" w:color="000000" w:sz="4" w:space="0"/>
              <w:left w:val="none" w:color="000000" w:sz="4" w:space="0"/>
              <w:bottom w:val="none" w:color="000000" w:sz="4" w:space="0"/>
              <w:right w:val="none" w:color="000000" w:sz="4" w:space="0"/>
            </w:tcBorders>
            <w:tcW w:w="2268" w:type="dxa"/>
            <w:textDirection w:val="lrTb"/>
            <w:noWrap w:val="false"/>
          </w:tcPr>
          <w:p>
            <w:pPr>
              <w:jc w:val="both"/>
              <w:rPr>
                <w:sz w:val="24"/>
                <w:szCs w:val="24"/>
              </w:rPr>
            </w:pPr>
            <w:r>
              <w:rPr>
                <w:sz w:val="24"/>
                <w:szCs w:val="24"/>
              </w:rPr>
              <w:t xml:space="preserve">102,25%</w:t>
            </w:r>
            <w:r>
              <w:rPr>
                <w:sz w:val="24"/>
                <w:szCs w:val="24"/>
              </w:rPr>
            </w:r>
            <w:r>
              <w:rPr>
                <w:sz w:val="24"/>
                <w:szCs w:val="24"/>
              </w:rPr>
            </w:r>
          </w:p>
        </w:tc>
      </w:tr>
      <w:tr>
        <w:tblPrEx/>
        <w:trPr/>
        <w:tc>
          <w:tcPr>
            <w:tcBorders>
              <w:top w:val="none" w:color="000000" w:sz="4" w:space="0"/>
              <w:left w:val="none" w:color="000000" w:sz="4" w:space="0"/>
              <w:bottom w:val="none" w:color="000000" w:sz="4" w:space="0"/>
              <w:right w:val="none" w:color="000000" w:sz="4" w:space="0"/>
            </w:tcBorders>
            <w:tcW w:w="1143" w:type="dxa"/>
            <w:textDirection w:val="lrTb"/>
            <w:noWrap w:val="false"/>
          </w:tcPr>
          <w:p>
            <w:pPr>
              <w:jc w:val="both"/>
              <w:rPr>
                <w:sz w:val="24"/>
                <w:szCs w:val="24"/>
              </w:rPr>
            </w:pPr>
            <w:r>
              <w:rPr>
                <w:sz w:val="24"/>
                <w:szCs w:val="24"/>
              </w:rPr>
              <w:t xml:space="preserve">2026/</w:t>
            </w:r>
            <w:r>
              <w:rPr>
                <w:sz w:val="24"/>
                <w:szCs w:val="24"/>
              </w:rPr>
            </w:r>
            <w:r>
              <w:rPr>
                <w:sz w:val="24"/>
                <w:szCs w:val="24"/>
              </w:rPr>
            </w:r>
          </w:p>
        </w:tc>
        <w:tc>
          <w:tcPr>
            <w:tcBorders>
              <w:top w:val="none" w:color="000000" w:sz="4" w:space="0"/>
              <w:left w:val="none" w:color="000000" w:sz="4" w:space="0"/>
              <w:bottom w:val="none" w:color="000000" w:sz="4" w:space="0"/>
              <w:right w:val="none" w:color="000000" w:sz="4" w:space="0"/>
            </w:tcBorders>
            <w:tcW w:w="1125" w:type="dxa"/>
            <w:textDirection w:val="lrTb"/>
            <w:noWrap w:val="false"/>
          </w:tcPr>
          <w:p>
            <w:pPr>
              <w:jc w:val="both"/>
              <w:rPr>
                <w:sz w:val="24"/>
                <w:szCs w:val="24"/>
              </w:rPr>
            </w:pPr>
            <w:r>
              <w:rPr>
                <w:sz w:val="24"/>
                <w:szCs w:val="24"/>
              </w:rPr>
              <w:t xml:space="preserve">2025</w:t>
            </w:r>
            <w:r>
              <w:rPr>
                <w:sz w:val="24"/>
                <w:szCs w:val="24"/>
              </w:rPr>
            </w:r>
            <w:r>
              <w:rPr>
                <w:sz w:val="24"/>
                <w:szCs w:val="24"/>
              </w:rPr>
            </w:r>
          </w:p>
        </w:tc>
        <w:tc>
          <w:tcPr>
            <w:shd w:val="clear" w:color="auto" w:fill="auto"/>
            <w:tcBorders>
              <w:top w:val="none" w:color="000000" w:sz="4" w:space="0"/>
              <w:left w:val="none" w:color="000000" w:sz="4" w:space="0"/>
              <w:bottom w:val="none" w:color="000000" w:sz="4" w:space="0"/>
              <w:right w:val="none" w:color="000000" w:sz="4" w:space="0"/>
            </w:tcBorders>
            <w:tcW w:w="2268" w:type="dxa"/>
            <w:textDirection w:val="lrTb"/>
            <w:noWrap w:val="false"/>
          </w:tcPr>
          <w:p>
            <w:pPr>
              <w:jc w:val="both"/>
              <w:rPr>
                <w:sz w:val="24"/>
                <w:szCs w:val="24"/>
              </w:rPr>
            </w:pPr>
            <w:r>
              <w:rPr>
                <w:sz w:val="24"/>
                <w:szCs w:val="24"/>
              </w:rPr>
              <w:t xml:space="preserve">90,67%</w:t>
            </w:r>
            <w:r>
              <w:rPr>
                <w:sz w:val="24"/>
                <w:szCs w:val="24"/>
              </w:rPr>
            </w:r>
            <w:r>
              <w:rPr>
                <w:sz w:val="24"/>
                <w:szCs w:val="24"/>
              </w:rPr>
            </w:r>
          </w:p>
        </w:tc>
      </w:tr>
      <w:tr>
        <w:tblPrEx/>
        <w:trPr/>
        <w:tc>
          <w:tcPr>
            <w:tcBorders>
              <w:top w:val="none" w:color="000000" w:sz="4" w:space="0"/>
              <w:left w:val="none" w:color="000000" w:sz="4" w:space="0"/>
              <w:bottom w:val="none" w:color="000000" w:sz="4" w:space="0"/>
              <w:right w:val="none" w:color="000000" w:sz="4" w:space="0"/>
            </w:tcBorders>
            <w:tcW w:w="1143" w:type="dxa"/>
            <w:textDirection w:val="lrTb"/>
            <w:noWrap w:val="false"/>
          </w:tcPr>
          <w:p>
            <w:pPr>
              <w:jc w:val="both"/>
              <w:rPr>
                <w:sz w:val="24"/>
                <w:szCs w:val="24"/>
              </w:rPr>
            </w:pPr>
            <w:r>
              <w:rPr>
                <w:sz w:val="24"/>
                <w:szCs w:val="24"/>
              </w:rPr>
              <w:t xml:space="preserve">2027/</w:t>
            </w:r>
            <w:r>
              <w:rPr>
                <w:sz w:val="24"/>
                <w:szCs w:val="24"/>
              </w:rPr>
            </w:r>
            <w:r>
              <w:rPr>
                <w:sz w:val="24"/>
                <w:szCs w:val="24"/>
              </w:rPr>
            </w:r>
          </w:p>
        </w:tc>
        <w:tc>
          <w:tcPr>
            <w:tcBorders>
              <w:top w:val="none" w:color="000000" w:sz="4" w:space="0"/>
              <w:left w:val="none" w:color="000000" w:sz="4" w:space="0"/>
              <w:bottom w:val="none" w:color="000000" w:sz="4" w:space="0"/>
              <w:right w:val="none" w:color="000000" w:sz="4" w:space="0"/>
            </w:tcBorders>
            <w:tcW w:w="1125" w:type="dxa"/>
            <w:textDirection w:val="lrTb"/>
            <w:noWrap w:val="false"/>
          </w:tcPr>
          <w:p>
            <w:pPr>
              <w:jc w:val="both"/>
              <w:rPr>
                <w:sz w:val="24"/>
                <w:szCs w:val="24"/>
              </w:rPr>
            </w:pPr>
            <w:r>
              <w:rPr>
                <w:sz w:val="24"/>
                <w:szCs w:val="24"/>
              </w:rPr>
              <w:t xml:space="preserve">2026</w:t>
            </w:r>
            <w:r>
              <w:rPr>
                <w:sz w:val="24"/>
                <w:szCs w:val="24"/>
              </w:rPr>
            </w:r>
            <w:r>
              <w:rPr>
                <w:sz w:val="24"/>
                <w:szCs w:val="24"/>
              </w:rPr>
            </w:r>
          </w:p>
        </w:tc>
        <w:tc>
          <w:tcPr>
            <w:shd w:val="clear" w:color="auto" w:fill="auto"/>
            <w:tcBorders>
              <w:top w:val="none" w:color="000000" w:sz="4" w:space="0"/>
              <w:left w:val="none" w:color="000000" w:sz="4" w:space="0"/>
              <w:bottom w:val="none" w:color="000000" w:sz="4" w:space="0"/>
              <w:right w:val="none" w:color="000000" w:sz="4" w:space="0"/>
            </w:tcBorders>
            <w:tcW w:w="2268" w:type="dxa"/>
            <w:textDirection w:val="lrTb"/>
            <w:noWrap w:val="false"/>
          </w:tcPr>
          <w:p>
            <w:pPr>
              <w:jc w:val="both"/>
              <w:rPr>
                <w:sz w:val="24"/>
                <w:szCs w:val="24"/>
              </w:rPr>
            </w:pPr>
            <w:r>
              <w:rPr>
                <w:sz w:val="24"/>
                <w:szCs w:val="24"/>
              </w:rPr>
              <w:t xml:space="preserve">103,46%</w:t>
            </w:r>
            <w:r>
              <w:rPr>
                <w:sz w:val="24"/>
                <w:szCs w:val="24"/>
              </w:rPr>
            </w:r>
            <w:r>
              <w:rPr>
                <w:sz w:val="24"/>
                <w:szCs w:val="24"/>
              </w:rPr>
            </w:r>
          </w:p>
        </w:tc>
      </w:tr>
      <w:tr>
        <w:tblPrEx/>
        <w:trPr/>
        <w:tc>
          <w:tcPr>
            <w:tcBorders>
              <w:top w:val="none" w:color="000000" w:sz="4" w:space="0"/>
              <w:left w:val="none" w:color="000000" w:sz="4" w:space="0"/>
              <w:bottom w:val="none" w:color="000000" w:sz="4" w:space="0"/>
              <w:right w:val="none" w:color="000000" w:sz="4" w:space="0"/>
            </w:tcBorders>
            <w:tcW w:w="1143" w:type="dxa"/>
            <w:textDirection w:val="lrTb"/>
            <w:noWrap w:val="false"/>
          </w:tcPr>
          <w:p>
            <w:pPr>
              <w:jc w:val="both"/>
              <w:rPr>
                <w:sz w:val="24"/>
                <w:szCs w:val="24"/>
              </w:rPr>
            </w:pPr>
            <w:r>
              <w:rPr>
                <w:sz w:val="24"/>
                <w:szCs w:val="24"/>
              </w:rPr>
              <w:t xml:space="preserve">2028/</w:t>
            </w:r>
            <w:r>
              <w:rPr>
                <w:sz w:val="24"/>
                <w:szCs w:val="24"/>
              </w:rPr>
            </w:r>
            <w:r>
              <w:rPr>
                <w:sz w:val="24"/>
                <w:szCs w:val="24"/>
              </w:rPr>
            </w:r>
          </w:p>
        </w:tc>
        <w:tc>
          <w:tcPr>
            <w:tcBorders>
              <w:top w:val="none" w:color="000000" w:sz="4" w:space="0"/>
              <w:left w:val="none" w:color="000000" w:sz="4" w:space="0"/>
              <w:bottom w:val="none" w:color="000000" w:sz="4" w:space="0"/>
              <w:right w:val="none" w:color="000000" w:sz="4" w:space="0"/>
            </w:tcBorders>
            <w:tcW w:w="1125" w:type="dxa"/>
            <w:textDirection w:val="lrTb"/>
            <w:noWrap w:val="false"/>
          </w:tcPr>
          <w:p>
            <w:pPr>
              <w:jc w:val="both"/>
              <w:rPr>
                <w:sz w:val="24"/>
                <w:szCs w:val="24"/>
              </w:rPr>
            </w:pPr>
            <w:r>
              <w:rPr>
                <w:sz w:val="24"/>
                <w:szCs w:val="24"/>
              </w:rPr>
              <w:t xml:space="preserve">2027</w:t>
            </w:r>
            <w:r>
              <w:rPr>
                <w:sz w:val="24"/>
                <w:szCs w:val="24"/>
              </w:rPr>
            </w:r>
            <w:r>
              <w:rPr>
                <w:sz w:val="24"/>
                <w:szCs w:val="24"/>
              </w:rPr>
            </w:r>
          </w:p>
        </w:tc>
        <w:tc>
          <w:tcPr>
            <w:shd w:val="clear" w:color="auto" w:fill="auto"/>
            <w:tcBorders>
              <w:top w:val="none" w:color="000000" w:sz="4" w:space="0"/>
              <w:left w:val="none" w:color="000000" w:sz="4" w:space="0"/>
              <w:bottom w:val="none" w:color="000000" w:sz="4" w:space="0"/>
              <w:right w:val="none" w:color="000000" w:sz="4" w:space="0"/>
            </w:tcBorders>
            <w:tcW w:w="2268" w:type="dxa"/>
            <w:textDirection w:val="lrTb"/>
            <w:noWrap w:val="false"/>
          </w:tcPr>
          <w:p>
            <w:pPr>
              <w:jc w:val="both"/>
              <w:rPr>
                <w:sz w:val="24"/>
                <w:szCs w:val="24"/>
              </w:rPr>
            </w:pPr>
            <w:r>
              <w:rPr>
                <w:sz w:val="24"/>
                <w:szCs w:val="24"/>
              </w:rPr>
              <w:t xml:space="preserve">103,53%</w:t>
            </w:r>
            <w:r>
              <w:rPr>
                <w:sz w:val="24"/>
                <w:szCs w:val="24"/>
              </w:rPr>
            </w:r>
            <w:r>
              <w:rPr>
                <w:sz w:val="24"/>
                <w:szCs w:val="24"/>
              </w:rPr>
            </w:r>
          </w:p>
        </w:tc>
      </w:tr>
      <w:tr>
        <w:tblPrEx/>
        <w:trPr/>
        <w:tc>
          <w:tcPr>
            <w:tcBorders>
              <w:top w:val="none" w:color="000000" w:sz="4" w:space="0"/>
              <w:left w:val="none" w:color="000000" w:sz="4" w:space="0"/>
              <w:bottom w:val="none" w:color="000000" w:sz="4" w:space="0"/>
              <w:right w:val="none" w:color="000000" w:sz="4" w:space="0"/>
            </w:tcBorders>
            <w:tcW w:w="1143" w:type="dxa"/>
            <w:textDirection w:val="lrTb"/>
            <w:noWrap w:val="false"/>
          </w:tcPr>
          <w:p>
            <w:pPr>
              <w:jc w:val="both"/>
              <w:rPr>
                <w:sz w:val="24"/>
                <w:szCs w:val="24"/>
              </w:rPr>
            </w:pPr>
            <w:r>
              <w:rPr>
                <w:sz w:val="24"/>
                <w:szCs w:val="24"/>
              </w:rPr>
              <w:t xml:space="preserve">2029/</w:t>
            </w:r>
            <w:r>
              <w:rPr>
                <w:sz w:val="24"/>
                <w:szCs w:val="24"/>
              </w:rPr>
            </w:r>
            <w:r>
              <w:rPr>
                <w:sz w:val="24"/>
                <w:szCs w:val="24"/>
              </w:rPr>
            </w:r>
          </w:p>
        </w:tc>
        <w:tc>
          <w:tcPr>
            <w:tcBorders>
              <w:top w:val="none" w:color="000000" w:sz="4" w:space="0"/>
              <w:left w:val="none" w:color="000000" w:sz="4" w:space="0"/>
              <w:bottom w:val="none" w:color="000000" w:sz="4" w:space="0"/>
              <w:right w:val="none" w:color="000000" w:sz="4" w:space="0"/>
            </w:tcBorders>
            <w:tcW w:w="1125" w:type="dxa"/>
            <w:textDirection w:val="lrTb"/>
            <w:noWrap w:val="false"/>
          </w:tcPr>
          <w:p>
            <w:pPr>
              <w:jc w:val="both"/>
              <w:rPr>
                <w:sz w:val="24"/>
                <w:szCs w:val="24"/>
              </w:rPr>
            </w:pPr>
            <w:r>
              <w:rPr>
                <w:sz w:val="24"/>
                <w:szCs w:val="24"/>
              </w:rPr>
              <w:t xml:space="preserve">2028</w:t>
            </w:r>
            <w:r>
              <w:rPr>
                <w:sz w:val="24"/>
                <w:szCs w:val="24"/>
              </w:rPr>
            </w:r>
            <w:r>
              <w:rPr>
                <w:sz w:val="24"/>
                <w:szCs w:val="24"/>
              </w:rPr>
            </w:r>
          </w:p>
        </w:tc>
        <w:tc>
          <w:tcPr>
            <w:shd w:val="clear" w:color="auto" w:fill="auto"/>
            <w:tcBorders>
              <w:top w:val="none" w:color="000000" w:sz="4" w:space="0"/>
              <w:left w:val="none" w:color="000000" w:sz="4" w:space="0"/>
              <w:bottom w:val="none" w:color="000000" w:sz="4" w:space="0"/>
              <w:right w:val="none" w:color="000000" w:sz="4" w:space="0"/>
            </w:tcBorders>
            <w:tcW w:w="2268" w:type="dxa"/>
            <w:textDirection w:val="lrTb"/>
            <w:noWrap w:val="false"/>
          </w:tcPr>
          <w:p>
            <w:pPr>
              <w:jc w:val="both"/>
              <w:rPr>
                <w:sz w:val="24"/>
                <w:szCs w:val="24"/>
              </w:rPr>
            </w:pPr>
            <w:r>
              <w:rPr>
                <w:sz w:val="24"/>
                <w:szCs w:val="24"/>
              </w:rPr>
              <w:t xml:space="preserve">103,22%</w:t>
            </w:r>
            <w:r>
              <w:rPr>
                <w:sz w:val="24"/>
                <w:szCs w:val="24"/>
              </w:rPr>
            </w:r>
            <w:r>
              <w:rPr>
                <w:sz w:val="24"/>
                <w:szCs w:val="24"/>
              </w:rPr>
            </w:r>
          </w:p>
        </w:tc>
      </w:tr>
      <w:tr>
        <w:tblPrEx/>
        <w:trPr/>
        <w:tc>
          <w:tcPr>
            <w:tcBorders>
              <w:top w:val="none" w:color="000000" w:sz="4" w:space="0"/>
              <w:left w:val="none" w:color="000000" w:sz="4" w:space="0"/>
              <w:bottom w:val="none" w:color="000000" w:sz="4" w:space="0"/>
              <w:right w:val="none" w:color="000000" w:sz="4" w:space="0"/>
            </w:tcBorders>
            <w:tcW w:w="1143" w:type="dxa"/>
            <w:textDirection w:val="lrTb"/>
            <w:noWrap w:val="false"/>
          </w:tcPr>
          <w:p>
            <w:pPr>
              <w:jc w:val="both"/>
              <w:rPr>
                <w:sz w:val="24"/>
                <w:szCs w:val="24"/>
              </w:rPr>
            </w:pPr>
            <w:r>
              <w:rPr>
                <w:sz w:val="24"/>
                <w:szCs w:val="24"/>
              </w:rPr>
              <w:t xml:space="preserve">2030/</w:t>
            </w:r>
            <w:r>
              <w:rPr>
                <w:sz w:val="24"/>
                <w:szCs w:val="24"/>
              </w:rPr>
            </w:r>
            <w:r>
              <w:rPr>
                <w:sz w:val="24"/>
                <w:szCs w:val="24"/>
              </w:rPr>
            </w:r>
          </w:p>
        </w:tc>
        <w:tc>
          <w:tcPr>
            <w:tcBorders>
              <w:top w:val="none" w:color="000000" w:sz="4" w:space="0"/>
              <w:left w:val="none" w:color="000000" w:sz="4" w:space="0"/>
              <w:bottom w:val="none" w:color="000000" w:sz="4" w:space="0"/>
              <w:right w:val="none" w:color="000000" w:sz="4" w:space="0"/>
            </w:tcBorders>
            <w:tcW w:w="1125" w:type="dxa"/>
            <w:textDirection w:val="lrTb"/>
            <w:noWrap w:val="false"/>
          </w:tcPr>
          <w:p>
            <w:pPr>
              <w:jc w:val="both"/>
              <w:rPr>
                <w:sz w:val="24"/>
                <w:szCs w:val="24"/>
              </w:rPr>
            </w:pPr>
            <w:r>
              <w:rPr>
                <w:sz w:val="24"/>
                <w:szCs w:val="24"/>
              </w:rPr>
              <w:t xml:space="preserve">2029</w:t>
            </w:r>
            <w:r>
              <w:rPr>
                <w:sz w:val="24"/>
                <w:szCs w:val="24"/>
              </w:rPr>
            </w:r>
            <w:r>
              <w:rPr>
                <w:sz w:val="24"/>
                <w:szCs w:val="24"/>
              </w:rPr>
            </w:r>
          </w:p>
        </w:tc>
        <w:tc>
          <w:tcPr>
            <w:shd w:val="clear" w:color="auto" w:fill="auto"/>
            <w:tcBorders>
              <w:top w:val="none" w:color="000000" w:sz="4" w:space="0"/>
              <w:left w:val="none" w:color="000000" w:sz="4" w:space="0"/>
              <w:bottom w:val="none" w:color="000000" w:sz="4" w:space="0"/>
              <w:right w:val="none" w:color="000000" w:sz="4" w:space="0"/>
            </w:tcBorders>
            <w:tcW w:w="2268" w:type="dxa"/>
            <w:textDirection w:val="lrTb"/>
            <w:noWrap w:val="false"/>
          </w:tcPr>
          <w:p>
            <w:pPr>
              <w:jc w:val="both"/>
              <w:rPr>
                <w:sz w:val="24"/>
                <w:szCs w:val="24"/>
              </w:rPr>
            </w:pPr>
            <w:r>
              <w:rPr>
                <w:sz w:val="24"/>
                <w:szCs w:val="24"/>
              </w:rPr>
              <w:t xml:space="preserve">103,49%</w:t>
            </w:r>
            <w:r>
              <w:rPr>
                <w:sz w:val="24"/>
                <w:szCs w:val="24"/>
              </w:rPr>
            </w:r>
            <w:r>
              <w:rPr>
                <w:sz w:val="24"/>
                <w:szCs w:val="24"/>
              </w:rPr>
            </w:r>
          </w:p>
        </w:tc>
      </w:tr>
      <w:tr>
        <w:tblPrEx/>
        <w:trPr/>
        <w:tc>
          <w:tcPr>
            <w:tcBorders>
              <w:top w:val="none" w:color="000000" w:sz="4" w:space="0"/>
              <w:left w:val="none" w:color="000000" w:sz="4" w:space="0"/>
              <w:bottom w:val="none" w:color="000000" w:sz="4" w:space="0"/>
              <w:right w:val="none" w:color="000000" w:sz="4" w:space="0"/>
            </w:tcBorders>
            <w:tcW w:w="1143" w:type="dxa"/>
            <w:textDirection w:val="lrTb"/>
            <w:noWrap w:val="false"/>
          </w:tcPr>
          <w:p>
            <w:pPr>
              <w:jc w:val="both"/>
              <w:rPr>
                <w:sz w:val="24"/>
                <w:szCs w:val="24"/>
              </w:rPr>
            </w:pPr>
            <w:r>
              <w:rPr>
                <w:sz w:val="24"/>
                <w:szCs w:val="24"/>
              </w:rPr>
              <w:t xml:space="preserve">2031/</w:t>
            </w:r>
            <w:r>
              <w:rPr>
                <w:sz w:val="24"/>
                <w:szCs w:val="24"/>
              </w:rPr>
            </w:r>
            <w:r>
              <w:rPr>
                <w:sz w:val="24"/>
                <w:szCs w:val="24"/>
              </w:rPr>
            </w:r>
          </w:p>
        </w:tc>
        <w:tc>
          <w:tcPr>
            <w:tcBorders>
              <w:top w:val="none" w:color="000000" w:sz="4" w:space="0"/>
              <w:left w:val="none" w:color="000000" w:sz="4" w:space="0"/>
              <w:bottom w:val="none" w:color="000000" w:sz="4" w:space="0"/>
              <w:right w:val="none" w:color="000000" w:sz="4" w:space="0"/>
            </w:tcBorders>
            <w:tcW w:w="1125" w:type="dxa"/>
            <w:textDirection w:val="lrTb"/>
            <w:noWrap w:val="false"/>
          </w:tcPr>
          <w:p>
            <w:pPr>
              <w:jc w:val="both"/>
              <w:rPr>
                <w:sz w:val="24"/>
                <w:szCs w:val="24"/>
              </w:rPr>
            </w:pPr>
            <w:r>
              <w:rPr>
                <w:sz w:val="24"/>
                <w:szCs w:val="24"/>
              </w:rPr>
              <w:t xml:space="preserve">2030</w:t>
            </w:r>
            <w:r>
              <w:rPr>
                <w:sz w:val="24"/>
                <w:szCs w:val="24"/>
              </w:rPr>
            </w:r>
            <w:r>
              <w:rPr>
                <w:sz w:val="24"/>
                <w:szCs w:val="24"/>
              </w:rPr>
            </w:r>
          </w:p>
        </w:tc>
        <w:tc>
          <w:tcPr>
            <w:shd w:val="clear" w:color="auto" w:fill="auto"/>
            <w:tcBorders>
              <w:top w:val="none" w:color="000000" w:sz="4" w:space="0"/>
              <w:left w:val="none" w:color="000000" w:sz="4" w:space="0"/>
              <w:bottom w:val="none" w:color="000000" w:sz="4" w:space="0"/>
              <w:right w:val="none" w:color="000000" w:sz="4" w:space="0"/>
            </w:tcBorders>
            <w:tcW w:w="2268" w:type="dxa"/>
            <w:textDirection w:val="lrTb"/>
            <w:noWrap w:val="false"/>
          </w:tcPr>
          <w:p>
            <w:pPr>
              <w:jc w:val="both"/>
              <w:rPr>
                <w:sz w:val="24"/>
                <w:szCs w:val="24"/>
              </w:rPr>
            </w:pPr>
            <w:r>
              <w:rPr>
                <w:sz w:val="24"/>
                <w:szCs w:val="24"/>
              </w:rPr>
              <w:t xml:space="preserve">103,50%</w:t>
            </w:r>
            <w:r>
              <w:rPr>
                <w:sz w:val="24"/>
                <w:szCs w:val="24"/>
              </w:rPr>
            </w:r>
            <w:r>
              <w:rPr>
                <w:sz w:val="24"/>
                <w:szCs w:val="24"/>
              </w:rPr>
            </w:r>
          </w:p>
        </w:tc>
      </w:tr>
      <w:tr>
        <w:tblPrEx/>
        <w:trPr/>
        <w:tc>
          <w:tcPr>
            <w:tcBorders>
              <w:top w:val="none" w:color="000000" w:sz="4" w:space="0"/>
              <w:left w:val="none" w:color="000000" w:sz="4" w:space="0"/>
              <w:bottom w:val="none" w:color="000000" w:sz="4" w:space="0"/>
              <w:right w:val="none" w:color="000000" w:sz="4" w:space="0"/>
            </w:tcBorders>
            <w:tcW w:w="1143" w:type="dxa"/>
            <w:textDirection w:val="lrTb"/>
            <w:noWrap w:val="false"/>
          </w:tcPr>
          <w:p>
            <w:pPr>
              <w:jc w:val="both"/>
              <w:rPr>
                <w:sz w:val="24"/>
                <w:szCs w:val="24"/>
              </w:rPr>
            </w:pPr>
            <w:r>
              <w:rPr>
                <w:sz w:val="24"/>
                <w:szCs w:val="24"/>
              </w:rPr>
              <w:t xml:space="preserve">2032/</w:t>
            </w:r>
            <w:r>
              <w:rPr>
                <w:sz w:val="24"/>
                <w:szCs w:val="24"/>
              </w:rPr>
            </w:r>
            <w:r>
              <w:rPr>
                <w:sz w:val="24"/>
                <w:szCs w:val="24"/>
              </w:rPr>
            </w:r>
          </w:p>
        </w:tc>
        <w:tc>
          <w:tcPr>
            <w:tcBorders>
              <w:top w:val="none" w:color="000000" w:sz="4" w:space="0"/>
              <w:left w:val="none" w:color="000000" w:sz="4" w:space="0"/>
              <w:bottom w:val="none" w:color="000000" w:sz="4" w:space="0"/>
              <w:right w:val="none" w:color="000000" w:sz="4" w:space="0"/>
            </w:tcBorders>
            <w:tcW w:w="1125" w:type="dxa"/>
            <w:textDirection w:val="lrTb"/>
            <w:noWrap w:val="false"/>
          </w:tcPr>
          <w:p>
            <w:pPr>
              <w:jc w:val="both"/>
              <w:rPr>
                <w:sz w:val="24"/>
                <w:szCs w:val="24"/>
              </w:rPr>
            </w:pPr>
            <w:r>
              <w:rPr>
                <w:sz w:val="24"/>
                <w:szCs w:val="24"/>
              </w:rPr>
              <w:t xml:space="preserve">2031</w:t>
            </w:r>
            <w:r>
              <w:rPr>
                <w:sz w:val="24"/>
                <w:szCs w:val="24"/>
              </w:rPr>
            </w:r>
            <w:r>
              <w:rPr>
                <w:sz w:val="24"/>
                <w:szCs w:val="24"/>
              </w:rPr>
            </w:r>
          </w:p>
        </w:tc>
        <w:tc>
          <w:tcPr>
            <w:shd w:val="clear" w:color="auto" w:fill="auto"/>
            <w:tcBorders>
              <w:top w:val="none" w:color="000000" w:sz="4" w:space="0"/>
              <w:left w:val="none" w:color="000000" w:sz="4" w:space="0"/>
              <w:bottom w:val="none" w:color="000000" w:sz="4" w:space="0"/>
              <w:right w:val="none" w:color="000000" w:sz="4" w:space="0"/>
            </w:tcBorders>
            <w:tcW w:w="2268" w:type="dxa"/>
            <w:textDirection w:val="lrTb"/>
            <w:noWrap w:val="false"/>
          </w:tcPr>
          <w:p>
            <w:pPr>
              <w:jc w:val="both"/>
              <w:rPr>
                <w:sz w:val="24"/>
                <w:szCs w:val="24"/>
              </w:rPr>
            </w:pPr>
            <w:r>
              <w:rPr>
                <w:sz w:val="24"/>
                <w:szCs w:val="24"/>
              </w:rPr>
              <w:t xml:space="preserve">103,51%</w:t>
            </w:r>
            <w:r>
              <w:rPr>
                <w:sz w:val="24"/>
                <w:szCs w:val="24"/>
              </w:rPr>
            </w:r>
            <w:r>
              <w:rPr>
                <w:sz w:val="24"/>
                <w:szCs w:val="24"/>
              </w:rPr>
            </w:r>
          </w:p>
        </w:tc>
      </w:tr>
      <w:tr>
        <w:tblPrEx/>
        <w:trPr/>
        <w:tc>
          <w:tcPr>
            <w:tcBorders>
              <w:top w:val="none" w:color="000000" w:sz="4" w:space="0"/>
              <w:left w:val="none" w:color="000000" w:sz="4" w:space="0"/>
              <w:bottom w:val="none" w:color="000000" w:sz="4" w:space="0"/>
              <w:right w:val="none" w:color="000000" w:sz="4" w:space="0"/>
            </w:tcBorders>
            <w:tcW w:w="1143" w:type="dxa"/>
            <w:textDirection w:val="lrTb"/>
            <w:noWrap w:val="false"/>
          </w:tcPr>
          <w:p>
            <w:pPr>
              <w:jc w:val="both"/>
              <w:rPr>
                <w:sz w:val="24"/>
                <w:szCs w:val="24"/>
              </w:rPr>
            </w:pPr>
            <w:r>
              <w:rPr>
                <w:sz w:val="24"/>
                <w:szCs w:val="24"/>
              </w:rPr>
              <w:t xml:space="preserve">2033/</w:t>
            </w:r>
            <w:r>
              <w:rPr>
                <w:sz w:val="24"/>
                <w:szCs w:val="24"/>
              </w:rPr>
            </w:r>
            <w:r>
              <w:rPr>
                <w:sz w:val="24"/>
                <w:szCs w:val="24"/>
              </w:rPr>
            </w:r>
          </w:p>
        </w:tc>
        <w:tc>
          <w:tcPr>
            <w:tcBorders>
              <w:top w:val="none" w:color="000000" w:sz="4" w:space="0"/>
              <w:left w:val="none" w:color="000000" w:sz="4" w:space="0"/>
              <w:bottom w:val="none" w:color="000000" w:sz="4" w:space="0"/>
              <w:right w:val="none" w:color="000000" w:sz="4" w:space="0"/>
            </w:tcBorders>
            <w:tcW w:w="1125" w:type="dxa"/>
            <w:textDirection w:val="lrTb"/>
            <w:noWrap w:val="false"/>
          </w:tcPr>
          <w:p>
            <w:pPr>
              <w:jc w:val="both"/>
              <w:rPr>
                <w:sz w:val="24"/>
                <w:szCs w:val="24"/>
              </w:rPr>
            </w:pPr>
            <w:r>
              <w:rPr>
                <w:sz w:val="24"/>
                <w:szCs w:val="24"/>
              </w:rPr>
              <w:t xml:space="preserve">2032</w:t>
            </w:r>
            <w:r>
              <w:rPr>
                <w:sz w:val="24"/>
                <w:szCs w:val="24"/>
              </w:rPr>
            </w:r>
            <w:r>
              <w:rPr>
                <w:sz w:val="24"/>
                <w:szCs w:val="24"/>
              </w:rPr>
            </w:r>
          </w:p>
        </w:tc>
        <w:tc>
          <w:tcPr>
            <w:shd w:val="clear" w:color="auto" w:fill="auto"/>
            <w:tcBorders>
              <w:top w:val="none" w:color="000000" w:sz="4" w:space="0"/>
              <w:left w:val="none" w:color="000000" w:sz="4" w:space="0"/>
              <w:bottom w:val="none" w:color="000000" w:sz="4" w:space="0"/>
              <w:right w:val="none" w:color="000000" w:sz="4" w:space="0"/>
            </w:tcBorders>
            <w:tcW w:w="2268" w:type="dxa"/>
            <w:textDirection w:val="lrTb"/>
            <w:noWrap w:val="false"/>
          </w:tcPr>
          <w:p>
            <w:pPr>
              <w:jc w:val="both"/>
              <w:rPr>
                <w:sz w:val="24"/>
                <w:szCs w:val="24"/>
              </w:rPr>
            </w:pPr>
            <w:r>
              <w:rPr>
                <w:sz w:val="24"/>
                <w:szCs w:val="24"/>
              </w:rPr>
              <w:t xml:space="preserve">103,52%</w:t>
            </w:r>
            <w:r>
              <w:rPr>
                <w:sz w:val="24"/>
                <w:szCs w:val="24"/>
              </w:rPr>
            </w:r>
            <w:r>
              <w:rPr>
                <w:sz w:val="24"/>
                <w:szCs w:val="24"/>
              </w:rPr>
            </w:r>
          </w:p>
        </w:tc>
      </w:tr>
    </w:tbl>
    <w:p>
      <w:pPr>
        <w:ind w:firstLine="680"/>
        <w:jc w:val="both"/>
        <w:rPr>
          <w:b/>
          <w:sz w:val="24"/>
          <w:szCs w:val="24"/>
        </w:rPr>
      </w:pPr>
      <w:r>
        <w:rPr>
          <w:b/>
          <w:sz w:val="24"/>
          <w:szCs w:val="24"/>
        </w:rPr>
      </w:r>
      <w:r>
        <w:rPr>
          <w:b/>
          <w:sz w:val="24"/>
          <w:szCs w:val="24"/>
        </w:rPr>
      </w:r>
      <w:r>
        <w:rPr>
          <w:b/>
          <w:sz w:val="24"/>
          <w:szCs w:val="24"/>
        </w:rPr>
      </w:r>
    </w:p>
    <w:p>
      <w:pPr>
        <w:ind w:firstLine="680"/>
        <w:jc w:val="both"/>
        <w:rPr>
          <w:sz w:val="24"/>
          <w:szCs w:val="24"/>
        </w:rPr>
      </w:pPr>
      <w:r>
        <w:rPr>
          <w:sz w:val="24"/>
          <w:szCs w:val="24"/>
        </w:rPr>
        <w:t xml:space="preserve">В качестве метода установления тарифов применяется метод индексации установленных тарифов в рамках настоящего Соглашения. </w:t>
      </w:r>
      <w:r>
        <w:rPr>
          <w:sz w:val="24"/>
          <w:szCs w:val="24"/>
        </w:rPr>
      </w:r>
      <w:r>
        <w:rPr>
          <w:sz w:val="24"/>
          <w:szCs w:val="24"/>
        </w:rPr>
      </w:r>
    </w:p>
    <w:p>
      <w:pPr>
        <w:ind w:firstLine="680"/>
        <w:jc w:val="both"/>
        <w:rPr>
          <w:sz w:val="24"/>
          <w:szCs w:val="24"/>
        </w:rPr>
      </w:pPr>
      <w:r>
        <w:rPr>
          <w:sz w:val="24"/>
          <w:szCs w:val="24"/>
        </w:rPr>
        <w:t xml:space="preserve">Корректировка размера необходимой валовой выручки концессионера осуществляется на основании действующего законодательства о ценообразовании в сфере теплоснабжения с учетом долгосрочных параметров регулирования, указанных в настоящем Приложении.</w:t>
      </w:r>
      <w:r>
        <w:rPr>
          <w:sz w:val="24"/>
          <w:szCs w:val="24"/>
        </w:rPr>
      </w:r>
      <w:r>
        <w:rPr>
          <w:sz w:val="24"/>
          <w:szCs w:val="24"/>
        </w:rPr>
      </w:r>
    </w:p>
    <w:p>
      <w:pPr>
        <w:ind w:firstLine="680"/>
        <w:jc w:val="both"/>
        <w:rPr>
          <w:sz w:val="24"/>
          <w:szCs w:val="24"/>
        </w:rPr>
      </w:pPr>
      <w:r>
        <w:rPr>
          <w:sz w:val="24"/>
          <w:szCs w:val="24"/>
        </w:rPr>
      </w:r>
      <w:r>
        <w:rPr>
          <w:sz w:val="24"/>
          <w:szCs w:val="24"/>
        </w:rPr>
      </w:r>
      <w:r>
        <w:rPr>
          <w:sz w:val="24"/>
          <w:szCs w:val="24"/>
        </w:rPr>
      </w:r>
    </w:p>
    <w:p>
      <w:pPr>
        <w:ind w:firstLine="680"/>
        <w:jc w:val="both"/>
        <w:rPr>
          <w:sz w:val="24"/>
          <w:szCs w:val="24"/>
        </w:rPr>
      </w:pPr>
      <w:r>
        <w:rPr>
          <w:sz w:val="24"/>
          <w:szCs w:val="24"/>
        </w:rPr>
      </w:r>
      <w:r>
        <w:rPr>
          <w:sz w:val="24"/>
          <w:szCs w:val="24"/>
        </w:rPr>
      </w:r>
      <w:r>
        <w:rPr>
          <w:sz w:val="24"/>
          <w:szCs w:val="24"/>
        </w:rPr>
      </w:r>
    </w:p>
    <w:p>
      <w:pPr>
        <w:ind w:firstLine="680"/>
        <w:jc w:val="both"/>
        <w:rPr>
          <w:sz w:val="24"/>
          <w:szCs w:val="24"/>
        </w:rPr>
      </w:pPr>
      <w:r>
        <w:rPr>
          <w:sz w:val="24"/>
          <w:szCs w:val="24"/>
        </w:rPr>
      </w:r>
      <w:r>
        <w:rPr>
          <w:sz w:val="24"/>
          <w:szCs w:val="24"/>
        </w:rPr>
      </w:r>
      <w:r>
        <w:rPr>
          <w:sz w:val="24"/>
          <w:szCs w:val="24"/>
        </w:rPr>
      </w:r>
    </w:p>
    <w:p>
      <w:pPr>
        <w:ind w:firstLine="680"/>
        <w:jc w:val="both"/>
        <w:rPr>
          <w:sz w:val="24"/>
          <w:szCs w:val="24"/>
        </w:rPr>
      </w:pPr>
      <w:r>
        <w:rPr>
          <w:sz w:val="24"/>
          <w:szCs w:val="24"/>
        </w:rPr>
      </w:r>
      <w:r>
        <w:rPr>
          <w:sz w:val="24"/>
          <w:szCs w:val="24"/>
        </w:rPr>
      </w:r>
      <w:r>
        <w:rPr>
          <w:sz w:val="24"/>
          <w:szCs w:val="24"/>
        </w:rPr>
      </w:r>
    </w:p>
    <w:tbl>
      <w:tblPr>
        <w:tblStyle w:val="937"/>
        <w:tblW w:w="5000" w:type="pc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190"/>
        <w:gridCol w:w="3190"/>
        <w:gridCol w:w="3190"/>
      </w:tblGrid>
      <w:tr>
        <w:tblPrEx/>
        <w:trPr/>
        <w:tc>
          <w:tcPr>
            <w:tcW w:w="1667" w:type="pct"/>
            <w:textDirection w:val="lrTb"/>
            <w:noWrap w:val="false"/>
          </w:tcPr>
          <w:p>
            <w:pPr>
              <w:jc w:val="both"/>
              <w:rPr>
                <w:b/>
                <w:sz w:val="24"/>
                <w:szCs w:val="24"/>
              </w:rPr>
            </w:pPr>
            <w:r>
              <w:rPr>
                <w:b/>
                <w:sz w:val="24"/>
                <w:szCs w:val="24"/>
              </w:rPr>
              <w:t xml:space="preserve">Концедент</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Концессионер</w:t>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t xml:space="preserve">Субъект</w:t>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t xml:space="preserve">Муниципальное образование Печенгский муниципальный округ Мурманской области</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Общество с ограниченной ответственностью «ПромВоенСтрой»</w:t>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t xml:space="preserve">Мурманская область</w:t>
            </w:r>
            <w:r>
              <w:rPr>
                <w:b/>
                <w:sz w:val="24"/>
                <w:szCs w:val="24"/>
              </w:rPr>
            </w:r>
            <w:r>
              <w:rPr>
                <w:b/>
                <w:sz w:val="24"/>
                <w:szCs w:val="24"/>
              </w:rPr>
            </w:r>
          </w:p>
          <w:p>
            <w:pPr>
              <w:jc w:val="both"/>
              <w:rPr>
                <w:b/>
                <w:sz w:val="24"/>
                <w:szCs w:val="24"/>
              </w:rPr>
            </w:pPr>
            <w:r>
              <w:rPr>
                <w:b/>
                <w:sz w:val="24"/>
                <w:szCs w:val="24"/>
              </w:rPr>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t xml:space="preserve">Глава округа</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Генеральный директор</w:t>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t xml:space="preserve">Губернатор</w:t>
            </w:r>
            <w:r>
              <w:rPr>
                <w:b/>
                <w:sz w:val="24"/>
                <w:szCs w:val="24"/>
              </w:rPr>
            </w:r>
            <w:r>
              <w:rPr>
                <w:b/>
                <w:sz w:val="24"/>
                <w:szCs w:val="24"/>
              </w:rPr>
            </w:r>
          </w:p>
        </w:tc>
      </w:tr>
      <w:tr>
        <w:tblPrEx/>
        <w:trPr>
          <w:trHeight w:val="567"/>
        </w:trPr>
        <w:tc>
          <w:tcPr>
            <w:tcW w:w="1667" w:type="pct"/>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c>
          <w:tcPr>
            <w:tcW w:w="1667" w:type="pct"/>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c>
          <w:tcPr>
            <w:tcW w:w="1666" w:type="pct"/>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r>
      <w:tr>
        <w:tblPrEx/>
        <w:trPr/>
        <w:tc>
          <w:tcPr>
            <w:tcW w:w="1667" w:type="pct"/>
            <w:textDirection w:val="lrTb"/>
            <w:noWrap w:val="false"/>
          </w:tcPr>
          <w:p>
            <w:pPr>
              <w:jc w:val="both"/>
              <w:rPr>
                <w:b/>
                <w:sz w:val="24"/>
                <w:szCs w:val="24"/>
              </w:rPr>
            </w:pPr>
            <w:r>
              <w:rPr>
                <w:sz w:val="24"/>
                <w:szCs w:val="24"/>
              </w:rPr>
              <w:t xml:space="preserve">МП      /Кузнецов А.В../</w:t>
            </w:r>
            <w:r>
              <w:rPr>
                <w:b/>
                <w:sz w:val="24"/>
                <w:szCs w:val="24"/>
              </w:rPr>
            </w:r>
            <w:r>
              <w:rPr>
                <w:b/>
                <w:sz w:val="24"/>
                <w:szCs w:val="24"/>
              </w:rPr>
            </w:r>
          </w:p>
        </w:tc>
        <w:tc>
          <w:tcPr>
            <w:tcW w:w="1667" w:type="pct"/>
            <w:textDirection w:val="lrTb"/>
            <w:noWrap w:val="false"/>
          </w:tcPr>
          <w:p>
            <w:pPr>
              <w:jc w:val="both"/>
              <w:rPr>
                <w:b/>
                <w:sz w:val="24"/>
                <w:szCs w:val="24"/>
              </w:rPr>
            </w:pPr>
            <w:r>
              <w:rPr>
                <w:sz w:val="24"/>
                <w:szCs w:val="24"/>
              </w:rPr>
              <w:t xml:space="preserve">МП       /Аршакян А.Р./</w:t>
            </w:r>
            <w:r>
              <w:rPr>
                <w:b/>
                <w:sz w:val="24"/>
                <w:szCs w:val="24"/>
              </w:rPr>
            </w:r>
            <w:r>
              <w:rPr>
                <w:b/>
                <w:sz w:val="24"/>
                <w:szCs w:val="24"/>
              </w:rPr>
            </w:r>
          </w:p>
        </w:tc>
        <w:tc>
          <w:tcPr>
            <w:tcW w:w="1666" w:type="pct"/>
            <w:textDirection w:val="lrTb"/>
            <w:noWrap w:val="false"/>
          </w:tcPr>
          <w:p>
            <w:pPr>
              <w:jc w:val="both"/>
              <w:rPr>
                <w:b/>
                <w:sz w:val="24"/>
                <w:szCs w:val="24"/>
              </w:rPr>
            </w:pPr>
            <w:r>
              <w:rPr>
                <w:sz w:val="24"/>
                <w:szCs w:val="24"/>
              </w:rPr>
              <w:t xml:space="preserve">МП         /Чибис А.В./</w:t>
            </w:r>
            <w:r>
              <w:rPr>
                <w:b/>
                <w:sz w:val="24"/>
                <w:szCs w:val="24"/>
              </w:rPr>
            </w:r>
            <w:r>
              <w:rPr>
                <w:b/>
                <w:sz w:val="24"/>
                <w:szCs w:val="24"/>
              </w:rPr>
            </w:r>
          </w:p>
        </w:tc>
      </w:tr>
      <w:tr>
        <w:tblPrEx/>
        <w:trPr/>
        <w:tc>
          <w:tcPr>
            <w:tcW w:w="1667" w:type="pct"/>
            <w:textDirection w:val="lrTb"/>
            <w:noWrap w:val="false"/>
          </w:tcPr>
          <w:p>
            <w:pPr>
              <w:jc w:val="both"/>
              <w:rPr>
                <w:b/>
                <w:sz w:val="24"/>
                <w:szCs w:val="24"/>
              </w:rPr>
            </w:pPr>
            <w:r>
              <w:rPr>
                <w:sz w:val="24"/>
                <w:szCs w:val="24"/>
              </w:rPr>
              <w:t xml:space="preserve">«___»____________ 20__ г.</w:t>
            </w:r>
            <w:r>
              <w:rPr>
                <w:b/>
                <w:sz w:val="24"/>
                <w:szCs w:val="24"/>
              </w:rPr>
            </w:r>
            <w:r>
              <w:rPr>
                <w:b/>
                <w:sz w:val="24"/>
                <w:szCs w:val="24"/>
              </w:rPr>
            </w:r>
          </w:p>
        </w:tc>
        <w:tc>
          <w:tcPr>
            <w:tcW w:w="1667" w:type="pct"/>
            <w:textDirection w:val="lrTb"/>
            <w:noWrap w:val="false"/>
          </w:tcPr>
          <w:p>
            <w:pPr>
              <w:jc w:val="both"/>
              <w:rPr>
                <w:sz w:val="24"/>
                <w:szCs w:val="24"/>
              </w:rPr>
            </w:pPr>
            <w:r>
              <w:rPr>
                <w:sz w:val="24"/>
                <w:szCs w:val="24"/>
              </w:rPr>
              <w:t xml:space="preserve">«___»____________ 20__ г.</w:t>
            </w:r>
            <w:r>
              <w:rPr>
                <w:sz w:val="24"/>
                <w:szCs w:val="24"/>
              </w:rPr>
            </w:r>
            <w:r>
              <w:rPr>
                <w:sz w:val="24"/>
                <w:szCs w:val="24"/>
              </w:rPr>
            </w:r>
          </w:p>
        </w:tc>
        <w:tc>
          <w:tcPr>
            <w:tcW w:w="1666" w:type="pct"/>
            <w:textDirection w:val="lrTb"/>
            <w:noWrap w:val="false"/>
          </w:tcPr>
          <w:p>
            <w:pPr>
              <w:jc w:val="both"/>
              <w:rPr>
                <w:b/>
                <w:sz w:val="24"/>
                <w:szCs w:val="24"/>
              </w:rPr>
            </w:pPr>
            <w:r>
              <w:rPr>
                <w:sz w:val="24"/>
                <w:szCs w:val="24"/>
              </w:rPr>
              <w:t xml:space="preserve">«___»____________ 20__ г.</w:t>
            </w:r>
            <w:r>
              <w:rPr>
                <w:b/>
                <w:sz w:val="24"/>
                <w:szCs w:val="24"/>
              </w:rPr>
            </w:r>
            <w:r>
              <w:rPr>
                <w:b/>
                <w:sz w:val="24"/>
                <w:szCs w:val="24"/>
              </w:rPr>
            </w:r>
          </w:p>
        </w:tc>
      </w:tr>
    </w:tbl>
    <w:p>
      <w:pPr>
        <w:ind w:firstLine="680"/>
        <w:jc w:val="both"/>
        <w:rPr>
          <w:sz w:val="24"/>
          <w:szCs w:val="24"/>
        </w:rPr>
      </w:pPr>
      <w:r>
        <w:rPr>
          <w:sz w:val="24"/>
          <w:szCs w:val="24"/>
        </w:rPr>
      </w:r>
      <w:r>
        <w:rPr>
          <w:sz w:val="24"/>
          <w:szCs w:val="24"/>
        </w:rPr>
      </w:r>
      <w:r>
        <w:rPr>
          <w:sz w:val="24"/>
          <w:szCs w:val="24"/>
        </w:rPr>
      </w:r>
    </w:p>
    <w:p>
      <w:pPr>
        <w:shd w:val="nil" w:color="auto"/>
        <w:rPr>
          <w:sz w:val="24"/>
          <w:szCs w:val="24"/>
        </w:rPr>
      </w:pPr>
      <w:r>
        <w:rPr>
          <w:sz w:val="24"/>
          <w:szCs w:val="24"/>
        </w:rPr>
        <w:br w:type="page" w:clear="all"/>
      </w:r>
      <w:r>
        <w:rPr>
          <w:sz w:val="24"/>
          <w:szCs w:val="24"/>
        </w:rPr>
      </w:r>
      <w:r>
        <w:rPr>
          <w:sz w:val="24"/>
          <w:szCs w:val="24"/>
        </w:rPr>
      </w:r>
    </w:p>
    <w:p>
      <w:pPr>
        <w:ind w:left="5528" w:right="0" w:firstLine="0"/>
        <w:jc w:val="both"/>
        <w:rPr>
          <w:sz w:val="24"/>
          <w:szCs w:val="24"/>
        </w:rPr>
      </w:pPr>
      <w:r>
        <w:rPr>
          <w:sz w:val="24"/>
          <w:szCs w:val="24"/>
        </w:rPr>
        <w:t xml:space="preserve">Приложение № 5</w:t>
      </w:r>
      <w:r>
        <w:rPr>
          <w:sz w:val="24"/>
          <w:szCs w:val="24"/>
        </w:rPr>
      </w:r>
      <w:r>
        <w:rPr>
          <w:sz w:val="24"/>
          <w:szCs w:val="24"/>
        </w:rPr>
      </w:r>
    </w:p>
    <w:p>
      <w:pPr>
        <w:ind w:left="5528" w:right="0" w:firstLine="0"/>
        <w:jc w:val="both"/>
        <w:rPr>
          <w:sz w:val="24"/>
          <w:szCs w:val="24"/>
        </w:rPr>
      </w:pPr>
      <w:r>
        <w:rPr>
          <w:sz w:val="24"/>
          <w:szCs w:val="24"/>
        </w:rPr>
        <w:t xml:space="preserve">к Концессионному соглашению</w:t>
      </w:r>
      <w:r>
        <w:rPr>
          <w:sz w:val="24"/>
          <w:szCs w:val="24"/>
        </w:rPr>
      </w:r>
      <w:r>
        <w:rPr>
          <w:sz w:val="24"/>
          <w:szCs w:val="24"/>
        </w:rPr>
      </w:r>
    </w:p>
    <w:p>
      <w:pPr>
        <w:ind w:left="5528" w:right="0" w:firstLine="0"/>
        <w:jc w:val="both"/>
        <w:rPr>
          <w:sz w:val="24"/>
          <w:szCs w:val="24"/>
        </w:rPr>
      </w:pPr>
      <w:r>
        <w:rPr>
          <w:sz w:val="24"/>
          <w:szCs w:val="24"/>
        </w:rPr>
        <w:t xml:space="preserve">от «__»______ 2024 года №______</w:t>
      </w:r>
      <w:r>
        <w:rPr>
          <w:sz w:val="24"/>
          <w:szCs w:val="24"/>
        </w:rPr>
      </w:r>
      <w:r>
        <w:rPr>
          <w:sz w:val="24"/>
          <w:szCs w:val="24"/>
        </w:rPr>
      </w:r>
    </w:p>
    <w:p>
      <w:pPr>
        <w:ind w:firstLine="680"/>
        <w:jc w:val="right"/>
        <w:rPr>
          <w:sz w:val="24"/>
          <w:szCs w:val="24"/>
        </w:rPr>
      </w:pPr>
      <w:r>
        <w:rPr>
          <w:sz w:val="24"/>
          <w:szCs w:val="24"/>
        </w:rPr>
      </w:r>
      <w:r>
        <w:rPr>
          <w:sz w:val="24"/>
          <w:szCs w:val="24"/>
        </w:rPr>
      </w:r>
      <w:r>
        <w:rPr>
          <w:sz w:val="24"/>
          <w:szCs w:val="24"/>
        </w:rPr>
      </w:r>
    </w:p>
    <w:p>
      <w:pPr>
        <w:ind w:firstLine="680"/>
        <w:jc w:val="both"/>
        <w:rPr>
          <w:b/>
          <w:sz w:val="24"/>
          <w:szCs w:val="24"/>
        </w:rPr>
      </w:pPr>
      <w:r>
        <w:rPr>
          <w:b/>
          <w:sz w:val="24"/>
          <w:szCs w:val="24"/>
        </w:rPr>
      </w:r>
      <w:r>
        <w:rPr>
          <w:b/>
          <w:sz w:val="24"/>
          <w:szCs w:val="24"/>
        </w:rPr>
      </w:r>
      <w:r>
        <w:rPr>
          <w:b/>
          <w:sz w:val="24"/>
          <w:szCs w:val="24"/>
        </w:rPr>
      </w:r>
    </w:p>
    <w:p>
      <w:pPr>
        <w:ind w:firstLine="680"/>
        <w:jc w:val="center"/>
        <w:rPr>
          <w:b/>
          <w:sz w:val="24"/>
          <w:szCs w:val="24"/>
        </w:rPr>
      </w:pPr>
      <w:r>
        <w:rPr>
          <w:b/>
          <w:sz w:val="24"/>
          <w:szCs w:val="24"/>
        </w:rPr>
        <w:t xml:space="preserve">Описание земельных участков, передаваемых Концессионеру</w:t>
      </w:r>
      <w:r>
        <w:rPr>
          <w:b/>
          <w:sz w:val="24"/>
          <w:szCs w:val="24"/>
        </w:rPr>
      </w:r>
      <w:r>
        <w:rPr>
          <w:b/>
          <w:sz w:val="24"/>
          <w:szCs w:val="24"/>
        </w:rPr>
      </w:r>
    </w:p>
    <w:p>
      <w:pPr>
        <w:ind w:firstLine="680"/>
        <w:jc w:val="center"/>
        <w:rPr>
          <w:b/>
          <w:sz w:val="24"/>
          <w:szCs w:val="24"/>
        </w:rPr>
      </w:pPr>
      <w:r>
        <w:rPr>
          <w:b/>
          <w:sz w:val="24"/>
          <w:szCs w:val="24"/>
        </w:rPr>
        <w:t xml:space="preserve">в рамках настоящего Соглашения</w:t>
      </w:r>
      <w:r>
        <w:rPr>
          <w:b/>
          <w:sz w:val="24"/>
          <w:szCs w:val="24"/>
        </w:rPr>
      </w:r>
      <w:r>
        <w:rPr>
          <w:b/>
          <w:sz w:val="24"/>
          <w:szCs w:val="24"/>
        </w:rPr>
      </w:r>
    </w:p>
    <w:p>
      <w:pPr>
        <w:ind w:firstLine="680"/>
        <w:jc w:val="both"/>
        <w:rPr>
          <w:sz w:val="24"/>
          <w:szCs w:val="24"/>
        </w:rPr>
      </w:pPr>
      <w:r>
        <w:rPr>
          <w:sz w:val="24"/>
          <w:szCs w:val="24"/>
        </w:rPr>
      </w:r>
      <w:r>
        <w:rPr>
          <w:sz w:val="24"/>
          <w:szCs w:val="24"/>
        </w:rPr>
      </w:r>
      <w:r>
        <w:rPr>
          <w:sz w:val="24"/>
          <w:szCs w:val="24"/>
        </w:rP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06"/>
        <w:gridCol w:w="1479"/>
        <w:gridCol w:w="2791"/>
        <w:gridCol w:w="2971"/>
        <w:gridCol w:w="1323"/>
      </w:tblGrid>
      <w:tr>
        <w:tblPrEx/>
        <w:trPr/>
        <w:tc>
          <w:tcPr>
            <w:tcW w:w="526" w:type="pct"/>
            <w:textDirection w:val="lrTb"/>
            <w:noWrap w:val="false"/>
          </w:tcPr>
          <w:p>
            <w:pPr>
              <w:jc w:val="center"/>
              <w:rPr>
                <w:sz w:val="24"/>
                <w:szCs w:val="24"/>
              </w:rPr>
            </w:pPr>
            <w:r>
              <w:rPr>
                <w:sz w:val="24"/>
                <w:szCs w:val="24"/>
              </w:rPr>
              <w:t xml:space="preserve">№</w:t>
            </w:r>
            <w:r>
              <w:rPr>
                <w:sz w:val="24"/>
                <w:szCs w:val="24"/>
              </w:rPr>
            </w:r>
            <w:r>
              <w:rPr>
                <w:sz w:val="24"/>
                <w:szCs w:val="24"/>
              </w:rPr>
            </w:r>
          </w:p>
        </w:tc>
        <w:tc>
          <w:tcPr>
            <w:tcW w:w="773" w:type="pct"/>
            <w:textDirection w:val="lrTb"/>
            <w:noWrap w:val="false"/>
          </w:tcPr>
          <w:p>
            <w:pPr>
              <w:jc w:val="center"/>
              <w:rPr>
                <w:sz w:val="24"/>
                <w:szCs w:val="24"/>
              </w:rPr>
            </w:pPr>
            <w:r>
              <w:rPr>
                <w:sz w:val="24"/>
                <w:szCs w:val="24"/>
              </w:rPr>
              <w:t xml:space="preserve">Описание</w:t>
            </w:r>
            <w:r>
              <w:rPr>
                <w:sz w:val="24"/>
                <w:szCs w:val="24"/>
              </w:rPr>
            </w:r>
            <w:r>
              <w:rPr>
                <w:sz w:val="24"/>
                <w:szCs w:val="24"/>
              </w:rPr>
            </w:r>
          </w:p>
        </w:tc>
        <w:tc>
          <w:tcPr>
            <w:tcW w:w="1458" w:type="pct"/>
            <w:textDirection w:val="lrTb"/>
            <w:noWrap w:val="false"/>
          </w:tcPr>
          <w:p>
            <w:pPr>
              <w:jc w:val="center"/>
              <w:rPr>
                <w:sz w:val="24"/>
                <w:szCs w:val="24"/>
              </w:rPr>
            </w:pPr>
            <w:r>
              <w:rPr>
                <w:sz w:val="24"/>
                <w:szCs w:val="24"/>
              </w:rPr>
              <w:t xml:space="preserve">Расположение земельного участка</w:t>
            </w:r>
            <w:r>
              <w:rPr>
                <w:sz w:val="24"/>
                <w:szCs w:val="24"/>
              </w:rPr>
            </w:r>
            <w:r>
              <w:rPr>
                <w:sz w:val="24"/>
                <w:szCs w:val="24"/>
              </w:rPr>
            </w:r>
          </w:p>
        </w:tc>
        <w:tc>
          <w:tcPr>
            <w:tcW w:w="1552" w:type="pct"/>
            <w:textDirection w:val="lrTb"/>
            <w:noWrap w:val="false"/>
          </w:tcPr>
          <w:p>
            <w:pPr>
              <w:jc w:val="center"/>
              <w:rPr>
                <w:sz w:val="24"/>
                <w:szCs w:val="24"/>
              </w:rPr>
            </w:pPr>
            <w:r>
              <w:rPr>
                <w:sz w:val="24"/>
                <w:szCs w:val="24"/>
              </w:rPr>
              <w:t xml:space="preserve">Кадастровый номер</w:t>
            </w:r>
            <w:r>
              <w:rPr>
                <w:sz w:val="24"/>
                <w:szCs w:val="24"/>
              </w:rPr>
            </w:r>
            <w:r>
              <w:rPr>
                <w:sz w:val="24"/>
                <w:szCs w:val="24"/>
              </w:rPr>
            </w:r>
          </w:p>
        </w:tc>
        <w:tc>
          <w:tcPr>
            <w:tcW w:w="691" w:type="pct"/>
            <w:textDirection w:val="lrTb"/>
            <w:noWrap w:val="false"/>
          </w:tcPr>
          <w:p>
            <w:pPr>
              <w:jc w:val="center"/>
              <w:rPr>
                <w:sz w:val="24"/>
                <w:szCs w:val="24"/>
              </w:rPr>
            </w:pPr>
            <w:r>
              <w:rPr>
                <w:sz w:val="24"/>
                <w:szCs w:val="24"/>
              </w:rPr>
              <w:t xml:space="preserve">Площадь, м</w:t>
            </w:r>
            <w:r>
              <w:rPr>
                <w:sz w:val="24"/>
                <w:szCs w:val="24"/>
                <w:vertAlign w:val="superscript"/>
              </w:rPr>
              <w:t xml:space="preserve">2</w:t>
            </w:r>
            <w:r>
              <w:rPr>
                <w:sz w:val="24"/>
                <w:szCs w:val="24"/>
              </w:rPr>
            </w:r>
            <w:r>
              <w:rPr>
                <w:sz w:val="24"/>
                <w:szCs w:val="24"/>
              </w:rPr>
            </w:r>
          </w:p>
        </w:tc>
      </w:tr>
      <w:tr>
        <w:tblPrEx/>
        <w:trPr/>
        <w:tc>
          <w:tcPr>
            <w:tcW w:w="526" w:type="pct"/>
            <w:textDirection w:val="lrTb"/>
            <w:noWrap w:val="false"/>
          </w:tcPr>
          <w:p>
            <w:pPr>
              <w:jc w:val="center"/>
              <w:rPr>
                <w:sz w:val="24"/>
                <w:szCs w:val="24"/>
              </w:rPr>
            </w:pPr>
            <w:r>
              <w:rPr>
                <w:sz w:val="24"/>
                <w:szCs w:val="24"/>
              </w:rPr>
              <w:t xml:space="preserve">1.</w:t>
            </w:r>
            <w:r>
              <w:rPr>
                <w:sz w:val="24"/>
                <w:szCs w:val="24"/>
              </w:rPr>
            </w:r>
            <w:r>
              <w:rPr>
                <w:sz w:val="24"/>
                <w:szCs w:val="24"/>
              </w:rPr>
            </w:r>
          </w:p>
        </w:tc>
        <w:tc>
          <w:tcPr>
            <w:tcW w:w="773" w:type="pct"/>
            <w:textDirection w:val="lrTb"/>
            <w:noWrap w:val="false"/>
          </w:tcPr>
          <w:p>
            <w:pPr>
              <w:jc w:val="center"/>
              <w:rPr>
                <w:sz w:val="24"/>
                <w:szCs w:val="24"/>
              </w:rPr>
            </w:pPr>
            <w:r>
              <w:rPr>
                <w:sz w:val="24"/>
                <w:szCs w:val="24"/>
              </w:rPr>
              <w:t xml:space="preserve">Земельный участок</w:t>
            </w:r>
            <w:r>
              <w:rPr>
                <w:sz w:val="24"/>
                <w:szCs w:val="24"/>
              </w:rPr>
            </w:r>
            <w:r>
              <w:rPr>
                <w:sz w:val="24"/>
                <w:szCs w:val="24"/>
              </w:rPr>
            </w:r>
          </w:p>
        </w:tc>
        <w:tc>
          <w:tcPr>
            <w:tcW w:w="1458" w:type="pct"/>
            <w:textDirection w:val="lrTb"/>
            <w:noWrap w:val="false"/>
          </w:tcPr>
          <w:p>
            <w:pPr>
              <w:jc w:val="both"/>
              <w:rPr>
                <w:sz w:val="24"/>
                <w:szCs w:val="24"/>
              </w:rPr>
            </w:pPr>
            <w:r>
              <w:rPr>
                <w:sz w:val="24"/>
                <w:szCs w:val="24"/>
              </w:rPr>
              <w:t xml:space="preserve">Мурманская область, Печенгский муниципальный район, городское поселение Печенга,  Печенга п.г.т.</w:t>
            </w:r>
            <w:r>
              <w:rPr>
                <w:sz w:val="24"/>
                <w:szCs w:val="24"/>
              </w:rPr>
            </w:r>
            <w:r>
              <w:rPr>
                <w:sz w:val="24"/>
                <w:szCs w:val="24"/>
              </w:rPr>
            </w:r>
          </w:p>
        </w:tc>
        <w:tc>
          <w:tcPr>
            <w:tcW w:w="1552" w:type="pct"/>
            <w:textDirection w:val="lrTb"/>
            <w:noWrap w:val="false"/>
          </w:tcPr>
          <w:p>
            <w:pPr>
              <w:jc w:val="center"/>
              <w:rPr>
                <w:sz w:val="24"/>
                <w:szCs w:val="24"/>
              </w:rPr>
            </w:pPr>
            <w:r>
              <w:rPr>
                <w:sz w:val="24"/>
                <w:szCs w:val="24"/>
              </w:rPr>
              <w:t xml:space="preserve">51:03:0050101:315</w:t>
            </w:r>
            <w:r>
              <w:rPr>
                <w:sz w:val="24"/>
                <w:szCs w:val="24"/>
              </w:rPr>
            </w:r>
            <w:r>
              <w:rPr>
                <w:sz w:val="24"/>
                <w:szCs w:val="24"/>
              </w:rPr>
            </w:r>
          </w:p>
        </w:tc>
        <w:tc>
          <w:tcPr>
            <w:tcW w:w="691" w:type="pct"/>
            <w:textDirection w:val="lrTb"/>
            <w:noWrap w:val="false"/>
          </w:tcPr>
          <w:p>
            <w:pPr>
              <w:jc w:val="center"/>
              <w:rPr>
                <w:sz w:val="24"/>
                <w:szCs w:val="24"/>
              </w:rPr>
            </w:pPr>
            <w:r>
              <w:rPr>
                <w:sz w:val="24"/>
                <w:szCs w:val="24"/>
              </w:rPr>
              <w:t xml:space="preserve">2721</w:t>
            </w:r>
            <w:r>
              <w:rPr>
                <w:sz w:val="24"/>
                <w:szCs w:val="24"/>
              </w:rPr>
            </w:r>
            <w:r>
              <w:rPr>
                <w:sz w:val="24"/>
                <w:szCs w:val="24"/>
              </w:rPr>
            </w:r>
          </w:p>
        </w:tc>
      </w:tr>
      <w:tr>
        <w:tblPrEx/>
        <w:trPr/>
        <w:tc>
          <w:tcPr>
            <w:tcW w:w="526" w:type="pct"/>
            <w:textDirection w:val="lrTb"/>
            <w:noWrap w:val="false"/>
          </w:tcPr>
          <w:p>
            <w:pPr>
              <w:jc w:val="center"/>
              <w:rPr>
                <w:sz w:val="24"/>
                <w:szCs w:val="24"/>
              </w:rPr>
            </w:pPr>
            <w:r>
              <w:rPr>
                <w:sz w:val="24"/>
                <w:szCs w:val="24"/>
              </w:rPr>
              <w:t xml:space="preserve">2.</w:t>
            </w:r>
            <w:r>
              <w:rPr>
                <w:sz w:val="24"/>
                <w:szCs w:val="24"/>
              </w:rPr>
            </w:r>
            <w:r>
              <w:rPr>
                <w:sz w:val="24"/>
                <w:szCs w:val="24"/>
              </w:rPr>
            </w:r>
          </w:p>
        </w:tc>
        <w:tc>
          <w:tcPr>
            <w:tcW w:w="773" w:type="pct"/>
            <w:textDirection w:val="lrTb"/>
            <w:noWrap w:val="false"/>
          </w:tcPr>
          <w:p>
            <w:pPr>
              <w:jc w:val="center"/>
              <w:rPr>
                <w:sz w:val="24"/>
                <w:szCs w:val="24"/>
              </w:rPr>
            </w:pPr>
            <w:r>
              <w:rPr>
                <w:sz w:val="24"/>
                <w:szCs w:val="24"/>
              </w:rPr>
              <w:t xml:space="preserve">Земельный участок</w:t>
            </w:r>
            <w:r>
              <w:rPr>
                <w:sz w:val="24"/>
                <w:szCs w:val="24"/>
              </w:rPr>
            </w:r>
            <w:r>
              <w:rPr>
                <w:sz w:val="24"/>
                <w:szCs w:val="24"/>
              </w:rPr>
            </w:r>
          </w:p>
        </w:tc>
        <w:tc>
          <w:tcPr>
            <w:tcW w:w="1458" w:type="pct"/>
            <w:textDirection w:val="lrTb"/>
            <w:noWrap w:val="false"/>
          </w:tcPr>
          <w:p>
            <w:pPr>
              <w:jc w:val="both"/>
              <w:rPr>
                <w:sz w:val="24"/>
                <w:szCs w:val="24"/>
              </w:rPr>
            </w:pPr>
            <w:r>
              <w:rPr>
                <w:sz w:val="24"/>
                <w:szCs w:val="24"/>
              </w:rPr>
              <w:t xml:space="preserve">Мурманская область, Печенгский муниципальный район, городское поселение Печенга,  Печенга п.г.т.</w:t>
            </w:r>
            <w:r>
              <w:rPr>
                <w:sz w:val="24"/>
                <w:szCs w:val="24"/>
              </w:rPr>
            </w:r>
            <w:r>
              <w:rPr>
                <w:sz w:val="24"/>
                <w:szCs w:val="24"/>
              </w:rPr>
            </w:r>
          </w:p>
        </w:tc>
        <w:tc>
          <w:tcPr>
            <w:tcW w:w="1552" w:type="pct"/>
            <w:textDirection w:val="lrTb"/>
            <w:noWrap w:val="false"/>
          </w:tcPr>
          <w:p>
            <w:pPr>
              <w:jc w:val="center"/>
              <w:rPr>
                <w:sz w:val="24"/>
                <w:szCs w:val="24"/>
              </w:rPr>
            </w:pPr>
            <w:r>
              <w:rPr>
                <w:sz w:val="24"/>
                <w:szCs w:val="24"/>
              </w:rPr>
              <w:t xml:space="preserve">51:03:0050102:310</w:t>
            </w:r>
            <w:r>
              <w:rPr>
                <w:sz w:val="24"/>
                <w:szCs w:val="24"/>
              </w:rPr>
            </w:r>
            <w:r>
              <w:rPr>
                <w:sz w:val="24"/>
                <w:szCs w:val="24"/>
              </w:rPr>
            </w:r>
          </w:p>
        </w:tc>
        <w:tc>
          <w:tcPr>
            <w:tcW w:w="691" w:type="pct"/>
            <w:textDirection w:val="lrTb"/>
            <w:noWrap w:val="false"/>
          </w:tcPr>
          <w:p>
            <w:pPr>
              <w:jc w:val="center"/>
              <w:rPr>
                <w:sz w:val="24"/>
                <w:szCs w:val="24"/>
              </w:rPr>
            </w:pPr>
            <w:r>
              <w:rPr>
                <w:sz w:val="24"/>
                <w:szCs w:val="24"/>
              </w:rPr>
              <w:t xml:space="preserve">4040</w:t>
            </w:r>
            <w:r>
              <w:rPr>
                <w:sz w:val="24"/>
                <w:szCs w:val="24"/>
              </w:rPr>
            </w:r>
            <w:r>
              <w:rPr>
                <w:sz w:val="24"/>
                <w:szCs w:val="24"/>
              </w:rPr>
            </w:r>
          </w:p>
        </w:tc>
      </w:tr>
      <w:tr>
        <w:tblPrEx/>
        <w:trPr>
          <w:trHeight w:val="1536"/>
        </w:trPr>
        <w:tc>
          <w:tcPr>
            <w:tcW w:w="526" w:type="pct"/>
            <w:textDirection w:val="lrTb"/>
            <w:noWrap w:val="false"/>
          </w:tcPr>
          <w:p>
            <w:pPr>
              <w:jc w:val="center"/>
              <w:rPr>
                <w:sz w:val="24"/>
                <w:szCs w:val="24"/>
              </w:rPr>
            </w:pPr>
            <w:r>
              <w:rPr>
                <w:sz w:val="24"/>
                <w:szCs w:val="24"/>
              </w:rPr>
              <w:t xml:space="preserve">3.</w:t>
            </w:r>
            <w:r>
              <w:rPr>
                <w:sz w:val="24"/>
                <w:szCs w:val="24"/>
              </w:rPr>
            </w:r>
            <w:r>
              <w:rPr>
                <w:sz w:val="24"/>
                <w:szCs w:val="24"/>
              </w:rPr>
            </w:r>
          </w:p>
        </w:tc>
        <w:tc>
          <w:tcPr>
            <w:tcW w:w="773" w:type="pct"/>
            <w:textDirection w:val="lrTb"/>
            <w:noWrap w:val="false"/>
          </w:tcPr>
          <w:p>
            <w:pPr>
              <w:jc w:val="center"/>
              <w:rPr>
                <w:sz w:val="24"/>
                <w:szCs w:val="24"/>
              </w:rPr>
            </w:pPr>
            <w:r>
              <w:rPr>
                <w:sz w:val="24"/>
                <w:szCs w:val="24"/>
              </w:rPr>
              <w:t xml:space="preserve">Земельный участок</w:t>
            </w:r>
            <w:r>
              <w:rPr>
                <w:sz w:val="24"/>
                <w:szCs w:val="24"/>
              </w:rPr>
            </w:r>
            <w:r>
              <w:rPr>
                <w:sz w:val="24"/>
                <w:szCs w:val="24"/>
              </w:rPr>
            </w:r>
          </w:p>
        </w:tc>
        <w:tc>
          <w:tcPr>
            <w:tcW w:w="1458" w:type="pct"/>
            <w:textDirection w:val="lrTb"/>
            <w:noWrap w:val="false"/>
          </w:tcPr>
          <w:p>
            <w:pPr>
              <w:jc w:val="both"/>
              <w:rPr>
                <w:sz w:val="24"/>
                <w:szCs w:val="24"/>
              </w:rPr>
            </w:pPr>
            <w:r>
              <w:rPr>
                <w:sz w:val="24"/>
                <w:szCs w:val="24"/>
              </w:rPr>
              <w:t xml:space="preserve">Мурманская область, Печенгский муниципальный район, городское поселение Печенга,  Печенга п.г.т.</w:t>
            </w:r>
            <w:r>
              <w:rPr>
                <w:sz w:val="24"/>
                <w:szCs w:val="24"/>
              </w:rPr>
            </w:r>
            <w:r>
              <w:rPr>
                <w:sz w:val="24"/>
                <w:szCs w:val="24"/>
              </w:rPr>
            </w:r>
          </w:p>
        </w:tc>
        <w:tc>
          <w:tcPr>
            <w:tcW w:w="1552" w:type="pct"/>
            <w:textDirection w:val="lrTb"/>
            <w:noWrap w:val="false"/>
          </w:tcPr>
          <w:p>
            <w:pPr>
              <w:jc w:val="center"/>
              <w:rPr>
                <w:sz w:val="24"/>
                <w:szCs w:val="24"/>
              </w:rPr>
            </w:pPr>
            <w:r>
              <w:rPr>
                <w:sz w:val="24"/>
                <w:szCs w:val="24"/>
              </w:rPr>
              <w:t xml:space="preserve">51:03:0050104:277</w:t>
            </w:r>
            <w:r>
              <w:rPr>
                <w:sz w:val="24"/>
                <w:szCs w:val="24"/>
              </w:rPr>
            </w:r>
            <w:r>
              <w:rPr>
                <w:sz w:val="24"/>
                <w:szCs w:val="24"/>
              </w:rPr>
            </w:r>
          </w:p>
        </w:tc>
        <w:tc>
          <w:tcPr>
            <w:tcW w:w="691" w:type="pct"/>
            <w:textDirection w:val="lrTb"/>
            <w:noWrap w:val="false"/>
          </w:tcPr>
          <w:p>
            <w:pPr>
              <w:jc w:val="center"/>
              <w:rPr>
                <w:sz w:val="24"/>
                <w:szCs w:val="24"/>
              </w:rPr>
            </w:pPr>
            <w:r>
              <w:rPr>
                <w:sz w:val="24"/>
                <w:szCs w:val="24"/>
              </w:rPr>
              <w:t xml:space="preserve">5056</w:t>
            </w:r>
            <w:r>
              <w:rPr>
                <w:sz w:val="24"/>
                <w:szCs w:val="24"/>
              </w:rPr>
            </w:r>
            <w:r>
              <w:rPr>
                <w:sz w:val="24"/>
                <w:szCs w:val="24"/>
              </w:rPr>
            </w:r>
          </w:p>
        </w:tc>
      </w:tr>
      <w:tr>
        <w:tblPrEx/>
        <w:trPr/>
        <w:tc>
          <w:tcPr>
            <w:tcW w:w="526" w:type="pct"/>
            <w:textDirection w:val="lrTb"/>
            <w:noWrap w:val="false"/>
          </w:tcPr>
          <w:p>
            <w:pPr>
              <w:jc w:val="center"/>
              <w:rPr>
                <w:sz w:val="24"/>
                <w:szCs w:val="24"/>
              </w:rPr>
            </w:pPr>
            <w:r>
              <w:rPr>
                <w:sz w:val="24"/>
                <w:szCs w:val="24"/>
              </w:rPr>
              <w:t xml:space="preserve">4.</w:t>
            </w:r>
            <w:r>
              <w:rPr>
                <w:sz w:val="24"/>
                <w:szCs w:val="24"/>
              </w:rPr>
            </w:r>
            <w:r>
              <w:rPr>
                <w:sz w:val="24"/>
                <w:szCs w:val="24"/>
              </w:rPr>
            </w:r>
          </w:p>
        </w:tc>
        <w:tc>
          <w:tcPr>
            <w:tcW w:w="773" w:type="pct"/>
            <w:textDirection w:val="lrTb"/>
            <w:noWrap w:val="false"/>
          </w:tcPr>
          <w:p>
            <w:pPr>
              <w:jc w:val="center"/>
              <w:rPr>
                <w:sz w:val="24"/>
                <w:szCs w:val="24"/>
              </w:rPr>
            </w:pPr>
            <w:r>
              <w:rPr>
                <w:sz w:val="24"/>
                <w:szCs w:val="24"/>
              </w:rPr>
              <w:t xml:space="preserve">Земельный участок</w:t>
            </w:r>
            <w:r>
              <w:rPr>
                <w:sz w:val="24"/>
                <w:szCs w:val="24"/>
              </w:rPr>
            </w:r>
            <w:r>
              <w:rPr>
                <w:sz w:val="24"/>
                <w:szCs w:val="24"/>
              </w:rPr>
            </w:r>
          </w:p>
        </w:tc>
        <w:tc>
          <w:tcPr>
            <w:tcW w:w="1458" w:type="pct"/>
            <w:textDirection w:val="lrTb"/>
            <w:noWrap w:val="false"/>
          </w:tcPr>
          <w:p>
            <w:pPr>
              <w:jc w:val="both"/>
              <w:rPr>
                <w:sz w:val="24"/>
                <w:szCs w:val="24"/>
              </w:rPr>
            </w:pPr>
            <w:r>
              <w:rPr>
                <w:sz w:val="24"/>
                <w:szCs w:val="24"/>
              </w:rPr>
              <w:t xml:space="preserve">Мурманская область, Печенгский муниципальный район, н.п. Спутник</w:t>
            </w:r>
            <w:r>
              <w:rPr>
                <w:sz w:val="24"/>
                <w:szCs w:val="24"/>
              </w:rPr>
            </w:r>
            <w:r>
              <w:rPr>
                <w:sz w:val="24"/>
                <w:szCs w:val="24"/>
              </w:rPr>
            </w:r>
          </w:p>
        </w:tc>
        <w:tc>
          <w:tcPr>
            <w:tcW w:w="1552" w:type="pct"/>
            <w:textDirection w:val="lrTb"/>
            <w:noWrap w:val="false"/>
          </w:tcPr>
          <w:p>
            <w:pPr>
              <w:jc w:val="center"/>
              <w:rPr>
                <w:color w:val="ff0000"/>
                <w:sz w:val="24"/>
                <w:szCs w:val="24"/>
              </w:rPr>
            </w:pPr>
            <w:r>
              <w:rPr>
                <w:sz w:val="24"/>
                <w:szCs w:val="24"/>
              </w:rPr>
              <w:t xml:space="preserve">51:03:0030101:1165</w:t>
            </w:r>
            <w:r>
              <w:rPr>
                <w:color w:val="ff0000"/>
                <w:sz w:val="24"/>
                <w:szCs w:val="24"/>
              </w:rPr>
            </w:r>
            <w:r>
              <w:rPr>
                <w:color w:val="ff0000"/>
                <w:sz w:val="24"/>
                <w:szCs w:val="24"/>
              </w:rPr>
            </w:r>
          </w:p>
        </w:tc>
        <w:tc>
          <w:tcPr>
            <w:tcW w:w="691" w:type="pct"/>
            <w:textDirection w:val="lrTb"/>
            <w:noWrap w:val="false"/>
          </w:tcPr>
          <w:p>
            <w:pPr>
              <w:jc w:val="center"/>
              <w:rPr>
                <w:sz w:val="24"/>
                <w:szCs w:val="24"/>
              </w:rPr>
            </w:pPr>
            <w:r>
              <w:rPr>
                <w:sz w:val="24"/>
                <w:szCs w:val="24"/>
              </w:rPr>
              <w:t xml:space="preserve">8427</w:t>
            </w:r>
            <w:r>
              <w:rPr>
                <w:sz w:val="24"/>
                <w:szCs w:val="24"/>
              </w:rPr>
            </w:r>
            <w:r>
              <w:rPr>
                <w:sz w:val="24"/>
                <w:szCs w:val="24"/>
              </w:rPr>
            </w:r>
          </w:p>
        </w:tc>
      </w:tr>
    </w:tbl>
    <w:p>
      <w:pPr>
        <w:ind w:firstLine="680"/>
        <w:jc w:val="both"/>
        <w:rPr>
          <w:sz w:val="24"/>
          <w:szCs w:val="24"/>
        </w:rPr>
      </w:pPr>
      <w:r>
        <w:rPr>
          <w:sz w:val="24"/>
          <w:szCs w:val="24"/>
        </w:rPr>
      </w:r>
      <w:r>
        <w:rPr>
          <w:sz w:val="24"/>
          <w:szCs w:val="24"/>
        </w:rPr>
      </w:r>
      <w:r>
        <w:rPr>
          <w:sz w:val="24"/>
          <w:szCs w:val="24"/>
        </w:rPr>
      </w:r>
    </w:p>
    <w:p>
      <w:pPr>
        <w:ind w:firstLine="680"/>
        <w:jc w:val="both"/>
        <w:rPr>
          <w:sz w:val="24"/>
          <w:szCs w:val="24"/>
        </w:rPr>
      </w:pPr>
      <w:r>
        <w:rPr>
          <w:sz w:val="24"/>
          <w:szCs w:val="24"/>
        </w:rPr>
      </w:r>
      <w:r>
        <w:rPr>
          <w:sz w:val="24"/>
          <w:szCs w:val="24"/>
        </w:rPr>
      </w:r>
      <w:r>
        <w:rPr>
          <w:sz w:val="24"/>
          <w:szCs w:val="24"/>
        </w:rPr>
      </w:r>
    </w:p>
    <w:p>
      <w:pPr>
        <w:ind w:firstLine="680"/>
        <w:jc w:val="both"/>
        <w:rPr>
          <w:sz w:val="24"/>
          <w:szCs w:val="24"/>
        </w:rPr>
      </w:pPr>
      <w:r>
        <w:rPr>
          <w:sz w:val="24"/>
          <w:szCs w:val="24"/>
        </w:rPr>
      </w:r>
      <w:r>
        <w:rPr>
          <w:sz w:val="24"/>
          <w:szCs w:val="24"/>
        </w:rPr>
      </w:r>
      <w:r>
        <w:rPr>
          <w:sz w:val="24"/>
          <w:szCs w:val="24"/>
        </w:rPr>
      </w:r>
    </w:p>
    <w:tbl>
      <w:tblPr>
        <w:tblStyle w:val="937"/>
        <w:tblW w:w="5000" w:type="pc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190"/>
        <w:gridCol w:w="3190"/>
        <w:gridCol w:w="3190"/>
      </w:tblGrid>
      <w:tr>
        <w:tblPrEx/>
        <w:trPr/>
        <w:tc>
          <w:tcPr>
            <w:tcW w:w="1667" w:type="pct"/>
            <w:textDirection w:val="lrTb"/>
            <w:noWrap w:val="false"/>
          </w:tcPr>
          <w:p>
            <w:pPr>
              <w:jc w:val="both"/>
              <w:rPr>
                <w:b/>
                <w:sz w:val="24"/>
                <w:szCs w:val="24"/>
              </w:rPr>
            </w:pPr>
            <w:r>
              <w:rPr>
                <w:b/>
                <w:sz w:val="24"/>
                <w:szCs w:val="24"/>
              </w:rPr>
              <w:t xml:space="preserve">Концедент</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Концессионер</w:t>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t xml:space="preserve">Субъект</w:t>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t xml:space="preserve">Муниципальное образование Печенгский муниципальный округ Мурманской области</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Общество с ограниченной ответственностью «ПромВоенСтрой»</w:t>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t xml:space="preserve">Мурманская область</w:t>
            </w:r>
            <w:r>
              <w:rPr>
                <w:b/>
                <w:sz w:val="24"/>
                <w:szCs w:val="24"/>
              </w:rPr>
            </w:r>
            <w:r>
              <w:rPr>
                <w:b/>
                <w:sz w:val="24"/>
                <w:szCs w:val="24"/>
              </w:rPr>
            </w:r>
          </w:p>
          <w:p>
            <w:pPr>
              <w:jc w:val="both"/>
              <w:rPr>
                <w:b/>
                <w:sz w:val="24"/>
                <w:szCs w:val="24"/>
              </w:rPr>
            </w:pPr>
            <w:r>
              <w:rPr>
                <w:b/>
                <w:sz w:val="24"/>
                <w:szCs w:val="24"/>
              </w:rPr>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t xml:space="preserve">Глава округа</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Генеральный директор</w:t>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t xml:space="preserve">Губернатор</w:t>
            </w:r>
            <w:r>
              <w:rPr>
                <w:b/>
                <w:sz w:val="24"/>
                <w:szCs w:val="24"/>
              </w:rPr>
            </w:r>
            <w:r>
              <w:rPr>
                <w:b/>
                <w:sz w:val="24"/>
                <w:szCs w:val="24"/>
              </w:rPr>
            </w:r>
          </w:p>
        </w:tc>
      </w:tr>
      <w:tr>
        <w:tblPrEx/>
        <w:trPr>
          <w:trHeight w:val="567"/>
        </w:trPr>
        <w:tc>
          <w:tcPr>
            <w:tcW w:w="1667" w:type="pct"/>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c>
          <w:tcPr>
            <w:tcW w:w="1667" w:type="pct"/>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c>
          <w:tcPr>
            <w:tcW w:w="1666" w:type="pct"/>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r>
      <w:tr>
        <w:tblPrEx/>
        <w:trPr/>
        <w:tc>
          <w:tcPr>
            <w:tcW w:w="1667" w:type="pct"/>
            <w:textDirection w:val="lrTb"/>
            <w:noWrap w:val="false"/>
          </w:tcPr>
          <w:p>
            <w:pPr>
              <w:jc w:val="both"/>
              <w:rPr>
                <w:b/>
                <w:sz w:val="24"/>
                <w:szCs w:val="24"/>
              </w:rPr>
            </w:pPr>
            <w:r>
              <w:rPr>
                <w:sz w:val="24"/>
                <w:szCs w:val="24"/>
              </w:rPr>
              <w:t xml:space="preserve">МП      /Кузнецов А.В../</w:t>
            </w:r>
            <w:r>
              <w:rPr>
                <w:b/>
                <w:sz w:val="24"/>
                <w:szCs w:val="24"/>
              </w:rPr>
            </w:r>
            <w:r>
              <w:rPr>
                <w:b/>
                <w:sz w:val="24"/>
                <w:szCs w:val="24"/>
              </w:rPr>
            </w:r>
          </w:p>
        </w:tc>
        <w:tc>
          <w:tcPr>
            <w:tcW w:w="1667" w:type="pct"/>
            <w:textDirection w:val="lrTb"/>
            <w:noWrap w:val="false"/>
          </w:tcPr>
          <w:p>
            <w:pPr>
              <w:jc w:val="both"/>
              <w:rPr>
                <w:b/>
                <w:sz w:val="24"/>
                <w:szCs w:val="24"/>
              </w:rPr>
            </w:pPr>
            <w:r>
              <w:rPr>
                <w:sz w:val="24"/>
                <w:szCs w:val="24"/>
              </w:rPr>
              <w:t xml:space="preserve">МП       /Аршакян А.Р./</w:t>
            </w:r>
            <w:r>
              <w:rPr>
                <w:b/>
                <w:sz w:val="24"/>
                <w:szCs w:val="24"/>
              </w:rPr>
            </w:r>
            <w:r>
              <w:rPr>
                <w:b/>
                <w:sz w:val="24"/>
                <w:szCs w:val="24"/>
              </w:rPr>
            </w:r>
          </w:p>
        </w:tc>
        <w:tc>
          <w:tcPr>
            <w:tcW w:w="1666" w:type="pct"/>
            <w:textDirection w:val="lrTb"/>
            <w:noWrap w:val="false"/>
          </w:tcPr>
          <w:p>
            <w:pPr>
              <w:jc w:val="both"/>
              <w:rPr>
                <w:b/>
                <w:sz w:val="24"/>
                <w:szCs w:val="24"/>
              </w:rPr>
            </w:pPr>
            <w:r>
              <w:rPr>
                <w:sz w:val="24"/>
                <w:szCs w:val="24"/>
              </w:rPr>
              <w:t xml:space="preserve">МП         /Чибис А.В./</w:t>
            </w:r>
            <w:r>
              <w:rPr>
                <w:b/>
                <w:sz w:val="24"/>
                <w:szCs w:val="24"/>
              </w:rPr>
            </w:r>
            <w:r>
              <w:rPr>
                <w:b/>
                <w:sz w:val="24"/>
                <w:szCs w:val="24"/>
              </w:rPr>
            </w:r>
          </w:p>
        </w:tc>
      </w:tr>
      <w:tr>
        <w:tblPrEx/>
        <w:trPr/>
        <w:tc>
          <w:tcPr>
            <w:tcW w:w="1667" w:type="pct"/>
            <w:textDirection w:val="lrTb"/>
            <w:noWrap w:val="false"/>
          </w:tcPr>
          <w:p>
            <w:pPr>
              <w:jc w:val="both"/>
              <w:rPr>
                <w:b/>
                <w:sz w:val="24"/>
                <w:szCs w:val="24"/>
              </w:rPr>
            </w:pPr>
            <w:r>
              <w:rPr>
                <w:sz w:val="24"/>
                <w:szCs w:val="24"/>
              </w:rPr>
              <w:t xml:space="preserve">«___»____________ 20__ г.</w:t>
            </w:r>
            <w:r>
              <w:rPr>
                <w:b/>
                <w:sz w:val="24"/>
                <w:szCs w:val="24"/>
              </w:rPr>
            </w:r>
            <w:r>
              <w:rPr>
                <w:b/>
                <w:sz w:val="24"/>
                <w:szCs w:val="24"/>
              </w:rPr>
            </w:r>
          </w:p>
        </w:tc>
        <w:tc>
          <w:tcPr>
            <w:tcW w:w="1667" w:type="pct"/>
            <w:textDirection w:val="lrTb"/>
            <w:noWrap w:val="false"/>
          </w:tcPr>
          <w:p>
            <w:pPr>
              <w:jc w:val="both"/>
              <w:rPr>
                <w:sz w:val="24"/>
                <w:szCs w:val="24"/>
              </w:rPr>
            </w:pPr>
            <w:r>
              <w:rPr>
                <w:sz w:val="24"/>
                <w:szCs w:val="24"/>
              </w:rPr>
              <w:t xml:space="preserve">«___»____________ 20__ г.</w:t>
            </w:r>
            <w:r>
              <w:rPr>
                <w:sz w:val="24"/>
                <w:szCs w:val="24"/>
              </w:rPr>
            </w:r>
            <w:r>
              <w:rPr>
                <w:sz w:val="24"/>
                <w:szCs w:val="24"/>
              </w:rPr>
            </w:r>
          </w:p>
        </w:tc>
        <w:tc>
          <w:tcPr>
            <w:tcW w:w="1666" w:type="pct"/>
            <w:textDirection w:val="lrTb"/>
            <w:noWrap w:val="false"/>
          </w:tcPr>
          <w:p>
            <w:pPr>
              <w:jc w:val="both"/>
              <w:rPr>
                <w:b/>
                <w:sz w:val="24"/>
                <w:szCs w:val="24"/>
              </w:rPr>
            </w:pPr>
            <w:r>
              <w:rPr>
                <w:sz w:val="24"/>
                <w:szCs w:val="24"/>
              </w:rPr>
              <w:t xml:space="preserve">«___»____________ 20__ г.</w:t>
            </w:r>
            <w:r>
              <w:rPr>
                <w:b/>
                <w:sz w:val="24"/>
                <w:szCs w:val="24"/>
              </w:rPr>
            </w:r>
            <w:r>
              <w:rPr>
                <w:b/>
                <w:sz w:val="24"/>
                <w:szCs w:val="24"/>
              </w:rPr>
            </w:r>
          </w:p>
        </w:tc>
      </w:tr>
    </w:tbl>
    <w:p>
      <w:pPr>
        <w:shd w:val="nil" w:color="auto"/>
        <w:rPr>
          <w:sz w:val="24"/>
          <w:szCs w:val="24"/>
        </w:rPr>
      </w:pPr>
      <w:r>
        <w:rPr>
          <w:sz w:val="24"/>
          <w:szCs w:val="24"/>
        </w:rPr>
        <w:br w:type="page" w:clear="all"/>
      </w:r>
      <w:r>
        <w:rPr>
          <w:sz w:val="24"/>
          <w:szCs w:val="24"/>
        </w:rPr>
      </w:r>
      <w:r>
        <w:rPr>
          <w:sz w:val="24"/>
          <w:szCs w:val="24"/>
        </w:rPr>
      </w:r>
    </w:p>
    <w:p>
      <w:pPr>
        <w:ind w:left="5528" w:right="0" w:firstLine="0"/>
        <w:jc w:val="both"/>
        <w:rPr>
          <w:sz w:val="24"/>
          <w:szCs w:val="24"/>
        </w:rPr>
      </w:pPr>
      <w:r>
        <w:rPr>
          <w:sz w:val="24"/>
          <w:szCs w:val="24"/>
        </w:rPr>
        <w:t xml:space="preserve">Приложение № 6</w:t>
      </w:r>
      <w:r>
        <w:rPr>
          <w:sz w:val="24"/>
          <w:szCs w:val="24"/>
        </w:rPr>
      </w:r>
      <w:r>
        <w:rPr>
          <w:sz w:val="24"/>
          <w:szCs w:val="24"/>
        </w:rPr>
      </w:r>
    </w:p>
    <w:p>
      <w:pPr>
        <w:ind w:left="5528" w:right="0" w:firstLine="0"/>
        <w:jc w:val="both"/>
        <w:rPr>
          <w:sz w:val="24"/>
          <w:szCs w:val="24"/>
        </w:rPr>
      </w:pPr>
      <w:r>
        <w:rPr>
          <w:sz w:val="24"/>
          <w:szCs w:val="24"/>
        </w:rPr>
        <w:t xml:space="preserve">к Концессионному соглашению</w:t>
      </w:r>
      <w:r>
        <w:rPr>
          <w:sz w:val="24"/>
          <w:szCs w:val="24"/>
        </w:rPr>
      </w:r>
      <w:r>
        <w:rPr>
          <w:sz w:val="24"/>
          <w:szCs w:val="24"/>
        </w:rPr>
      </w:r>
    </w:p>
    <w:p>
      <w:pPr>
        <w:ind w:left="5528" w:right="0" w:firstLine="0"/>
        <w:jc w:val="both"/>
        <w:rPr>
          <w:sz w:val="24"/>
          <w:szCs w:val="24"/>
        </w:rPr>
      </w:pPr>
      <w:r>
        <w:rPr>
          <w:sz w:val="24"/>
          <w:szCs w:val="24"/>
        </w:rPr>
        <w:t xml:space="preserve">от «__»______ 2024 года №______</w:t>
      </w:r>
      <w:r>
        <w:rPr>
          <w:sz w:val="24"/>
          <w:szCs w:val="24"/>
        </w:rPr>
      </w:r>
      <w:r>
        <w:rPr>
          <w:sz w:val="24"/>
          <w:szCs w:val="24"/>
        </w:rPr>
      </w:r>
    </w:p>
    <w:p>
      <w:pPr>
        <w:ind w:firstLine="680"/>
        <w:jc w:val="both"/>
        <w:rPr>
          <w:sz w:val="24"/>
          <w:szCs w:val="24"/>
        </w:rPr>
      </w:pPr>
      <w:r>
        <w:rPr>
          <w:sz w:val="24"/>
          <w:szCs w:val="24"/>
        </w:rPr>
      </w:r>
      <w:r>
        <w:rPr>
          <w:sz w:val="24"/>
          <w:szCs w:val="24"/>
        </w:rPr>
      </w:r>
      <w:r>
        <w:rPr>
          <w:sz w:val="24"/>
          <w:szCs w:val="24"/>
        </w:rPr>
      </w:r>
    </w:p>
    <w:p>
      <w:pPr>
        <w:ind w:firstLine="680"/>
        <w:jc w:val="both"/>
        <w:rPr>
          <w:sz w:val="24"/>
          <w:szCs w:val="24"/>
        </w:rPr>
      </w:pPr>
      <w:r>
        <w:rPr>
          <w:sz w:val="24"/>
          <w:szCs w:val="24"/>
        </w:rPr>
      </w:r>
      <w:r>
        <w:rPr>
          <w:sz w:val="24"/>
          <w:szCs w:val="24"/>
        </w:rPr>
      </w:r>
      <w:r>
        <w:rPr>
          <w:sz w:val="24"/>
          <w:szCs w:val="24"/>
        </w:rPr>
      </w:r>
    </w:p>
    <w:p>
      <w:pPr>
        <w:ind w:firstLine="680"/>
        <w:jc w:val="center"/>
        <w:rPr>
          <w:b/>
          <w:sz w:val="24"/>
          <w:szCs w:val="24"/>
        </w:rPr>
      </w:pPr>
      <w:r>
        <w:rPr>
          <w:b/>
          <w:sz w:val="24"/>
          <w:szCs w:val="24"/>
        </w:rPr>
        <w:t xml:space="preserve">Копии документов, удостоверяющих право собственности Концедента в отношении земельных участков, передаваемых Концессионеру для исполнения обязательств по Соглашению</w:t>
      </w:r>
      <w:r>
        <w:rPr>
          <w:b/>
          <w:sz w:val="24"/>
          <w:szCs w:val="24"/>
        </w:rPr>
      </w:r>
      <w:r>
        <w:rPr>
          <w:b/>
          <w:sz w:val="24"/>
          <w:szCs w:val="24"/>
        </w:rPr>
      </w:r>
    </w:p>
    <w:p>
      <w:pPr>
        <w:ind w:firstLine="680"/>
        <w:jc w:val="both"/>
        <w:rPr>
          <w:sz w:val="24"/>
          <w:szCs w:val="24"/>
        </w:rPr>
      </w:pPr>
      <w:r>
        <w:rPr>
          <w:sz w:val="24"/>
          <w:szCs w:val="24"/>
        </w:rPr>
      </w:r>
      <w:r>
        <w:rPr>
          <w:sz w:val="24"/>
          <w:szCs w:val="24"/>
        </w:rPr>
      </w:r>
      <w:r>
        <w:rPr>
          <w:sz w:val="24"/>
          <w:szCs w:val="24"/>
        </w:rPr>
      </w:r>
    </w:p>
    <w:p>
      <w:pPr>
        <w:pStyle w:val="943"/>
        <w:numPr>
          <w:ilvl w:val="0"/>
          <w:numId w:val="21"/>
        </w:numPr>
        <w:contextualSpacing w:val="0"/>
        <w:jc w:val="both"/>
        <w:widowControl w:val="off"/>
        <w:rPr>
          <w:sz w:val="24"/>
          <w:szCs w:val="24"/>
          <w:lang w:val="ru-RU"/>
        </w:rPr>
      </w:pPr>
      <w:r>
        <w:rPr>
          <w:sz w:val="24"/>
          <w:szCs w:val="24"/>
          <w:lang w:val="ru-RU"/>
        </w:rPr>
        <w:t xml:space="preserve">Выписка от 16.0</w:t>
      </w:r>
      <w:r>
        <w:rPr>
          <w:sz w:val="24"/>
          <w:szCs w:val="24"/>
          <w:lang w:val="ru-RU"/>
        </w:rPr>
        <w:t xml:space="preserve">4.2024 г. из Единого государственного реестра недвижимости об объекте недвижимости и сведения о зарегистрированных правах (земельный участок 2721 кв.м. № 51:03:0050101:315), регистрация права собственности № 51:03:0050101:315-51/055/2021-7 от 27.07.2021 г.</w:t>
      </w:r>
      <w:r>
        <w:rPr>
          <w:sz w:val="24"/>
          <w:szCs w:val="24"/>
          <w:lang w:val="ru-RU"/>
        </w:rPr>
      </w:r>
      <w:r>
        <w:rPr>
          <w:sz w:val="24"/>
          <w:szCs w:val="24"/>
          <w:lang w:val="ru-RU"/>
        </w:rPr>
      </w:r>
    </w:p>
    <w:p>
      <w:pPr>
        <w:pStyle w:val="943"/>
        <w:jc w:val="both"/>
        <w:rPr>
          <w:sz w:val="24"/>
          <w:szCs w:val="24"/>
          <w:lang w:val="ru-RU"/>
        </w:rPr>
      </w:pPr>
      <w:r>
        <w:rPr>
          <w:sz w:val="24"/>
          <w:szCs w:val="24"/>
          <w:lang w:val="ru-RU"/>
        </w:rPr>
      </w:r>
      <w:r>
        <w:rPr>
          <w:sz w:val="24"/>
          <w:szCs w:val="24"/>
          <w:lang w:val="ru-RU"/>
        </w:rPr>
      </w:r>
      <w:r>
        <w:rPr>
          <w:sz w:val="24"/>
          <w:szCs w:val="24"/>
          <w:lang w:val="ru-RU"/>
        </w:rPr>
      </w:r>
    </w:p>
    <w:p>
      <w:pPr>
        <w:pStyle w:val="943"/>
        <w:numPr>
          <w:ilvl w:val="0"/>
          <w:numId w:val="21"/>
        </w:numPr>
        <w:contextualSpacing w:val="0"/>
        <w:jc w:val="both"/>
        <w:widowControl w:val="off"/>
        <w:rPr>
          <w:sz w:val="24"/>
          <w:szCs w:val="24"/>
          <w:lang w:val="ru-RU"/>
        </w:rPr>
      </w:pPr>
      <w:r>
        <w:rPr>
          <w:sz w:val="24"/>
          <w:szCs w:val="24"/>
          <w:lang w:val="ru-RU"/>
        </w:rPr>
        <w:t xml:space="preserve">Выписка от 16.0</w:t>
      </w:r>
      <w:r>
        <w:rPr>
          <w:sz w:val="24"/>
          <w:szCs w:val="24"/>
          <w:lang w:val="ru-RU"/>
        </w:rPr>
        <w:t xml:space="preserve">4.2024 г. из Единого государственного реестра недвижимости об объекте недвижимости и сведения о зарегистрированных правах (земельный участок 4040 кв.м. № 51:03:0050102:310), регистрация права собственности № 51:03:0050102:310-51/031/2021-7 от 26.07.2021 г.</w:t>
      </w:r>
      <w:r>
        <w:rPr>
          <w:sz w:val="24"/>
          <w:szCs w:val="24"/>
          <w:lang w:val="ru-RU"/>
        </w:rPr>
      </w:r>
      <w:r>
        <w:rPr>
          <w:sz w:val="24"/>
          <w:szCs w:val="24"/>
          <w:lang w:val="ru-RU"/>
        </w:rPr>
      </w:r>
    </w:p>
    <w:p>
      <w:pPr>
        <w:pStyle w:val="943"/>
        <w:jc w:val="both"/>
        <w:rPr>
          <w:sz w:val="24"/>
          <w:szCs w:val="24"/>
          <w:lang w:val="ru-RU"/>
        </w:rPr>
      </w:pPr>
      <w:r>
        <w:rPr>
          <w:sz w:val="24"/>
          <w:szCs w:val="24"/>
          <w:lang w:val="ru-RU"/>
        </w:rPr>
      </w:r>
      <w:r>
        <w:rPr>
          <w:sz w:val="24"/>
          <w:szCs w:val="24"/>
          <w:lang w:val="ru-RU"/>
        </w:rPr>
      </w:r>
      <w:r>
        <w:rPr>
          <w:sz w:val="24"/>
          <w:szCs w:val="24"/>
          <w:lang w:val="ru-RU"/>
        </w:rPr>
      </w:r>
    </w:p>
    <w:p>
      <w:pPr>
        <w:pStyle w:val="943"/>
        <w:numPr>
          <w:ilvl w:val="0"/>
          <w:numId w:val="21"/>
        </w:numPr>
        <w:contextualSpacing w:val="0"/>
        <w:jc w:val="both"/>
        <w:widowControl w:val="off"/>
        <w:rPr>
          <w:sz w:val="24"/>
          <w:szCs w:val="24"/>
          <w:lang w:val="ru-RU"/>
        </w:rPr>
      </w:pPr>
      <w:r>
        <w:rPr>
          <w:sz w:val="24"/>
          <w:szCs w:val="24"/>
          <w:lang w:val="ru-RU"/>
        </w:rPr>
        <w:t xml:space="preserve">Выписка от 16.0</w:t>
      </w:r>
      <w:r>
        <w:rPr>
          <w:sz w:val="24"/>
          <w:szCs w:val="24"/>
          <w:lang w:val="ru-RU"/>
        </w:rPr>
        <w:t xml:space="preserve">4.2024 г. из Единого государственного реестра недвижимости об объекте недвижимости и сведения о зарегистрированных правах (земельный участок 5056 кв.м. № 51:03:0050104:277), регистрация права собственности № 51:03:0050104:277-51/055/2021-7 от 28.07.2021 г.</w:t>
      </w:r>
      <w:r>
        <w:rPr>
          <w:sz w:val="24"/>
          <w:szCs w:val="24"/>
          <w:lang w:val="ru-RU"/>
        </w:rPr>
      </w:r>
      <w:r>
        <w:rPr>
          <w:sz w:val="24"/>
          <w:szCs w:val="24"/>
          <w:lang w:val="ru-RU"/>
        </w:rPr>
      </w:r>
    </w:p>
    <w:p>
      <w:pPr>
        <w:pStyle w:val="943"/>
        <w:jc w:val="both"/>
        <w:rPr>
          <w:sz w:val="24"/>
          <w:szCs w:val="24"/>
          <w:lang w:val="ru-RU"/>
        </w:rPr>
      </w:pPr>
      <w:r>
        <w:rPr>
          <w:sz w:val="24"/>
          <w:szCs w:val="24"/>
          <w:lang w:val="ru-RU"/>
        </w:rPr>
      </w:r>
      <w:r>
        <w:rPr>
          <w:sz w:val="24"/>
          <w:szCs w:val="24"/>
          <w:lang w:val="ru-RU"/>
        </w:rPr>
      </w:r>
      <w:r>
        <w:rPr>
          <w:sz w:val="24"/>
          <w:szCs w:val="24"/>
          <w:lang w:val="ru-RU"/>
        </w:rPr>
      </w:r>
    </w:p>
    <w:p>
      <w:pPr>
        <w:pStyle w:val="943"/>
        <w:jc w:val="both"/>
        <w:rPr>
          <w:sz w:val="24"/>
          <w:szCs w:val="24"/>
          <w:lang w:val="ru-RU"/>
        </w:rPr>
      </w:pPr>
      <w:r>
        <w:rPr>
          <w:sz w:val="24"/>
          <w:szCs w:val="24"/>
          <w:lang w:val="ru-RU"/>
        </w:rPr>
      </w:r>
      <w:r>
        <w:rPr>
          <w:sz w:val="24"/>
          <w:szCs w:val="24"/>
          <w:lang w:val="ru-RU"/>
        </w:rPr>
      </w:r>
      <w:r>
        <w:rPr>
          <w:sz w:val="24"/>
          <w:szCs w:val="24"/>
          <w:lang w:val="ru-RU"/>
        </w:rPr>
      </w:r>
    </w:p>
    <w:p>
      <w:pPr>
        <w:pStyle w:val="943"/>
        <w:numPr>
          <w:ilvl w:val="0"/>
          <w:numId w:val="21"/>
        </w:numPr>
        <w:contextualSpacing w:val="0"/>
        <w:jc w:val="both"/>
        <w:widowControl w:val="off"/>
        <w:rPr>
          <w:sz w:val="24"/>
          <w:szCs w:val="24"/>
          <w:lang w:val="ru-RU"/>
        </w:rPr>
      </w:pPr>
      <w:r>
        <w:rPr>
          <w:sz w:val="24"/>
          <w:szCs w:val="24"/>
          <w:lang w:val="ru-RU"/>
        </w:rPr>
        <w:t xml:space="preserve">Выписка от 16.04.</w:t>
      </w:r>
      <w:r>
        <w:rPr>
          <w:sz w:val="24"/>
          <w:szCs w:val="24"/>
          <w:lang w:val="ru-RU"/>
        </w:rPr>
        <w:t xml:space="preserve">2024 г. из Единого государственного реестра недвижимости об объекте недвижимости и сведения о зарегистрированных правах (земельный участок 8427 кв.м. № 51:03:0030101:1165), регистрация права собственности № 51:03:0030101:1165-51/028/2023-5 от 03.10.2023 г.</w:t>
      </w:r>
      <w:r>
        <w:rPr>
          <w:sz w:val="24"/>
          <w:szCs w:val="24"/>
          <w:lang w:val="ru-RU"/>
        </w:rPr>
      </w:r>
      <w:r>
        <w:rPr>
          <w:sz w:val="24"/>
          <w:szCs w:val="24"/>
          <w:lang w:val="ru-RU"/>
        </w:rPr>
      </w:r>
    </w:p>
    <w:p>
      <w:pPr>
        <w:pStyle w:val="943"/>
        <w:jc w:val="both"/>
        <w:rPr>
          <w:sz w:val="24"/>
          <w:szCs w:val="24"/>
          <w:lang w:val="ru-RU"/>
        </w:rPr>
      </w:pPr>
      <w:r>
        <w:rPr>
          <w:sz w:val="24"/>
          <w:szCs w:val="24"/>
          <w:lang w:val="ru-RU"/>
        </w:rPr>
      </w:r>
      <w:r>
        <w:rPr>
          <w:sz w:val="24"/>
          <w:szCs w:val="24"/>
          <w:lang w:val="ru-RU"/>
        </w:rPr>
      </w:r>
      <w:r>
        <w:rPr>
          <w:sz w:val="24"/>
          <w:szCs w:val="24"/>
          <w:lang w:val="ru-RU"/>
        </w:rPr>
      </w:r>
    </w:p>
    <w:p>
      <w:pPr>
        <w:pStyle w:val="943"/>
        <w:jc w:val="both"/>
        <w:rPr>
          <w:sz w:val="24"/>
          <w:szCs w:val="24"/>
          <w:lang w:val="ru-RU"/>
        </w:rPr>
      </w:pPr>
      <w:r>
        <w:rPr>
          <w:sz w:val="24"/>
          <w:szCs w:val="24"/>
          <w:lang w:val="ru-RU"/>
        </w:rPr>
      </w:r>
      <w:r>
        <w:rPr>
          <w:sz w:val="24"/>
          <w:szCs w:val="24"/>
          <w:lang w:val="ru-RU"/>
        </w:rPr>
      </w:r>
      <w:r>
        <w:rPr>
          <w:sz w:val="24"/>
          <w:szCs w:val="24"/>
          <w:lang w:val="ru-RU"/>
        </w:rPr>
      </w:r>
    </w:p>
    <w:p>
      <w:pPr>
        <w:ind w:firstLine="680"/>
        <w:jc w:val="both"/>
        <w:rPr>
          <w:sz w:val="24"/>
          <w:szCs w:val="24"/>
        </w:rPr>
      </w:pPr>
      <w:r>
        <w:rPr>
          <w:sz w:val="24"/>
          <w:szCs w:val="24"/>
        </w:rPr>
      </w:r>
      <w:r>
        <w:rPr>
          <w:sz w:val="24"/>
          <w:szCs w:val="24"/>
        </w:rPr>
      </w:r>
      <w:r>
        <w:rPr>
          <w:sz w:val="24"/>
          <w:szCs w:val="24"/>
        </w:rPr>
      </w:r>
    </w:p>
    <w:p>
      <w:pPr>
        <w:ind w:firstLine="680"/>
        <w:jc w:val="both"/>
        <w:rPr>
          <w:sz w:val="24"/>
          <w:szCs w:val="24"/>
        </w:rPr>
      </w:pPr>
      <w:r>
        <w:rPr>
          <w:sz w:val="24"/>
          <w:szCs w:val="24"/>
        </w:rPr>
      </w:r>
      <w:r>
        <w:rPr>
          <w:sz w:val="24"/>
          <w:szCs w:val="24"/>
        </w:rPr>
      </w:r>
      <w:r>
        <w:rPr>
          <w:sz w:val="24"/>
          <w:szCs w:val="24"/>
        </w:rPr>
      </w:r>
    </w:p>
    <w:tbl>
      <w:tblPr>
        <w:tblStyle w:val="937"/>
        <w:tblW w:w="5000" w:type="pc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190"/>
        <w:gridCol w:w="3190"/>
        <w:gridCol w:w="3190"/>
      </w:tblGrid>
      <w:tr>
        <w:tblPrEx/>
        <w:trPr/>
        <w:tc>
          <w:tcPr>
            <w:tcW w:w="1667" w:type="pct"/>
            <w:textDirection w:val="lrTb"/>
            <w:noWrap w:val="false"/>
          </w:tcPr>
          <w:p>
            <w:pPr>
              <w:jc w:val="both"/>
              <w:rPr>
                <w:b/>
                <w:sz w:val="24"/>
                <w:szCs w:val="24"/>
              </w:rPr>
            </w:pPr>
            <w:r>
              <w:rPr>
                <w:b/>
                <w:sz w:val="24"/>
                <w:szCs w:val="24"/>
              </w:rPr>
              <w:t xml:space="preserve">Концедент</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Концессионер</w:t>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t xml:space="preserve">Субъект</w:t>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t xml:space="preserve">Муниципальное образование Печенгский муниципальный округ Мурманской области</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Общество с ограниченной ответственностью «ПромВоенСтрой»</w:t>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t xml:space="preserve">Мурманская область</w:t>
            </w:r>
            <w:r>
              <w:rPr>
                <w:b/>
                <w:sz w:val="24"/>
                <w:szCs w:val="24"/>
              </w:rPr>
            </w:r>
            <w:r>
              <w:rPr>
                <w:b/>
                <w:sz w:val="24"/>
                <w:szCs w:val="24"/>
              </w:rPr>
            </w:r>
          </w:p>
          <w:p>
            <w:pPr>
              <w:jc w:val="both"/>
              <w:rPr>
                <w:b/>
                <w:sz w:val="24"/>
                <w:szCs w:val="24"/>
              </w:rPr>
            </w:pPr>
            <w:r>
              <w:rPr>
                <w:b/>
                <w:sz w:val="24"/>
                <w:szCs w:val="24"/>
              </w:rPr>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t xml:space="preserve">Глава округа</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Генеральный директор</w:t>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t xml:space="preserve">Губернатор</w:t>
            </w:r>
            <w:r>
              <w:rPr>
                <w:b/>
                <w:sz w:val="24"/>
                <w:szCs w:val="24"/>
              </w:rPr>
            </w:r>
            <w:r>
              <w:rPr>
                <w:b/>
                <w:sz w:val="24"/>
                <w:szCs w:val="24"/>
              </w:rPr>
            </w:r>
          </w:p>
        </w:tc>
      </w:tr>
      <w:tr>
        <w:tblPrEx/>
        <w:trPr>
          <w:trHeight w:val="567"/>
        </w:trPr>
        <w:tc>
          <w:tcPr>
            <w:tcW w:w="1667" w:type="pct"/>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c>
          <w:tcPr>
            <w:tcW w:w="1667" w:type="pct"/>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c>
          <w:tcPr>
            <w:tcW w:w="1666" w:type="pct"/>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r>
      <w:tr>
        <w:tblPrEx/>
        <w:trPr/>
        <w:tc>
          <w:tcPr>
            <w:tcW w:w="1667" w:type="pct"/>
            <w:textDirection w:val="lrTb"/>
            <w:noWrap w:val="false"/>
          </w:tcPr>
          <w:p>
            <w:pPr>
              <w:jc w:val="both"/>
              <w:rPr>
                <w:b/>
                <w:sz w:val="24"/>
                <w:szCs w:val="24"/>
              </w:rPr>
            </w:pPr>
            <w:r>
              <w:rPr>
                <w:sz w:val="24"/>
                <w:szCs w:val="24"/>
              </w:rPr>
              <w:t xml:space="preserve">МП      /Кузнецов А.В../</w:t>
            </w:r>
            <w:r>
              <w:rPr>
                <w:b/>
                <w:sz w:val="24"/>
                <w:szCs w:val="24"/>
              </w:rPr>
            </w:r>
            <w:r>
              <w:rPr>
                <w:b/>
                <w:sz w:val="24"/>
                <w:szCs w:val="24"/>
              </w:rPr>
            </w:r>
          </w:p>
        </w:tc>
        <w:tc>
          <w:tcPr>
            <w:tcW w:w="1667" w:type="pct"/>
            <w:textDirection w:val="lrTb"/>
            <w:noWrap w:val="false"/>
          </w:tcPr>
          <w:p>
            <w:pPr>
              <w:jc w:val="both"/>
              <w:rPr>
                <w:b/>
                <w:sz w:val="24"/>
                <w:szCs w:val="24"/>
              </w:rPr>
            </w:pPr>
            <w:r>
              <w:rPr>
                <w:sz w:val="24"/>
                <w:szCs w:val="24"/>
              </w:rPr>
              <w:t xml:space="preserve">МП       /Аршакян А.Р./</w:t>
            </w:r>
            <w:r>
              <w:rPr>
                <w:b/>
                <w:sz w:val="24"/>
                <w:szCs w:val="24"/>
              </w:rPr>
            </w:r>
            <w:r>
              <w:rPr>
                <w:b/>
                <w:sz w:val="24"/>
                <w:szCs w:val="24"/>
              </w:rPr>
            </w:r>
          </w:p>
        </w:tc>
        <w:tc>
          <w:tcPr>
            <w:tcW w:w="1666" w:type="pct"/>
            <w:textDirection w:val="lrTb"/>
            <w:noWrap w:val="false"/>
          </w:tcPr>
          <w:p>
            <w:pPr>
              <w:jc w:val="both"/>
              <w:rPr>
                <w:b/>
                <w:sz w:val="24"/>
                <w:szCs w:val="24"/>
              </w:rPr>
            </w:pPr>
            <w:r>
              <w:rPr>
                <w:sz w:val="24"/>
                <w:szCs w:val="24"/>
              </w:rPr>
              <w:t xml:space="preserve">МП         /Чибис А.В./</w:t>
            </w:r>
            <w:r>
              <w:rPr>
                <w:b/>
                <w:sz w:val="24"/>
                <w:szCs w:val="24"/>
              </w:rPr>
            </w:r>
            <w:r>
              <w:rPr>
                <w:b/>
                <w:sz w:val="24"/>
                <w:szCs w:val="24"/>
              </w:rPr>
            </w:r>
          </w:p>
        </w:tc>
      </w:tr>
      <w:tr>
        <w:tblPrEx/>
        <w:trPr/>
        <w:tc>
          <w:tcPr>
            <w:tcW w:w="1667" w:type="pct"/>
            <w:textDirection w:val="lrTb"/>
            <w:noWrap w:val="false"/>
          </w:tcPr>
          <w:p>
            <w:pPr>
              <w:jc w:val="both"/>
              <w:rPr>
                <w:b/>
                <w:sz w:val="24"/>
                <w:szCs w:val="24"/>
              </w:rPr>
            </w:pPr>
            <w:r>
              <w:rPr>
                <w:sz w:val="24"/>
                <w:szCs w:val="24"/>
              </w:rPr>
              <w:t xml:space="preserve">«___»____________ 20__ г.</w:t>
            </w:r>
            <w:r>
              <w:rPr>
                <w:b/>
                <w:sz w:val="24"/>
                <w:szCs w:val="24"/>
              </w:rPr>
            </w:r>
            <w:r>
              <w:rPr>
                <w:b/>
                <w:sz w:val="24"/>
                <w:szCs w:val="24"/>
              </w:rPr>
            </w:r>
          </w:p>
        </w:tc>
        <w:tc>
          <w:tcPr>
            <w:tcW w:w="1667" w:type="pct"/>
            <w:textDirection w:val="lrTb"/>
            <w:noWrap w:val="false"/>
          </w:tcPr>
          <w:p>
            <w:pPr>
              <w:jc w:val="both"/>
              <w:rPr>
                <w:b/>
                <w:sz w:val="24"/>
                <w:szCs w:val="24"/>
              </w:rPr>
            </w:pPr>
            <w:r>
              <w:rPr>
                <w:sz w:val="24"/>
                <w:szCs w:val="24"/>
              </w:rPr>
              <w:t xml:space="preserve">«___»____________ 20__ г</w:t>
            </w:r>
            <w:r>
              <w:rPr>
                <w:b/>
                <w:sz w:val="24"/>
                <w:szCs w:val="24"/>
              </w:rPr>
              <w:t xml:space="preserve">.</w:t>
            </w:r>
            <w:r>
              <w:rPr>
                <w:b/>
                <w:sz w:val="24"/>
                <w:szCs w:val="24"/>
              </w:rPr>
            </w:r>
            <w:r>
              <w:rPr>
                <w:b/>
                <w:sz w:val="24"/>
                <w:szCs w:val="24"/>
              </w:rPr>
            </w:r>
          </w:p>
        </w:tc>
        <w:tc>
          <w:tcPr>
            <w:tcW w:w="1666" w:type="pct"/>
            <w:textDirection w:val="lrTb"/>
            <w:noWrap w:val="false"/>
          </w:tcPr>
          <w:p>
            <w:pPr>
              <w:jc w:val="both"/>
              <w:rPr>
                <w:b/>
                <w:sz w:val="24"/>
                <w:szCs w:val="24"/>
              </w:rPr>
            </w:pPr>
            <w:r>
              <w:rPr>
                <w:sz w:val="24"/>
                <w:szCs w:val="24"/>
              </w:rPr>
              <w:t xml:space="preserve">«___»____________ 20__ г.</w:t>
            </w:r>
            <w:r>
              <w:rPr>
                <w:b/>
                <w:sz w:val="24"/>
                <w:szCs w:val="24"/>
              </w:rPr>
            </w:r>
            <w:r>
              <w:rPr>
                <w:b/>
                <w:sz w:val="24"/>
                <w:szCs w:val="24"/>
              </w:rPr>
            </w:r>
          </w:p>
        </w:tc>
      </w:tr>
    </w:tbl>
    <w:p>
      <w:pPr>
        <w:shd w:val="nil" w:color="auto"/>
        <w:rPr>
          <w:sz w:val="24"/>
          <w:szCs w:val="24"/>
        </w:rPr>
      </w:pPr>
      <w:r>
        <w:rPr>
          <w:sz w:val="24"/>
          <w:szCs w:val="24"/>
        </w:rPr>
        <w:br w:type="page" w:clear="all"/>
      </w:r>
      <w:r>
        <w:rPr>
          <w:sz w:val="24"/>
          <w:szCs w:val="24"/>
        </w:rPr>
      </w:r>
      <w:r>
        <w:rPr>
          <w:sz w:val="24"/>
          <w:szCs w:val="24"/>
        </w:rPr>
      </w:r>
    </w:p>
    <w:p>
      <w:pPr>
        <w:ind w:left="5528" w:right="0" w:firstLine="0"/>
        <w:jc w:val="both"/>
        <w:rPr>
          <w:sz w:val="24"/>
          <w:szCs w:val="24"/>
        </w:rPr>
      </w:pPr>
      <w:r>
        <w:rPr>
          <w:sz w:val="24"/>
          <w:szCs w:val="24"/>
        </w:rPr>
        <w:t xml:space="preserve">Приложение № 7</w:t>
      </w:r>
      <w:r>
        <w:rPr>
          <w:sz w:val="24"/>
          <w:szCs w:val="24"/>
        </w:rPr>
      </w:r>
      <w:r>
        <w:rPr>
          <w:sz w:val="24"/>
          <w:szCs w:val="24"/>
        </w:rPr>
      </w:r>
    </w:p>
    <w:p>
      <w:pPr>
        <w:ind w:left="5528" w:right="0" w:firstLine="0"/>
        <w:jc w:val="both"/>
        <w:rPr>
          <w:sz w:val="24"/>
          <w:szCs w:val="24"/>
        </w:rPr>
      </w:pPr>
      <w:r>
        <w:rPr>
          <w:sz w:val="24"/>
          <w:szCs w:val="24"/>
        </w:rPr>
        <w:t xml:space="preserve">к Концессионному соглашению</w:t>
      </w:r>
      <w:r>
        <w:rPr>
          <w:sz w:val="24"/>
          <w:szCs w:val="24"/>
        </w:rPr>
      </w:r>
      <w:r>
        <w:rPr>
          <w:sz w:val="24"/>
          <w:szCs w:val="24"/>
        </w:rPr>
      </w:r>
    </w:p>
    <w:p>
      <w:pPr>
        <w:ind w:left="5528" w:right="0" w:firstLine="0"/>
        <w:jc w:val="both"/>
        <w:rPr>
          <w:sz w:val="24"/>
          <w:szCs w:val="24"/>
        </w:rPr>
      </w:pPr>
      <w:r>
        <w:rPr>
          <w:sz w:val="24"/>
          <w:szCs w:val="24"/>
        </w:rPr>
        <w:t xml:space="preserve">от «__»______ 2024 года №______</w:t>
      </w:r>
      <w:r>
        <w:rPr>
          <w:sz w:val="24"/>
          <w:szCs w:val="24"/>
        </w:rPr>
      </w:r>
      <w:r>
        <w:rPr>
          <w:sz w:val="24"/>
          <w:szCs w:val="24"/>
        </w:rPr>
      </w:r>
    </w:p>
    <w:p>
      <w:pPr>
        <w:ind w:firstLine="680"/>
        <w:jc w:val="both"/>
        <w:rPr>
          <w:sz w:val="24"/>
          <w:szCs w:val="24"/>
        </w:rPr>
      </w:pPr>
      <w:r>
        <w:rPr>
          <w:sz w:val="24"/>
          <w:szCs w:val="24"/>
        </w:rPr>
      </w:r>
      <w:r>
        <w:rPr>
          <w:sz w:val="24"/>
          <w:szCs w:val="24"/>
        </w:rPr>
      </w:r>
      <w:r>
        <w:rPr>
          <w:sz w:val="24"/>
          <w:szCs w:val="24"/>
        </w:rPr>
      </w:r>
    </w:p>
    <w:p>
      <w:pPr>
        <w:ind w:firstLine="680"/>
        <w:jc w:val="both"/>
        <w:rPr>
          <w:b/>
          <w:sz w:val="24"/>
          <w:szCs w:val="24"/>
        </w:rPr>
      </w:pPr>
      <w:r>
        <w:rPr>
          <w:b/>
          <w:sz w:val="24"/>
          <w:szCs w:val="24"/>
        </w:rPr>
      </w:r>
      <w:r>
        <w:rPr>
          <w:b/>
          <w:sz w:val="24"/>
          <w:szCs w:val="24"/>
        </w:rPr>
      </w:r>
      <w:r>
        <w:rPr>
          <w:b/>
          <w:sz w:val="24"/>
          <w:szCs w:val="24"/>
        </w:rPr>
      </w:r>
    </w:p>
    <w:p>
      <w:pPr>
        <w:ind w:firstLine="680"/>
        <w:jc w:val="center"/>
        <w:rPr>
          <w:b/>
          <w:sz w:val="24"/>
          <w:szCs w:val="24"/>
        </w:rPr>
      </w:pPr>
      <w:r>
        <w:rPr>
          <w:b/>
          <w:sz w:val="24"/>
          <w:szCs w:val="24"/>
        </w:rPr>
        <w:t xml:space="preserve">Показатели надежности и энергетической эффективности объектов</w:t>
      </w:r>
      <w:r>
        <w:rPr>
          <w:b/>
          <w:sz w:val="24"/>
          <w:szCs w:val="24"/>
        </w:rPr>
      </w:r>
      <w:r>
        <w:rPr>
          <w:b/>
          <w:sz w:val="24"/>
          <w:szCs w:val="24"/>
        </w:rPr>
      </w:r>
    </w:p>
    <w:p>
      <w:pPr>
        <w:ind w:firstLine="680"/>
        <w:jc w:val="center"/>
        <w:rPr>
          <w:b/>
          <w:sz w:val="24"/>
          <w:szCs w:val="24"/>
        </w:rPr>
      </w:pPr>
      <w:r>
        <w:rPr>
          <w:b/>
          <w:sz w:val="24"/>
          <w:szCs w:val="24"/>
        </w:rPr>
        <w:t xml:space="preserve">теплоснабжения установленных на срок действия концессионного соглашения</w:t>
      </w:r>
      <w:r>
        <w:rPr>
          <w:b/>
          <w:sz w:val="24"/>
          <w:szCs w:val="24"/>
        </w:rPr>
      </w:r>
      <w:r>
        <w:rPr>
          <w:b/>
          <w:sz w:val="24"/>
          <w:szCs w:val="24"/>
        </w:rPr>
      </w:r>
    </w:p>
    <w:p>
      <w:pPr>
        <w:ind w:firstLine="680"/>
        <w:jc w:val="both"/>
        <w:rPr>
          <w:b/>
          <w:color w:val="ff0000"/>
          <w:sz w:val="24"/>
          <w:szCs w:val="24"/>
        </w:rPr>
      </w:pPr>
      <w:r>
        <w:rPr>
          <w:b/>
          <w:color w:val="ff0000"/>
          <w:sz w:val="24"/>
          <w:szCs w:val="24"/>
        </w:rPr>
      </w:r>
      <w:r>
        <w:rPr>
          <w:b/>
          <w:color w:val="ff0000"/>
          <w:sz w:val="24"/>
          <w:szCs w:val="24"/>
        </w:rPr>
      </w:r>
      <w:r>
        <w:rPr>
          <w:b/>
          <w:color w:val="ff0000"/>
          <w:sz w:val="24"/>
          <w:szCs w:val="24"/>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40" w:type="dxa"/>
          <w:top w:w="75" w:type="dxa"/>
          <w:right w:w="40" w:type="dxa"/>
          <w:bottom w:w="75" w:type="dxa"/>
        </w:tblCellMar>
        <w:tblLook w:val="04A0" w:firstRow="1" w:lastRow="0" w:firstColumn="1" w:lastColumn="0" w:noHBand="0" w:noVBand="1"/>
      </w:tblPr>
      <w:tblGrid>
        <w:gridCol w:w="1091"/>
        <w:gridCol w:w="1735"/>
        <w:gridCol w:w="1736"/>
        <w:gridCol w:w="1400"/>
        <w:gridCol w:w="1736"/>
        <w:gridCol w:w="1736"/>
      </w:tblGrid>
      <w:tr>
        <w:tblPrEx/>
        <w:trPr>
          <w:jc w:val="center"/>
          <w:trHeight w:val="237"/>
        </w:trPr>
        <w:tc>
          <w:tcPr>
            <w:tcBorders>
              <w:top w:val="single" w:color="auto" w:sz="8" w:space="0"/>
              <w:left w:val="single" w:color="auto" w:sz="8" w:space="0"/>
              <w:bottom w:val="single" w:color="auto" w:sz="8" w:space="0"/>
              <w:right w:val="single" w:color="auto" w:sz="8" w:space="0"/>
            </w:tcBorders>
            <w:tcW w:w="583" w:type="pct"/>
            <w:vMerge w:val="restart"/>
            <w:textDirection w:val="lrTb"/>
            <w:noWrap w:val="false"/>
          </w:tcPr>
          <w:p>
            <w:pPr>
              <w:jc w:val="center"/>
              <w:rPr>
                <w:b/>
                <w:sz w:val="24"/>
                <w:szCs w:val="24"/>
                <w:lang w:eastAsia="en-US"/>
              </w:rPr>
            </w:pPr>
            <w:r>
              <w:rPr>
                <w:b/>
                <w:sz w:val="24"/>
                <w:szCs w:val="24"/>
              </w:rPr>
              <w:t xml:space="preserve">Год</w:t>
            </w:r>
            <w:r>
              <w:rPr>
                <w:b/>
                <w:sz w:val="24"/>
                <w:szCs w:val="24"/>
                <w:lang w:eastAsia="en-US"/>
              </w:rPr>
            </w:r>
            <w:r>
              <w:rPr>
                <w:b/>
                <w:sz w:val="24"/>
                <w:szCs w:val="24"/>
                <w:lang w:eastAsia="en-US"/>
              </w:rPr>
            </w:r>
          </w:p>
        </w:tc>
        <w:tc>
          <w:tcPr>
            <w:gridSpan w:val="5"/>
            <w:tcBorders>
              <w:top w:val="single" w:color="auto" w:sz="8" w:space="0"/>
              <w:left w:val="single" w:color="auto" w:sz="8" w:space="0"/>
              <w:bottom w:val="single" w:color="auto" w:sz="8" w:space="0"/>
              <w:right w:val="single" w:color="auto" w:sz="8" w:space="0"/>
            </w:tcBorders>
            <w:tcW w:w="4417" w:type="pct"/>
            <w:textDirection w:val="lrTb"/>
            <w:noWrap w:val="false"/>
          </w:tcPr>
          <w:p>
            <w:pPr>
              <w:jc w:val="center"/>
              <w:rPr>
                <w:sz w:val="24"/>
                <w:szCs w:val="24"/>
              </w:rPr>
            </w:pPr>
            <w:r>
              <w:rPr>
                <w:sz w:val="24"/>
                <w:szCs w:val="24"/>
              </w:rPr>
              <w:t xml:space="preserve">Показатели</w:t>
            </w:r>
            <w:r>
              <w:rPr>
                <w:sz w:val="24"/>
                <w:szCs w:val="24"/>
              </w:rPr>
            </w:r>
            <w:r>
              <w:rPr>
                <w:sz w:val="24"/>
                <w:szCs w:val="24"/>
              </w:rPr>
            </w:r>
          </w:p>
        </w:tc>
      </w:tr>
      <w:tr>
        <w:tblPrEx/>
        <w:trPr>
          <w:jc w:val="center"/>
          <w:trHeight w:val="229"/>
        </w:trPr>
        <w:tc>
          <w:tcPr>
            <w:tcBorders>
              <w:top w:val="single" w:color="auto" w:sz="8" w:space="0"/>
              <w:left w:val="single" w:color="auto" w:sz="8" w:space="0"/>
              <w:bottom w:val="single" w:color="auto" w:sz="8" w:space="0"/>
              <w:right w:val="single" w:color="auto" w:sz="8" w:space="0"/>
            </w:tcBorders>
            <w:tcW w:w="583" w:type="pct"/>
            <w:vMerge w:val="continue"/>
            <w:textDirection w:val="lrTb"/>
            <w:noWrap w:val="false"/>
          </w:tcPr>
          <w:p>
            <w:pPr>
              <w:jc w:val="center"/>
              <w:rPr>
                <w:sz w:val="24"/>
                <w:szCs w:val="24"/>
              </w:rPr>
            </w:pPr>
            <w:r>
              <w:rPr>
                <w:sz w:val="24"/>
                <w:szCs w:val="24"/>
              </w:rPr>
            </w:r>
            <w:r>
              <w:rPr>
                <w:sz w:val="24"/>
                <w:szCs w:val="24"/>
              </w:rPr>
            </w:r>
            <w:r>
              <w:rPr>
                <w:sz w:val="24"/>
                <w:szCs w:val="24"/>
              </w:rPr>
            </w:r>
          </w:p>
        </w:tc>
        <w:tc>
          <w:tcPr>
            <w:gridSpan w:val="2"/>
            <w:tcBorders>
              <w:top w:val="single" w:color="auto" w:sz="8" w:space="0"/>
              <w:left w:val="single" w:color="auto" w:sz="8" w:space="0"/>
              <w:bottom w:val="single" w:color="auto" w:sz="8" w:space="0"/>
              <w:right w:val="single" w:color="auto" w:sz="8" w:space="0"/>
            </w:tcBorders>
            <w:tcW w:w="1943" w:type="pct"/>
            <w:vAlign w:val="center"/>
            <w:textDirection w:val="lrTb"/>
            <w:noWrap w:val="false"/>
          </w:tcPr>
          <w:p>
            <w:pPr>
              <w:jc w:val="center"/>
              <w:rPr>
                <w:sz w:val="24"/>
                <w:szCs w:val="24"/>
                <w:lang w:eastAsia="en-US"/>
              </w:rPr>
            </w:pPr>
            <w:r>
              <w:rPr>
                <w:sz w:val="24"/>
                <w:szCs w:val="24"/>
              </w:rPr>
              <w:t xml:space="preserve">надежности</w:t>
            </w:r>
            <w:r>
              <w:rPr>
                <w:sz w:val="24"/>
                <w:szCs w:val="24"/>
                <w:lang w:eastAsia="en-US"/>
              </w:rPr>
            </w:r>
            <w:r>
              <w:rPr>
                <w:sz w:val="24"/>
                <w:szCs w:val="24"/>
                <w:lang w:eastAsia="en-US"/>
              </w:rPr>
            </w:r>
          </w:p>
        </w:tc>
        <w:tc>
          <w:tcPr>
            <w:gridSpan w:val="3"/>
            <w:tcBorders>
              <w:top w:val="single" w:color="auto" w:sz="8" w:space="0"/>
              <w:left w:val="single" w:color="auto" w:sz="8" w:space="0"/>
              <w:bottom w:val="single" w:color="auto" w:sz="8" w:space="0"/>
              <w:right w:val="single" w:color="auto" w:sz="8" w:space="0"/>
            </w:tcBorders>
            <w:tcW w:w="2474" w:type="pct"/>
            <w:vAlign w:val="center"/>
            <w:textDirection w:val="lrTb"/>
            <w:noWrap w:val="false"/>
          </w:tcPr>
          <w:p>
            <w:pPr>
              <w:jc w:val="center"/>
              <w:rPr>
                <w:sz w:val="24"/>
                <w:szCs w:val="24"/>
              </w:rPr>
            </w:pPr>
            <w:r>
              <w:rPr>
                <w:sz w:val="24"/>
                <w:szCs w:val="24"/>
              </w:rPr>
              <w:t xml:space="preserve">энергетической эффективности</w:t>
            </w:r>
            <w:r>
              <w:rPr>
                <w:sz w:val="24"/>
                <w:szCs w:val="24"/>
              </w:rPr>
            </w:r>
            <w:r>
              <w:rPr>
                <w:sz w:val="24"/>
                <w:szCs w:val="24"/>
              </w:rPr>
            </w:r>
          </w:p>
        </w:tc>
      </w:tr>
      <w:tr>
        <w:tblPrEx/>
        <w:trPr>
          <w:jc w:val="center"/>
          <w:trHeight w:val="979"/>
        </w:trPr>
        <w:tc>
          <w:tcPr>
            <w:tcBorders>
              <w:top w:val="single" w:color="auto" w:sz="8" w:space="0"/>
              <w:left w:val="single" w:color="auto" w:sz="8" w:space="0"/>
              <w:bottom w:val="single" w:color="auto" w:sz="8" w:space="0"/>
              <w:right w:val="single" w:color="auto" w:sz="8" w:space="0"/>
            </w:tcBorders>
            <w:tcW w:w="583" w:type="pct"/>
            <w:vMerge w:val="continue"/>
            <w:textDirection w:val="lrTb"/>
            <w:noWrap w:val="false"/>
          </w:tcPr>
          <w:p>
            <w:pPr>
              <w:jc w:val="center"/>
              <w:rPr>
                <w:sz w:val="24"/>
                <w:szCs w:val="24"/>
              </w:rPr>
            </w:pPr>
            <w:r>
              <w:rPr>
                <w:sz w:val="24"/>
                <w:szCs w:val="24"/>
              </w:rPr>
            </w:r>
            <w:r>
              <w:rPr>
                <w:sz w:val="24"/>
                <w:szCs w:val="24"/>
              </w:rPr>
            </w:r>
            <w:r>
              <w:rPr>
                <w:sz w:val="24"/>
                <w:szCs w:val="24"/>
              </w:rPr>
            </w:r>
          </w:p>
        </w:tc>
        <w:tc>
          <w:tcPr>
            <w:tcBorders>
              <w:top w:val="single" w:color="auto" w:sz="8" w:space="0"/>
              <w:left w:val="single" w:color="auto" w:sz="8" w:space="0"/>
              <w:bottom w:val="single" w:color="auto" w:sz="8" w:space="0"/>
              <w:right w:val="single" w:color="auto" w:sz="8" w:space="0"/>
            </w:tcBorders>
            <w:tcW w:w="951" w:type="pct"/>
            <w:textDirection w:val="lrTb"/>
            <w:noWrap w:val="false"/>
          </w:tcPr>
          <w:p>
            <w:pPr>
              <w:jc w:val="center"/>
              <w:rPr>
                <w:sz w:val="24"/>
                <w:szCs w:val="24"/>
                <w:lang w:eastAsia="en-US"/>
              </w:rPr>
            </w:pPr>
            <w:r>
              <w:rPr>
                <w:sz w:val="24"/>
                <w:szCs w:val="24"/>
                <w:lang w:eastAsia="en-US"/>
              </w:rPr>
              <w:t xml:space="preserve">количество прекращений подачи тепловой энергии, теплоносителя в результате технологических нарушений на тепловых сетях на 1 км тепловых сетей</w:t>
            </w:r>
            <w:r>
              <w:rPr>
                <w:sz w:val="24"/>
                <w:szCs w:val="24"/>
                <w:lang w:eastAsia="en-US"/>
              </w:rPr>
            </w:r>
            <w:r>
              <w:rPr>
                <w:sz w:val="24"/>
                <w:szCs w:val="24"/>
                <w:lang w:eastAsia="en-US"/>
              </w:rPr>
            </w:r>
          </w:p>
        </w:tc>
        <w:tc>
          <w:tcPr>
            <w:tcBorders>
              <w:top w:val="single" w:color="auto" w:sz="8" w:space="0"/>
              <w:left w:val="single" w:color="auto" w:sz="8" w:space="0"/>
              <w:bottom w:val="single" w:color="auto" w:sz="8" w:space="0"/>
              <w:right w:val="single" w:color="auto" w:sz="8" w:space="0"/>
            </w:tcBorders>
            <w:tcW w:w="992" w:type="pct"/>
            <w:textDirection w:val="lrTb"/>
            <w:noWrap w:val="false"/>
          </w:tcPr>
          <w:p>
            <w:pPr>
              <w:jc w:val="center"/>
              <w:rPr>
                <w:sz w:val="24"/>
                <w:szCs w:val="24"/>
                <w:lang w:eastAsia="en-US"/>
              </w:rPr>
            </w:pPr>
            <w:r>
              <w:rPr>
                <w:sz w:val="24"/>
                <w:szCs w:val="24"/>
                <w:lang w:eastAsia="en-US"/>
              </w:rPr>
              <w:t xml:space="preserve">количество прекращений подачи тепловой энергии, теплоносителя в результате технологических нарушений на источниках тепловой энергии на 1 Гкал/час установленной мощности.</w:t>
            </w:r>
            <w:r>
              <w:rPr>
                <w:sz w:val="24"/>
                <w:szCs w:val="24"/>
                <w:lang w:eastAsia="en-US"/>
              </w:rPr>
            </w:r>
            <w:r>
              <w:rPr>
                <w:sz w:val="24"/>
                <w:szCs w:val="24"/>
                <w:lang w:eastAsia="en-US"/>
              </w:rPr>
            </w:r>
          </w:p>
        </w:tc>
        <w:tc>
          <w:tcPr>
            <w:tcBorders>
              <w:top w:val="single" w:color="auto" w:sz="8" w:space="0"/>
              <w:left w:val="single" w:color="auto" w:sz="8" w:space="0"/>
              <w:bottom w:val="single" w:color="auto" w:sz="8" w:space="0"/>
              <w:right w:val="single" w:color="auto" w:sz="8" w:space="0"/>
            </w:tcBorders>
            <w:tcW w:w="741" w:type="pct"/>
            <w:textDirection w:val="lrTb"/>
            <w:noWrap w:val="false"/>
          </w:tcPr>
          <w:p>
            <w:pPr>
              <w:jc w:val="center"/>
              <w:rPr>
                <w:sz w:val="24"/>
                <w:szCs w:val="24"/>
              </w:rPr>
            </w:pPr>
            <w:r>
              <w:rPr>
                <w:sz w:val="24"/>
                <w:szCs w:val="24"/>
                <w:lang w:eastAsia="en-US"/>
              </w:rPr>
              <w:t xml:space="preserve">удельный расход топлива на производство единицы тепловой энергии, отпускаемой с коллекторов источников тепловой энергии</w:t>
            </w:r>
            <w:r>
              <w:rPr>
                <w:sz w:val="24"/>
                <w:szCs w:val="24"/>
              </w:rPr>
            </w:r>
            <w:r>
              <w:rPr>
                <w:sz w:val="24"/>
                <w:szCs w:val="24"/>
              </w:rPr>
            </w:r>
          </w:p>
        </w:tc>
        <w:tc>
          <w:tcPr>
            <w:tcBorders>
              <w:top w:val="single" w:color="auto" w:sz="8" w:space="0"/>
              <w:left w:val="single" w:color="auto" w:sz="8" w:space="0"/>
              <w:bottom w:val="single" w:color="auto" w:sz="8" w:space="0"/>
              <w:right w:val="single" w:color="auto" w:sz="8" w:space="0"/>
            </w:tcBorders>
            <w:tcW w:w="866" w:type="pct"/>
            <w:textDirection w:val="lrTb"/>
            <w:noWrap w:val="false"/>
          </w:tcPr>
          <w:p>
            <w:pPr>
              <w:jc w:val="center"/>
              <w:rPr>
                <w:sz w:val="24"/>
                <w:szCs w:val="24"/>
              </w:rPr>
            </w:pPr>
            <w:r>
              <w:rPr>
                <w:sz w:val="24"/>
                <w:szCs w:val="24"/>
                <w:lang w:eastAsia="en-US"/>
              </w:rPr>
              <w:t xml:space="preserve">отношение величины технологических потерь тепловой энергии, теплоносителя к материальной характеристике тепловой сети</w:t>
            </w:r>
            <w:r>
              <w:rPr>
                <w:sz w:val="24"/>
                <w:szCs w:val="24"/>
              </w:rPr>
            </w:r>
            <w:r>
              <w:rPr>
                <w:sz w:val="24"/>
                <w:szCs w:val="24"/>
              </w:rPr>
            </w:r>
          </w:p>
        </w:tc>
        <w:tc>
          <w:tcPr>
            <w:tcBorders>
              <w:top w:val="single" w:color="auto" w:sz="8" w:space="0"/>
              <w:left w:val="single" w:color="auto" w:sz="8" w:space="0"/>
              <w:bottom w:val="single" w:color="auto" w:sz="8" w:space="0"/>
              <w:right w:val="single" w:color="auto" w:sz="8" w:space="0"/>
            </w:tcBorders>
            <w:tcW w:w="867" w:type="pct"/>
            <w:textDirection w:val="lrTb"/>
            <w:noWrap w:val="false"/>
          </w:tcPr>
          <w:p>
            <w:pPr>
              <w:jc w:val="center"/>
              <w:rPr>
                <w:sz w:val="24"/>
                <w:szCs w:val="24"/>
              </w:rPr>
            </w:pPr>
            <w:r>
              <w:rPr>
                <w:sz w:val="24"/>
                <w:szCs w:val="24"/>
                <w:lang w:eastAsia="en-US"/>
              </w:rPr>
              <w:t xml:space="preserve">величина технологических потерь/ теплоносителя  при передаче тепловой энергии, теплоносителя по тепловым сетям</w:t>
            </w:r>
            <w:r>
              <w:rPr>
                <w:sz w:val="24"/>
                <w:szCs w:val="24"/>
              </w:rPr>
            </w:r>
            <w:r>
              <w:rPr>
                <w:sz w:val="24"/>
                <w:szCs w:val="24"/>
              </w:rPr>
            </w:r>
          </w:p>
        </w:tc>
      </w:tr>
      <w:tr>
        <w:tblPrEx/>
        <w:trPr>
          <w:jc w:val="center"/>
          <w:trHeight w:val="134"/>
        </w:trPr>
        <w:tc>
          <w:tcPr>
            <w:tcBorders>
              <w:top w:val="single" w:color="auto" w:sz="8" w:space="0"/>
              <w:left w:val="single" w:color="auto" w:sz="8" w:space="0"/>
              <w:bottom w:val="single" w:color="auto" w:sz="8" w:space="0"/>
              <w:right w:val="single" w:color="auto" w:sz="8" w:space="0"/>
            </w:tcBorders>
            <w:tcW w:w="583" w:type="pct"/>
            <w:vAlign w:val="center"/>
            <w:vMerge w:val="continue"/>
            <w:textDirection w:val="lrTb"/>
            <w:noWrap w:val="false"/>
          </w:tcPr>
          <w:p>
            <w:pPr>
              <w:jc w:val="center"/>
              <w:rPr>
                <w:sz w:val="24"/>
                <w:szCs w:val="24"/>
                <w:lang w:eastAsia="en-US"/>
              </w:rPr>
            </w:pPr>
            <w:r>
              <w:rPr>
                <w:sz w:val="24"/>
                <w:szCs w:val="24"/>
                <w:lang w:eastAsia="en-US"/>
              </w:rPr>
            </w:r>
            <w:r>
              <w:rPr>
                <w:sz w:val="24"/>
                <w:szCs w:val="24"/>
                <w:lang w:eastAsia="en-US"/>
              </w:rPr>
            </w:r>
            <w:r>
              <w:rPr>
                <w:sz w:val="24"/>
                <w:szCs w:val="24"/>
                <w:lang w:eastAsia="en-US"/>
              </w:rPr>
            </w:r>
          </w:p>
        </w:tc>
        <w:tc>
          <w:tcPr>
            <w:tcBorders>
              <w:top w:val="single" w:color="auto" w:sz="8" w:space="0"/>
              <w:left w:val="single" w:color="auto" w:sz="8" w:space="0"/>
              <w:bottom w:val="single" w:color="auto" w:sz="8" w:space="0"/>
              <w:right w:val="single" w:color="auto" w:sz="8" w:space="0"/>
            </w:tcBorders>
            <w:tcW w:w="951" w:type="pct"/>
            <w:vAlign w:val="center"/>
            <w:textDirection w:val="lrTb"/>
            <w:noWrap w:val="false"/>
          </w:tcPr>
          <w:p>
            <w:pPr>
              <w:jc w:val="center"/>
              <w:rPr>
                <w:sz w:val="24"/>
                <w:szCs w:val="24"/>
                <w:lang w:eastAsia="en-US"/>
              </w:rPr>
            </w:pPr>
            <w:r>
              <w:rPr>
                <w:sz w:val="24"/>
                <w:szCs w:val="24"/>
                <w:lang w:eastAsia="en-US"/>
              </w:rPr>
              <w:t xml:space="preserve">Кол-во на 1 км</w:t>
            </w:r>
            <w:r>
              <w:rPr>
                <w:sz w:val="24"/>
                <w:szCs w:val="24"/>
                <w:lang w:eastAsia="en-US"/>
              </w:rPr>
            </w:r>
            <w:r>
              <w:rPr>
                <w:sz w:val="24"/>
                <w:szCs w:val="24"/>
                <w:lang w:eastAsia="en-US"/>
              </w:rPr>
            </w:r>
          </w:p>
        </w:tc>
        <w:tc>
          <w:tcPr>
            <w:tcBorders>
              <w:top w:val="single" w:color="auto" w:sz="8" w:space="0"/>
              <w:left w:val="single" w:color="auto" w:sz="8" w:space="0"/>
              <w:bottom w:val="single" w:color="auto" w:sz="8" w:space="0"/>
              <w:right w:val="single" w:color="auto" w:sz="8" w:space="0"/>
            </w:tcBorders>
            <w:tcW w:w="992" w:type="pct"/>
            <w:vAlign w:val="center"/>
            <w:textDirection w:val="lrTb"/>
            <w:noWrap w:val="false"/>
          </w:tcPr>
          <w:p>
            <w:pPr>
              <w:jc w:val="center"/>
              <w:rPr>
                <w:sz w:val="24"/>
                <w:szCs w:val="24"/>
                <w:lang w:eastAsia="en-US"/>
              </w:rPr>
            </w:pPr>
            <w:r>
              <w:rPr>
                <w:sz w:val="24"/>
                <w:szCs w:val="24"/>
                <w:lang w:eastAsia="en-US"/>
              </w:rPr>
              <w:t xml:space="preserve">Кол-во на 1 Гкал/час</w:t>
            </w:r>
            <w:r>
              <w:rPr>
                <w:sz w:val="24"/>
                <w:szCs w:val="24"/>
                <w:lang w:eastAsia="en-US"/>
              </w:rPr>
            </w:r>
            <w:r>
              <w:rPr>
                <w:sz w:val="24"/>
                <w:szCs w:val="24"/>
                <w:lang w:eastAsia="en-US"/>
              </w:rPr>
            </w:r>
          </w:p>
        </w:tc>
        <w:tc>
          <w:tcPr>
            <w:tcBorders>
              <w:top w:val="single" w:color="auto" w:sz="8" w:space="0"/>
              <w:left w:val="single" w:color="auto" w:sz="8" w:space="0"/>
              <w:bottom w:val="single" w:color="auto" w:sz="8" w:space="0"/>
              <w:right w:val="single" w:color="auto" w:sz="8" w:space="0"/>
            </w:tcBorders>
            <w:tcW w:w="741" w:type="pct"/>
            <w:vAlign w:val="center"/>
            <w:textDirection w:val="lrTb"/>
            <w:noWrap w:val="false"/>
          </w:tcPr>
          <w:p>
            <w:pPr>
              <w:jc w:val="center"/>
              <w:rPr>
                <w:sz w:val="24"/>
                <w:szCs w:val="24"/>
                <w:lang w:eastAsia="en-US"/>
              </w:rPr>
            </w:pPr>
            <w:r>
              <w:rPr>
                <w:sz w:val="24"/>
                <w:szCs w:val="24"/>
                <w:lang w:eastAsia="en-US"/>
              </w:rPr>
              <w:t xml:space="preserve">кгут/Гкал</w:t>
            </w:r>
            <w:r>
              <w:rPr>
                <w:sz w:val="24"/>
                <w:szCs w:val="24"/>
                <w:lang w:eastAsia="en-US"/>
              </w:rPr>
            </w:r>
            <w:r>
              <w:rPr>
                <w:sz w:val="24"/>
                <w:szCs w:val="24"/>
                <w:lang w:eastAsia="en-US"/>
              </w:rPr>
            </w:r>
          </w:p>
        </w:tc>
        <w:tc>
          <w:tcPr>
            <w:tcBorders>
              <w:top w:val="single" w:color="auto" w:sz="8" w:space="0"/>
              <w:left w:val="single" w:color="auto" w:sz="8" w:space="0"/>
              <w:bottom w:val="single" w:color="auto" w:sz="8" w:space="0"/>
              <w:right w:val="single" w:color="auto" w:sz="8" w:space="0"/>
            </w:tcBorders>
            <w:tcW w:w="866" w:type="pct"/>
            <w:vAlign w:val="center"/>
            <w:textDirection w:val="lrTb"/>
            <w:noWrap w:val="false"/>
          </w:tcPr>
          <w:p>
            <w:pPr>
              <w:jc w:val="center"/>
              <w:rPr>
                <w:sz w:val="24"/>
                <w:szCs w:val="24"/>
                <w:lang w:eastAsia="en-US"/>
              </w:rPr>
            </w:pPr>
            <w:r>
              <w:rPr>
                <w:sz w:val="24"/>
                <w:szCs w:val="24"/>
                <w:lang w:eastAsia="en-US"/>
              </w:rPr>
              <w:t xml:space="preserve">Гкал/м²</w:t>
            </w:r>
            <w:r>
              <w:rPr>
                <w:sz w:val="24"/>
                <w:szCs w:val="24"/>
                <w:lang w:eastAsia="en-US"/>
              </w:rPr>
            </w:r>
            <w:r>
              <w:rPr>
                <w:sz w:val="24"/>
                <w:szCs w:val="24"/>
                <w:lang w:eastAsia="en-US"/>
              </w:rPr>
            </w:r>
          </w:p>
          <w:p>
            <w:pPr>
              <w:jc w:val="center"/>
              <w:rPr>
                <w:sz w:val="24"/>
                <w:szCs w:val="24"/>
                <w:lang w:eastAsia="en-US"/>
              </w:rPr>
            </w:pPr>
            <w:r>
              <w:rPr>
                <w:sz w:val="24"/>
                <w:szCs w:val="24"/>
                <w:lang w:eastAsia="en-US"/>
              </w:rPr>
              <w:t xml:space="preserve">Куб.м./м²</w:t>
            </w:r>
            <w:r>
              <w:rPr>
                <w:sz w:val="24"/>
                <w:szCs w:val="24"/>
                <w:lang w:eastAsia="en-US"/>
              </w:rPr>
            </w:r>
            <w:r>
              <w:rPr>
                <w:sz w:val="24"/>
                <w:szCs w:val="24"/>
                <w:lang w:eastAsia="en-US"/>
              </w:rPr>
            </w:r>
          </w:p>
        </w:tc>
        <w:tc>
          <w:tcPr>
            <w:tcBorders>
              <w:top w:val="single" w:color="auto" w:sz="8" w:space="0"/>
              <w:left w:val="single" w:color="auto" w:sz="8" w:space="0"/>
              <w:bottom w:val="single" w:color="auto" w:sz="8" w:space="0"/>
              <w:right w:val="single" w:color="auto" w:sz="8" w:space="0"/>
            </w:tcBorders>
            <w:tcW w:w="867" w:type="pct"/>
            <w:vAlign w:val="center"/>
            <w:textDirection w:val="lrTb"/>
            <w:noWrap w:val="false"/>
          </w:tcPr>
          <w:p>
            <w:pPr>
              <w:jc w:val="center"/>
              <w:rPr>
                <w:sz w:val="24"/>
                <w:szCs w:val="24"/>
                <w:lang w:eastAsia="en-US"/>
              </w:rPr>
            </w:pPr>
            <w:r>
              <w:rPr>
                <w:sz w:val="24"/>
                <w:szCs w:val="24"/>
                <w:lang w:eastAsia="en-US"/>
              </w:rPr>
              <w:t xml:space="preserve">Гкал</w:t>
            </w:r>
            <w:r>
              <w:rPr>
                <w:sz w:val="24"/>
                <w:szCs w:val="24"/>
                <w:lang w:eastAsia="en-US"/>
              </w:rPr>
            </w:r>
            <w:r>
              <w:rPr>
                <w:sz w:val="24"/>
                <w:szCs w:val="24"/>
                <w:lang w:eastAsia="en-US"/>
              </w:rPr>
            </w:r>
          </w:p>
          <w:p>
            <w:pPr>
              <w:jc w:val="center"/>
              <w:rPr>
                <w:sz w:val="24"/>
                <w:szCs w:val="24"/>
                <w:lang w:eastAsia="en-US"/>
              </w:rPr>
            </w:pPr>
            <w:r>
              <w:rPr>
                <w:sz w:val="24"/>
                <w:szCs w:val="24"/>
                <w:lang w:eastAsia="en-US"/>
              </w:rPr>
              <w:t xml:space="preserve">куб.м.</w:t>
            </w:r>
            <w:r>
              <w:rPr>
                <w:sz w:val="24"/>
                <w:szCs w:val="24"/>
                <w:lang w:eastAsia="en-US"/>
              </w:rPr>
            </w:r>
            <w:r>
              <w:rPr>
                <w:sz w:val="24"/>
                <w:szCs w:val="24"/>
                <w:lang w:eastAsia="en-US"/>
              </w:rPr>
            </w:r>
          </w:p>
        </w:tc>
      </w:tr>
      <w:tr>
        <w:tblPrEx/>
        <w:trPr>
          <w:cantSplit/>
          <w:jc w:val="center"/>
          <w:trHeight w:val="20"/>
        </w:trPr>
        <w:tc>
          <w:tcPr>
            <w:gridSpan w:val="6"/>
            <w:tcBorders>
              <w:top w:val="single" w:color="auto" w:sz="8" w:space="0"/>
              <w:left w:val="single" w:color="auto" w:sz="8" w:space="0"/>
              <w:bottom w:val="single" w:color="auto" w:sz="8" w:space="0"/>
              <w:right w:val="single" w:color="auto" w:sz="8" w:space="0"/>
            </w:tcBorders>
            <w:tcW w:w="5000" w:type="pct"/>
            <w:vAlign w:val="center"/>
            <w:textDirection w:val="lrTb"/>
            <w:noWrap w:val="false"/>
          </w:tcPr>
          <w:p>
            <w:pPr>
              <w:jc w:val="both"/>
              <w:rPr>
                <w:sz w:val="24"/>
                <w:szCs w:val="24"/>
              </w:rPr>
            </w:pPr>
            <w:r>
              <w:rPr>
                <w:sz w:val="24"/>
                <w:szCs w:val="24"/>
              </w:rPr>
              <w:t xml:space="preserve">Объекты теплоснабжения Печенгского муниципального округа  Мурманской области</w:t>
            </w:r>
            <w:r>
              <w:rPr>
                <w:sz w:val="24"/>
                <w:szCs w:val="24"/>
              </w:rPr>
            </w:r>
            <w:r>
              <w:rPr>
                <w:sz w:val="24"/>
                <w:szCs w:val="24"/>
              </w:rPr>
            </w:r>
          </w:p>
          <w:p>
            <w:pPr>
              <w:jc w:val="both"/>
              <w:rPr>
                <w:sz w:val="24"/>
                <w:szCs w:val="24"/>
                <w:lang w:eastAsia="en-US"/>
              </w:rPr>
            </w:pPr>
            <w:r>
              <w:rPr>
                <w:sz w:val="24"/>
                <w:szCs w:val="24"/>
              </w:rPr>
              <w:t xml:space="preserve"> (п.г.т. Печенга, ж/д ст. 19 км. п.г.т.  Печенга, н.п. Спутник)</w:t>
            </w:r>
            <w:r>
              <w:rPr>
                <w:sz w:val="24"/>
                <w:szCs w:val="24"/>
                <w:lang w:eastAsia="en-US"/>
              </w:rPr>
            </w:r>
            <w:r>
              <w:rPr>
                <w:sz w:val="24"/>
                <w:szCs w:val="24"/>
                <w:lang w:eastAsia="en-US"/>
              </w:rPr>
            </w:r>
          </w:p>
        </w:tc>
      </w:tr>
      <w:tr>
        <w:tblPrEx/>
        <w:trPr>
          <w:cantSplit/>
          <w:jc w:val="center"/>
          <w:trHeight w:val="20"/>
        </w:trPr>
        <w:tc>
          <w:tcPr>
            <w:tcBorders>
              <w:top w:val="single" w:color="auto" w:sz="8" w:space="0"/>
              <w:left w:val="single" w:color="auto" w:sz="8" w:space="0"/>
              <w:bottom w:val="single" w:color="auto" w:sz="8" w:space="0"/>
              <w:right w:val="single" w:color="auto" w:sz="8" w:space="0"/>
            </w:tcBorders>
            <w:tcW w:w="583" w:type="pct"/>
            <w:vAlign w:val="center"/>
            <w:textDirection w:val="lrTb"/>
            <w:noWrap w:val="false"/>
          </w:tcPr>
          <w:p>
            <w:pPr>
              <w:jc w:val="center"/>
              <w:rPr>
                <w:b/>
                <w:sz w:val="24"/>
                <w:szCs w:val="24"/>
                <w:lang w:eastAsia="en-US"/>
              </w:rPr>
            </w:pPr>
            <w:r>
              <w:rPr>
                <w:b/>
                <w:sz w:val="24"/>
                <w:szCs w:val="24"/>
                <w:lang w:eastAsia="en-US"/>
              </w:rPr>
              <w:t xml:space="preserve">2024 -2025 г. г.</w:t>
            </w:r>
            <w:r>
              <w:rPr>
                <w:b/>
                <w:sz w:val="24"/>
                <w:szCs w:val="24"/>
                <w:lang w:eastAsia="en-US"/>
              </w:rPr>
            </w:r>
            <w:r>
              <w:rPr>
                <w:b/>
                <w:sz w:val="24"/>
                <w:szCs w:val="24"/>
                <w:lang w:eastAsia="en-US"/>
              </w:rPr>
            </w:r>
          </w:p>
          <w:p>
            <w:pPr>
              <w:jc w:val="center"/>
              <w:rPr>
                <w:sz w:val="24"/>
                <w:szCs w:val="24"/>
                <w:lang w:eastAsia="en-US"/>
              </w:rPr>
            </w:pPr>
            <w:r>
              <w:rPr>
                <w:sz w:val="24"/>
                <w:szCs w:val="24"/>
                <w:lang w:eastAsia="en-US"/>
              </w:rPr>
              <w:t xml:space="preserve">в т.ч.</w:t>
            </w:r>
            <w:r>
              <w:rPr>
                <w:sz w:val="24"/>
                <w:szCs w:val="24"/>
                <w:lang w:eastAsia="en-US"/>
              </w:rPr>
            </w:r>
            <w:r>
              <w:rPr>
                <w:sz w:val="24"/>
                <w:szCs w:val="24"/>
                <w:lang w:eastAsia="en-US"/>
              </w:rPr>
            </w:r>
          </w:p>
        </w:tc>
        <w:tc>
          <w:tcPr>
            <w:tcBorders>
              <w:top w:val="single" w:color="auto" w:sz="8" w:space="0"/>
              <w:left w:val="single" w:color="auto" w:sz="8" w:space="0"/>
              <w:bottom w:val="single" w:color="auto" w:sz="8" w:space="0"/>
              <w:right w:val="single" w:color="auto" w:sz="8" w:space="0"/>
            </w:tcBorders>
            <w:tcW w:w="951" w:type="pct"/>
            <w:vAlign w:val="center"/>
            <w:textDirection w:val="lrTb"/>
            <w:noWrap w:val="false"/>
          </w:tcPr>
          <w:p>
            <w:pPr>
              <w:jc w:val="center"/>
              <w:rPr>
                <w:b/>
                <w:sz w:val="24"/>
                <w:szCs w:val="24"/>
                <w:lang w:eastAsia="en-US"/>
              </w:rPr>
            </w:pPr>
            <w:r>
              <w:rPr>
                <w:b/>
                <w:sz w:val="24"/>
                <w:szCs w:val="24"/>
                <w:lang w:eastAsia="en-US"/>
              </w:rPr>
              <w:t xml:space="preserve">0,766</w:t>
            </w:r>
            <w:r>
              <w:rPr>
                <w:b/>
                <w:sz w:val="24"/>
                <w:szCs w:val="24"/>
                <w:lang w:eastAsia="en-US"/>
              </w:rPr>
            </w:r>
            <w:r>
              <w:rPr>
                <w:b/>
                <w:sz w:val="24"/>
                <w:szCs w:val="24"/>
                <w:lang w:eastAsia="en-US"/>
              </w:rPr>
            </w:r>
          </w:p>
        </w:tc>
        <w:tc>
          <w:tcPr>
            <w:tcBorders>
              <w:top w:val="single" w:color="auto" w:sz="8" w:space="0"/>
              <w:left w:val="single" w:color="auto" w:sz="8" w:space="0"/>
              <w:bottom w:val="single" w:color="auto" w:sz="8" w:space="0"/>
              <w:right w:val="single" w:color="auto" w:sz="8" w:space="0"/>
            </w:tcBorders>
            <w:tcW w:w="992" w:type="pct"/>
            <w:vAlign w:val="center"/>
            <w:textDirection w:val="lrTb"/>
            <w:noWrap w:val="false"/>
          </w:tcPr>
          <w:p>
            <w:pPr>
              <w:jc w:val="center"/>
              <w:rPr>
                <w:b/>
                <w:sz w:val="24"/>
                <w:szCs w:val="24"/>
                <w:lang w:eastAsia="en-US"/>
              </w:rPr>
            </w:pPr>
            <w:r>
              <w:rPr>
                <w:b/>
                <w:sz w:val="24"/>
                <w:szCs w:val="24"/>
                <w:lang w:eastAsia="en-US"/>
              </w:rPr>
              <w:t xml:space="preserve">0,141</w:t>
            </w:r>
            <w:r>
              <w:rPr>
                <w:b/>
                <w:sz w:val="24"/>
                <w:szCs w:val="24"/>
                <w:lang w:eastAsia="en-US"/>
              </w:rPr>
            </w:r>
            <w:r>
              <w:rPr>
                <w:b/>
                <w:sz w:val="24"/>
                <w:szCs w:val="24"/>
                <w:lang w:eastAsia="en-US"/>
              </w:rPr>
            </w:r>
          </w:p>
        </w:tc>
        <w:tc>
          <w:tcPr>
            <w:tcBorders>
              <w:top w:val="single" w:color="auto" w:sz="8" w:space="0"/>
              <w:left w:val="single" w:color="auto" w:sz="8" w:space="0"/>
              <w:bottom w:val="single" w:color="auto" w:sz="8" w:space="0"/>
              <w:right w:val="single" w:color="auto" w:sz="8" w:space="0"/>
            </w:tcBorders>
            <w:tcW w:w="741" w:type="pct"/>
            <w:vAlign w:val="center"/>
            <w:textDirection w:val="lrTb"/>
            <w:noWrap w:val="false"/>
          </w:tcPr>
          <w:p>
            <w:pPr>
              <w:jc w:val="center"/>
              <w:rPr>
                <w:b/>
                <w:sz w:val="24"/>
                <w:szCs w:val="24"/>
                <w:lang w:eastAsia="en-US"/>
              </w:rPr>
            </w:pPr>
            <w:r>
              <w:rPr>
                <w:b/>
                <w:sz w:val="24"/>
                <w:szCs w:val="24"/>
                <w:lang w:eastAsia="en-US"/>
              </w:rPr>
              <w:t xml:space="preserve">259,11</w:t>
            </w:r>
            <w:r>
              <w:rPr>
                <w:b/>
                <w:sz w:val="24"/>
                <w:szCs w:val="24"/>
                <w:lang w:eastAsia="en-US"/>
              </w:rPr>
            </w:r>
            <w:r>
              <w:rPr>
                <w:b/>
                <w:sz w:val="24"/>
                <w:szCs w:val="24"/>
                <w:lang w:eastAsia="en-US"/>
              </w:rPr>
            </w:r>
          </w:p>
        </w:tc>
        <w:tc>
          <w:tcPr>
            <w:tcBorders>
              <w:top w:val="single" w:color="auto" w:sz="8" w:space="0"/>
              <w:left w:val="single" w:color="auto" w:sz="8" w:space="0"/>
              <w:bottom w:val="single" w:color="auto" w:sz="8" w:space="0"/>
              <w:right w:val="single" w:color="auto" w:sz="8" w:space="0"/>
            </w:tcBorders>
            <w:tcW w:w="866" w:type="pct"/>
            <w:vAlign w:val="center"/>
            <w:textDirection w:val="lrTb"/>
            <w:noWrap w:val="false"/>
          </w:tcPr>
          <w:p>
            <w:pPr>
              <w:jc w:val="center"/>
              <w:rPr>
                <w:b/>
                <w:sz w:val="24"/>
                <w:szCs w:val="24"/>
                <w:u w:val="single"/>
                <w:lang w:eastAsia="en-US"/>
              </w:rPr>
            </w:pPr>
            <w:r>
              <w:rPr>
                <w:b/>
                <w:sz w:val="24"/>
                <w:szCs w:val="24"/>
                <w:u w:val="single"/>
                <w:lang w:eastAsia="en-US"/>
              </w:rPr>
              <w:t xml:space="preserve">2,54</w:t>
            </w:r>
            <w:r>
              <w:rPr>
                <w:b/>
                <w:sz w:val="24"/>
                <w:szCs w:val="24"/>
                <w:u w:val="single"/>
                <w:lang w:eastAsia="en-US"/>
              </w:rPr>
            </w:r>
            <w:r>
              <w:rPr>
                <w:b/>
                <w:sz w:val="24"/>
                <w:szCs w:val="24"/>
                <w:u w:val="single"/>
                <w:lang w:eastAsia="en-US"/>
              </w:rPr>
            </w:r>
          </w:p>
          <w:p>
            <w:pPr>
              <w:jc w:val="center"/>
              <w:rPr>
                <w:b/>
                <w:sz w:val="24"/>
                <w:szCs w:val="24"/>
                <w:lang w:eastAsia="en-US"/>
              </w:rPr>
            </w:pPr>
            <w:r>
              <w:rPr>
                <w:b/>
                <w:sz w:val="24"/>
                <w:szCs w:val="24"/>
                <w:lang w:eastAsia="en-US"/>
              </w:rPr>
              <w:t xml:space="preserve">2,56</w:t>
            </w:r>
            <w:r>
              <w:rPr>
                <w:b/>
                <w:sz w:val="24"/>
                <w:szCs w:val="24"/>
                <w:lang w:eastAsia="en-US"/>
              </w:rPr>
            </w:r>
            <w:r>
              <w:rPr>
                <w:b/>
                <w:sz w:val="24"/>
                <w:szCs w:val="24"/>
                <w:lang w:eastAsia="en-US"/>
              </w:rPr>
            </w:r>
          </w:p>
        </w:tc>
        <w:tc>
          <w:tcPr>
            <w:tcBorders>
              <w:top w:val="single" w:color="auto" w:sz="8" w:space="0"/>
              <w:left w:val="single" w:color="auto" w:sz="8" w:space="0"/>
              <w:bottom w:val="single" w:color="auto" w:sz="8" w:space="0"/>
              <w:right w:val="single" w:color="auto" w:sz="8" w:space="0"/>
            </w:tcBorders>
            <w:tcW w:w="867" w:type="pct"/>
            <w:vAlign w:val="center"/>
            <w:textDirection w:val="lrTb"/>
            <w:noWrap w:val="false"/>
          </w:tcPr>
          <w:p>
            <w:pPr>
              <w:jc w:val="center"/>
              <w:rPr>
                <w:b/>
                <w:sz w:val="24"/>
                <w:szCs w:val="24"/>
                <w:u w:val="single"/>
                <w:lang w:eastAsia="en-US"/>
              </w:rPr>
            </w:pPr>
            <w:r>
              <w:rPr>
                <w:b/>
                <w:sz w:val="24"/>
                <w:szCs w:val="24"/>
                <w:u w:val="single"/>
                <w:lang w:eastAsia="en-US"/>
              </w:rPr>
              <w:t xml:space="preserve">4360</w:t>
            </w:r>
            <w:r>
              <w:rPr>
                <w:b/>
                <w:sz w:val="24"/>
                <w:szCs w:val="24"/>
                <w:u w:val="single"/>
                <w:lang w:eastAsia="en-US"/>
              </w:rPr>
            </w:r>
            <w:r>
              <w:rPr>
                <w:b/>
                <w:sz w:val="24"/>
                <w:szCs w:val="24"/>
                <w:u w:val="single"/>
                <w:lang w:eastAsia="en-US"/>
              </w:rPr>
            </w:r>
          </w:p>
          <w:p>
            <w:pPr>
              <w:jc w:val="center"/>
              <w:rPr>
                <w:b/>
                <w:sz w:val="24"/>
                <w:szCs w:val="24"/>
                <w:lang w:eastAsia="en-US"/>
              </w:rPr>
            </w:pPr>
            <w:r>
              <w:rPr>
                <w:b/>
                <w:sz w:val="24"/>
                <w:szCs w:val="24"/>
                <w:lang w:eastAsia="en-US"/>
              </w:rPr>
              <w:t xml:space="preserve">4397</w:t>
            </w:r>
            <w:r>
              <w:rPr>
                <w:b/>
                <w:sz w:val="24"/>
                <w:szCs w:val="24"/>
                <w:lang w:eastAsia="en-US"/>
              </w:rPr>
            </w:r>
            <w:r>
              <w:rPr>
                <w:b/>
                <w:sz w:val="24"/>
                <w:szCs w:val="24"/>
                <w:lang w:eastAsia="en-US"/>
              </w:rPr>
            </w:r>
          </w:p>
        </w:tc>
      </w:tr>
      <w:tr>
        <w:tblPrEx/>
        <w:trPr>
          <w:cantSplit/>
          <w:jc w:val="center"/>
          <w:trHeight w:val="20"/>
        </w:trPr>
        <w:tc>
          <w:tcPr>
            <w:tcBorders>
              <w:top w:val="single" w:color="auto" w:sz="8" w:space="0"/>
              <w:left w:val="single" w:color="auto" w:sz="8" w:space="0"/>
              <w:bottom w:val="single" w:color="auto" w:sz="8" w:space="0"/>
              <w:right w:val="single" w:color="auto" w:sz="8" w:space="0"/>
            </w:tcBorders>
            <w:tcW w:w="583" w:type="pct"/>
            <w:vAlign w:val="center"/>
            <w:textDirection w:val="lrTb"/>
            <w:noWrap w:val="false"/>
          </w:tcPr>
          <w:p>
            <w:pPr>
              <w:jc w:val="center"/>
              <w:rPr>
                <w:sz w:val="24"/>
                <w:szCs w:val="24"/>
                <w:lang w:eastAsia="en-US"/>
              </w:rPr>
            </w:pPr>
            <w:r>
              <w:rPr>
                <w:sz w:val="24"/>
                <w:szCs w:val="24"/>
                <w:lang w:eastAsia="en-US"/>
              </w:rPr>
              <w:t xml:space="preserve">Котельная № 13/55</w:t>
            </w:r>
            <w:r>
              <w:rPr>
                <w:sz w:val="24"/>
                <w:szCs w:val="24"/>
                <w:lang w:eastAsia="en-US"/>
              </w:rPr>
            </w:r>
            <w:r>
              <w:rPr>
                <w:sz w:val="24"/>
                <w:szCs w:val="24"/>
                <w:lang w:eastAsia="en-US"/>
              </w:rPr>
            </w:r>
          </w:p>
        </w:tc>
        <w:tc>
          <w:tcPr>
            <w:tcBorders>
              <w:top w:val="single" w:color="auto" w:sz="8" w:space="0"/>
              <w:left w:val="single" w:color="auto" w:sz="8" w:space="0"/>
              <w:bottom w:val="single" w:color="auto" w:sz="8" w:space="0"/>
              <w:right w:val="single" w:color="auto" w:sz="8" w:space="0"/>
            </w:tcBorders>
            <w:tcW w:w="951" w:type="pct"/>
            <w:vAlign w:val="center"/>
            <w:textDirection w:val="lrTb"/>
            <w:noWrap w:val="false"/>
          </w:tcPr>
          <w:p>
            <w:pPr>
              <w:jc w:val="center"/>
              <w:rPr>
                <w:sz w:val="24"/>
                <w:szCs w:val="24"/>
                <w:lang w:eastAsia="en-US"/>
              </w:rPr>
            </w:pPr>
            <w:r>
              <w:rPr>
                <w:sz w:val="24"/>
                <w:szCs w:val="24"/>
                <w:lang w:eastAsia="en-US"/>
              </w:rPr>
              <w:t xml:space="preserve">1,543</w:t>
            </w:r>
            <w:r>
              <w:rPr>
                <w:sz w:val="24"/>
                <w:szCs w:val="24"/>
                <w:lang w:eastAsia="en-US"/>
              </w:rPr>
            </w:r>
            <w:r>
              <w:rPr>
                <w:sz w:val="24"/>
                <w:szCs w:val="24"/>
                <w:lang w:eastAsia="en-US"/>
              </w:rPr>
            </w:r>
          </w:p>
        </w:tc>
        <w:tc>
          <w:tcPr>
            <w:tcBorders>
              <w:top w:val="single" w:color="auto" w:sz="8" w:space="0"/>
              <w:left w:val="single" w:color="auto" w:sz="8" w:space="0"/>
              <w:bottom w:val="single" w:color="auto" w:sz="8" w:space="0"/>
              <w:right w:val="single" w:color="auto" w:sz="8" w:space="0"/>
            </w:tcBorders>
            <w:tcW w:w="992" w:type="pct"/>
            <w:vAlign w:val="center"/>
            <w:textDirection w:val="lrTb"/>
            <w:noWrap w:val="false"/>
          </w:tcPr>
          <w:p>
            <w:pPr>
              <w:jc w:val="center"/>
              <w:rPr>
                <w:sz w:val="24"/>
                <w:szCs w:val="24"/>
                <w:lang w:eastAsia="en-US"/>
              </w:rPr>
            </w:pPr>
            <w:r>
              <w:rPr>
                <w:sz w:val="24"/>
                <w:szCs w:val="24"/>
                <w:lang w:eastAsia="en-US"/>
              </w:rPr>
              <w:t xml:space="preserve">0,169</w:t>
            </w:r>
            <w:r>
              <w:rPr>
                <w:sz w:val="24"/>
                <w:szCs w:val="24"/>
                <w:lang w:eastAsia="en-US"/>
              </w:rPr>
            </w:r>
            <w:r>
              <w:rPr>
                <w:sz w:val="24"/>
                <w:szCs w:val="24"/>
                <w:lang w:eastAsia="en-US"/>
              </w:rPr>
            </w:r>
          </w:p>
        </w:tc>
        <w:tc>
          <w:tcPr>
            <w:tcBorders>
              <w:top w:val="single" w:color="auto" w:sz="8" w:space="0"/>
              <w:left w:val="single" w:color="auto" w:sz="8" w:space="0"/>
              <w:bottom w:val="single" w:color="auto" w:sz="8" w:space="0"/>
              <w:right w:val="single" w:color="auto" w:sz="8" w:space="0"/>
            </w:tcBorders>
            <w:tcW w:w="741" w:type="pct"/>
            <w:vAlign w:val="center"/>
            <w:textDirection w:val="lrTb"/>
            <w:noWrap w:val="false"/>
          </w:tcPr>
          <w:p>
            <w:pPr>
              <w:jc w:val="center"/>
              <w:rPr>
                <w:sz w:val="24"/>
                <w:szCs w:val="24"/>
                <w:lang w:eastAsia="en-US"/>
              </w:rPr>
            </w:pPr>
            <w:r>
              <w:rPr>
                <w:sz w:val="24"/>
                <w:szCs w:val="24"/>
                <w:lang w:eastAsia="en-US"/>
              </w:rPr>
              <w:t xml:space="preserve">241,21</w:t>
            </w:r>
            <w:r>
              <w:rPr>
                <w:sz w:val="24"/>
                <w:szCs w:val="24"/>
                <w:lang w:eastAsia="en-US"/>
              </w:rPr>
            </w:r>
            <w:r>
              <w:rPr>
                <w:sz w:val="24"/>
                <w:szCs w:val="24"/>
                <w:lang w:eastAsia="en-US"/>
              </w:rPr>
            </w:r>
          </w:p>
        </w:tc>
        <w:tc>
          <w:tcPr>
            <w:tcBorders>
              <w:top w:val="single" w:color="auto" w:sz="8" w:space="0"/>
              <w:left w:val="single" w:color="auto" w:sz="8" w:space="0"/>
              <w:bottom w:val="single" w:color="auto" w:sz="8" w:space="0"/>
              <w:right w:val="single" w:color="auto" w:sz="8" w:space="0"/>
            </w:tcBorders>
            <w:tcW w:w="866" w:type="pct"/>
            <w:vAlign w:val="center"/>
            <w:textDirection w:val="lrTb"/>
            <w:noWrap w:val="false"/>
          </w:tcPr>
          <w:p>
            <w:pPr>
              <w:jc w:val="center"/>
              <w:rPr>
                <w:sz w:val="24"/>
                <w:szCs w:val="24"/>
                <w:lang w:eastAsia="en-US"/>
              </w:rPr>
            </w:pPr>
            <w:r>
              <w:rPr>
                <w:sz w:val="24"/>
                <w:szCs w:val="24"/>
                <w:lang w:eastAsia="en-US"/>
              </w:rPr>
              <w:t xml:space="preserve">2,51</w:t>
            </w:r>
            <w:r>
              <w:rPr>
                <w:sz w:val="24"/>
                <w:szCs w:val="24"/>
                <w:lang w:eastAsia="en-US"/>
              </w:rPr>
            </w:r>
            <w:r>
              <w:rPr>
                <w:sz w:val="24"/>
                <w:szCs w:val="24"/>
                <w:lang w:eastAsia="en-US"/>
              </w:rPr>
            </w:r>
          </w:p>
          <w:p>
            <w:pPr>
              <w:jc w:val="center"/>
              <w:rPr>
                <w:sz w:val="24"/>
                <w:szCs w:val="24"/>
                <w:lang w:eastAsia="en-US"/>
              </w:rPr>
            </w:pPr>
            <w:r>
              <w:rPr>
                <w:sz w:val="24"/>
                <w:szCs w:val="24"/>
                <w:lang w:eastAsia="en-US"/>
              </w:rPr>
              <w:t xml:space="preserve">2,12</w:t>
            </w:r>
            <w:r>
              <w:rPr>
                <w:sz w:val="24"/>
                <w:szCs w:val="24"/>
                <w:lang w:eastAsia="en-US"/>
              </w:rPr>
            </w:r>
            <w:r>
              <w:rPr>
                <w:sz w:val="24"/>
                <w:szCs w:val="24"/>
                <w:lang w:eastAsia="en-US"/>
              </w:rPr>
            </w:r>
          </w:p>
        </w:tc>
        <w:tc>
          <w:tcPr>
            <w:tcBorders>
              <w:top w:val="single" w:color="auto" w:sz="8" w:space="0"/>
              <w:left w:val="single" w:color="auto" w:sz="8" w:space="0"/>
              <w:bottom w:val="single" w:color="auto" w:sz="8" w:space="0"/>
              <w:right w:val="single" w:color="auto" w:sz="8" w:space="0"/>
            </w:tcBorders>
            <w:tcW w:w="867" w:type="pct"/>
            <w:vAlign w:val="center"/>
            <w:textDirection w:val="lrTb"/>
            <w:noWrap w:val="false"/>
          </w:tcPr>
          <w:p>
            <w:pPr>
              <w:jc w:val="center"/>
              <w:rPr>
                <w:sz w:val="24"/>
                <w:szCs w:val="24"/>
                <w:lang w:eastAsia="en-US"/>
              </w:rPr>
            </w:pPr>
            <w:r>
              <w:rPr>
                <w:sz w:val="24"/>
                <w:szCs w:val="24"/>
                <w:lang w:eastAsia="en-US"/>
              </w:rPr>
              <w:t xml:space="preserve">467</w:t>
            </w:r>
            <w:r>
              <w:rPr>
                <w:sz w:val="24"/>
                <w:szCs w:val="24"/>
                <w:lang w:eastAsia="en-US"/>
              </w:rPr>
            </w:r>
            <w:r>
              <w:rPr>
                <w:sz w:val="24"/>
                <w:szCs w:val="24"/>
                <w:lang w:eastAsia="en-US"/>
              </w:rPr>
            </w:r>
          </w:p>
          <w:p>
            <w:pPr>
              <w:jc w:val="center"/>
              <w:rPr>
                <w:sz w:val="24"/>
                <w:szCs w:val="24"/>
                <w:lang w:eastAsia="en-US"/>
              </w:rPr>
            </w:pPr>
            <w:r>
              <w:rPr>
                <w:sz w:val="24"/>
                <w:szCs w:val="24"/>
                <w:lang w:eastAsia="en-US"/>
              </w:rPr>
              <w:t xml:space="preserve">395</w:t>
            </w:r>
            <w:r>
              <w:rPr>
                <w:sz w:val="24"/>
                <w:szCs w:val="24"/>
                <w:lang w:eastAsia="en-US"/>
              </w:rPr>
            </w:r>
            <w:r>
              <w:rPr>
                <w:sz w:val="24"/>
                <w:szCs w:val="24"/>
                <w:lang w:eastAsia="en-US"/>
              </w:rPr>
            </w:r>
          </w:p>
        </w:tc>
      </w:tr>
      <w:tr>
        <w:tblPrEx/>
        <w:trPr>
          <w:cantSplit/>
          <w:jc w:val="center"/>
          <w:trHeight w:val="20"/>
        </w:trPr>
        <w:tc>
          <w:tcPr>
            <w:tcBorders>
              <w:top w:val="single" w:color="auto" w:sz="8" w:space="0"/>
              <w:left w:val="single" w:color="auto" w:sz="8" w:space="0"/>
              <w:bottom w:val="single" w:color="auto" w:sz="8" w:space="0"/>
              <w:right w:val="single" w:color="auto" w:sz="8" w:space="0"/>
            </w:tcBorders>
            <w:tcW w:w="583" w:type="pct"/>
            <w:vAlign w:val="center"/>
            <w:textDirection w:val="lrTb"/>
            <w:noWrap w:val="false"/>
          </w:tcPr>
          <w:p>
            <w:pPr>
              <w:jc w:val="center"/>
              <w:rPr>
                <w:sz w:val="24"/>
                <w:szCs w:val="24"/>
                <w:lang w:eastAsia="en-US"/>
              </w:rPr>
            </w:pPr>
            <w:r>
              <w:rPr>
                <w:sz w:val="24"/>
                <w:szCs w:val="24"/>
                <w:lang w:eastAsia="en-US"/>
              </w:rPr>
              <w:t xml:space="preserve">Котельная № 13/73</w:t>
            </w:r>
            <w:r>
              <w:rPr>
                <w:sz w:val="24"/>
                <w:szCs w:val="24"/>
                <w:lang w:eastAsia="en-US"/>
              </w:rPr>
            </w:r>
            <w:r>
              <w:rPr>
                <w:sz w:val="24"/>
                <w:szCs w:val="24"/>
                <w:lang w:eastAsia="en-US"/>
              </w:rPr>
            </w:r>
          </w:p>
        </w:tc>
        <w:tc>
          <w:tcPr>
            <w:tcBorders>
              <w:top w:val="single" w:color="auto" w:sz="8" w:space="0"/>
              <w:left w:val="single" w:color="auto" w:sz="8" w:space="0"/>
              <w:bottom w:val="single" w:color="auto" w:sz="8" w:space="0"/>
              <w:right w:val="single" w:color="auto" w:sz="8" w:space="0"/>
            </w:tcBorders>
            <w:tcW w:w="951" w:type="pct"/>
            <w:vAlign w:val="center"/>
            <w:textDirection w:val="lrTb"/>
            <w:noWrap w:val="false"/>
          </w:tcPr>
          <w:p>
            <w:pPr>
              <w:jc w:val="center"/>
              <w:rPr>
                <w:sz w:val="24"/>
                <w:szCs w:val="24"/>
                <w:lang w:eastAsia="en-US"/>
              </w:rPr>
            </w:pPr>
            <w:r>
              <w:rPr>
                <w:sz w:val="24"/>
                <w:szCs w:val="24"/>
                <w:lang w:eastAsia="en-US"/>
              </w:rPr>
              <w:t xml:space="preserve">0,783</w:t>
            </w:r>
            <w:r>
              <w:rPr>
                <w:sz w:val="24"/>
                <w:szCs w:val="24"/>
                <w:lang w:eastAsia="en-US"/>
              </w:rPr>
            </w:r>
            <w:r>
              <w:rPr>
                <w:sz w:val="24"/>
                <w:szCs w:val="24"/>
                <w:lang w:eastAsia="en-US"/>
              </w:rPr>
            </w:r>
          </w:p>
        </w:tc>
        <w:tc>
          <w:tcPr>
            <w:tcBorders>
              <w:top w:val="single" w:color="auto" w:sz="8" w:space="0"/>
              <w:left w:val="single" w:color="auto" w:sz="8" w:space="0"/>
              <w:bottom w:val="single" w:color="auto" w:sz="8" w:space="0"/>
              <w:right w:val="single" w:color="auto" w:sz="8" w:space="0"/>
            </w:tcBorders>
            <w:tcW w:w="992" w:type="pct"/>
            <w:vAlign w:val="center"/>
            <w:textDirection w:val="lrTb"/>
            <w:noWrap w:val="false"/>
          </w:tcPr>
          <w:p>
            <w:pPr>
              <w:jc w:val="center"/>
              <w:rPr>
                <w:sz w:val="24"/>
                <w:szCs w:val="24"/>
                <w:lang w:eastAsia="en-US"/>
              </w:rPr>
            </w:pPr>
            <w:r>
              <w:rPr>
                <w:sz w:val="24"/>
                <w:szCs w:val="24"/>
                <w:lang w:eastAsia="en-US"/>
              </w:rPr>
              <w:t xml:space="preserve">0,194</w:t>
            </w:r>
            <w:r>
              <w:rPr>
                <w:sz w:val="24"/>
                <w:szCs w:val="24"/>
                <w:lang w:eastAsia="en-US"/>
              </w:rPr>
            </w:r>
            <w:r>
              <w:rPr>
                <w:sz w:val="24"/>
                <w:szCs w:val="24"/>
                <w:lang w:eastAsia="en-US"/>
              </w:rPr>
            </w:r>
          </w:p>
        </w:tc>
        <w:tc>
          <w:tcPr>
            <w:tcBorders>
              <w:top w:val="single" w:color="auto" w:sz="8" w:space="0"/>
              <w:left w:val="single" w:color="auto" w:sz="8" w:space="0"/>
              <w:bottom w:val="single" w:color="auto" w:sz="8" w:space="0"/>
              <w:right w:val="single" w:color="auto" w:sz="8" w:space="0"/>
            </w:tcBorders>
            <w:tcW w:w="741" w:type="pct"/>
            <w:vAlign w:val="center"/>
            <w:textDirection w:val="lrTb"/>
            <w:noWrap w:val="false"/>
          </w:tcPr>
          <w:p>
            <w:pPr>
              <w:jc w:val="center"/>
              <w:rPr>
                <w:sz w:val="24"/>
                <w:szCs w:val="24"/>
                <w:lang w:eastAsia="en-US"/>
              </w:rPr>
            </w:pPr>
            <w:r>
              <w:rPr>
                <w:sz w:val="24"/>
                <w:szCs w:val="24"/>
                <w:lang w:eastAsia="en-US"/>
              </w:rPr>
              <w:t xml:space="preserve">230,02</w:t>
            </w:r>
            <w:r>
              <w:rPr>
                <w:sz w:val="24"/>
                <w:szCs w:val="24"/>
                <w:lang w:eastAsia="en-US"/>
              </w:rPr>
            </w:r>
            <w:r>
              <w:rPr>
                <w:sz w:val="24"/>
                <w:szCs w:val="24"/>
                <w:lang w:eastAsia="en-US"/>
              </w:rPr>
            </w:r>
          </w:p>
        </w:tc>
        <w:tc>
          <w:tcPr>
            <w:tcBorders>
              <w:top w:val="single" w:color="auto" w:sz="8" w:space="0"/>
              <w:left w:val="single" w:color="auto" w:sz="8" w:space="0"/>
              <w:bottom w:val="single" w:color="auto" w:sz="8" w:space="0"/>
              <w:right w:val="single" w:color="auto" w:sz="8" w:space="0"/>
            </w:tcBorders>
            <w:tcW w:w="866" w:type="pct"/>
            <w:vAlign w:val="center"/>
            <w:textDirection w:val="lrTb"/>
            <w:noWrap w:val="false"/>
          </w:tcPr>
          <w:p>
            <w:pPr>
              <w:jc w:val="center"/>
              <w:rPr>
                <w:sz w:val="24"/>
                <w:szCs w:val="24"/>
                <w:lang w:eastAsia="en-US"/>
              </w:rPr>
            </w:pPr>
            <w:r>
              <w:rPr>
                <w:sz w:val="24"/>
                <w:szCs w:val="24"/>
                <w:lang w:eastAsia="en-US"/>
              </w:rPr>
              <w:t xml:space="preserve">2,73</w:t>
            </w:r>
            <w:r>
              <w:rPr>
                <w:sz w:val="24"/>
                <w:szCs w:val="24"/>
                <w:lang w:eastAsia="en-US"/>
              </w:rPr>
            </w:r>
            <w:r>
              <w:rPr>
                <w:sz w:val="24"/>
                <w:szCs w:val="24"/>
                <w:lang w:eastAsia="en-US"/>
              </w:rPr>
            </w:r>
          </w:p>
          <w:p>
            <w:pPr>
              <w:jc w:val="center"/>
              <w:rPr>
                <w:sz w:val="24"/>
                <w:szCs w:val="24"/>
                <w:lang w:eastAsia="en-US"/>
              </w:rPr>
            </w:pPr>
            <w:r>
              <w:rPr>
                <w:sz w:val="24"/>
                <w:szCs w:val="24"/>
                <w:lang w:eastAsia="en-US"/>
              </w:rPr>
              <w:t xml:space="preserve">2,19</w:t>
            </w:r>
            <w:r>
              <w:rPr>
                <w:sz w:val="24"/>
                <w:szCs w:val="24"/>
                <w:lang w:eastAsia="en-US"/>
              </w:rPr>
            </w:r>
            <w:r>
              <w:rPr>
                <w:sz w:val="24"/>
                <w:szCs w:val="24"/>
                <w:lang w:eastAsia="en-US"/>
              </w:rPr>
            </w:r>
          </w:p>
        </w:tc>
        <w:tc>
          <w:tcPr>
            <w:tcBorders>
              <w:top w:val="single" w:color="auto" w:sz="8" w:space="0"/>
              <w:left w:val="single" w:color="auto" w:sz="8" w:space="0"/>
              <w:bottom w:val="single" w:color="auto" w:sz="8" w:space="0"/>
              <w:right w:val="single" w:color="auto" w:sz="8" w:space="0"/>
            </w:tcBorders>
            <w:tcW w:w="867" w:type="pct"/>
            <w:vAlign w:val="center"/>
            <w:textDirection w:val="lrTb"/>
            <w:noWrap w:val="false"/>
          </w:tcPr>
          <w:p>
            <w:pPr>
              <w:jc w:val="center"/>
              <w:rPr>
                <w:sz w:val="24"/>
                <w:szCs w:val="24"/>
                <w:lang w:eastAsia="en-US"/>
              </w:rPr>
            </w:pPr>
            <w:r>
              <w:rPr>
                <w:sz w:val="24"/>
                <w:szCs w:val="24"/>
                <w:lang w:eastAsia="en-US"/>
              </w:rPr>
              <w:t xml:space="preserve">761</w:t>
            </w:r>
            <w:r>
              <w:rPr>
                <w:sz w:val="24"/>
                <w:szCs w:val="24"/>
                <w:lang w:eastAsia="en-US"/>
              </w:rPr>
            </w:r>
            <w:r>
              <w:rPr>
                <w:sz w:val="24"/>
                <w:szCs w:val="24"/>
                <w:lang w:eastAsia="en-US"/>
              </w:rPr>
            </w:r>
          </w:p>
          <w:p>
            <w:pPr>
              <w:jc w:val="center"/>
              <w:rPr>
                <w:sz w:val="24"/>
                <w:szCs w:val="24"/>
                <w:lang w:eastAsia="en-US"/>
              </w:rPr>
            </w:pPr>
            <w:r>
              <w:rPr>
                <w:sz w:val="24"/>
                <w:szCs w:val="24"/>
                <w:lang w:eastAsia="en-US"/>
              </w:rPr>
              <w:t xml:space="preserve">609</w:t>
            </w:r>
            <w:r>
              <w:rPr>
                <w:sz w:val="24"/>
                <w:szCs w:val="24"/>
                <w:lang w:eastAsia="en-US"/>
              </w:rPr>
            </w:r>
            <w:r>
              <w:rPr>
                <w:sz w:val="24"/>
                <w:szCs w:val="24"/>
                <w:lang w:eastAsia="en-US"/>
              </w:rPr>
            </w:r>
          </w:p>
        </w:tc>
      </w:tr>
      <w:tr>
        <w:tblPrEx/>
        <w:trPr>
          <w:cantSplit/>
          <w:jc w:val="center"/>
          <w:trHeight w:val="20"/>
        </w:trPr>
        <w:tc>
          <w:tcPr>
            <w:tcBorders>
              <w:top w:val="single" w:color="auto" w:sz="8" w:space="0"/>
              <w:left w:val="single" w:color="auto" w:sz="8" w:space="0"/>
              <w:bottom w:val="single" w:color="auto" w:sz="8" w:space="0"/>
              <w:right w:val="single" w:color="auto" w:sz="8" w:space="0"/>
            </w:tcBorders>
            <w:tcW w:w="583" w:type="pct"/>
            <w:vAlign w:val="center"/>
            <w:textDirection w:val="lrTb"/>
            <w:noWrap w:val="false"/>
          </w:tcPr>
          <w:p>
            <w:pPr>
              <w:jc w:val="center"/>
              <w:rPr>
                <w:sz w:val="24"/>
                <w:szCs w:val="24"/>
                <w:lang w:eastAsia="en-US"/>
              </w:rPr>
            </w:pPr>
            <w:r>
              <w:rPr>
                <w:sz w:val="24"/>
                <w:szCs w:val="24"/>
                <w:lang w:eastAsia="en-US"/>
              </w:rPr>
              <w:t xml:space="preserve">Котельная № 4/152</w:t>
            </w:r>
            <w:r>
              <w:rPr>
                <w:sz w:val="24"/>
                <w:szCs w:val="24"/>
                <w:lang w:eastAsia="en-US"/>
              </w:rPr>
            </w:r>
            <w:r>
              <w:rPr>
                <w:sz w:val="24"/>
                <w:szCs w:val="24"/>
                <w:lang w:eastAsia="en-US"/>
              </w:rPr>
            </w:r>
          </w:p>
        </w:tc>
        <w:tc>
          <w:tcPr>
            <w:tcBorders>
              <w:top w:val="single" w:color="auto" w:sz="8" w:space="0"/>
              <w:left w:val="single" w:color="auto" w:sz="8" w:space="0"/>
              <w:bottom w:val="single" w:color="auto" w:sz="8" w:space="0"/>
              <w:right w:val="single" w:color="auto" w:sz="8" w:space="0"/>
            </w:tcBorders>
            <w:tcW w:w="951" w:type="pct"/>
            <w:vAlign w:val="center"/>
            <w:textDirection w:val="lrTb"/>
            <w:noWrap w:val="false"/>
          </w:tcPr>
          <w:p>
            <w:pPr>
              <w:jc w:val="center"/>
              <w:rPr>
                <w:sz w:val="24"/>
                <w:szCs w:val="24"/>
                <w:lang w:eastAsia="en-US"/>
              </w:rPr>
            </w:pPr>
            <w:r>
              <w:rPr>
                <w:sz w:val="24"/>
                <w:szCs w:val="24"/>
                <w:lang w:eastAsia="en-US"/>
              </w:rPr>
              <w:t xml:space="preserve">0,657</w:t>
            </w:r>
            <w:r>
              <w:rPr>
                <w:sz w:val="24"/>
                <w:szCs w:val="24"/>
                <w:lang w:eastAsia="en-US"/>
              </w:rPr>
            </w:r>
            <w:r>
              <w:rPr>
                <w:sz w:val="24"/>
                <w:szCs w:val="24"/>
                <w:lang w:eastAsia="en-US"/>
              </w:rPr>
            </w:r>
          </w:p>
        </w:tc>
        <w:tc>
          <w:tcPr>
            <w:tcBorders>
              <w:top w:val="single" w:color="auto" w:sz="8" w:space="0"/>
              <w:left w:val="single" w:color="auto" w:sz="8" w:space="0"/>
              <w:bottom w:val="single" w:color="auto" w:sz="8" w:space="0"/>
              <w:right w:val="single" w:color="auto" w:sz="8" w:space="0"/>
            </w:tcBorders>
            <w:tcW w:w="992" w:type="pct"/>
            <w:vAlign w:val="center"/>
            <w:textDirection w:val="lrTb"/>
            <w:noWrap w:val="false"/>
          </w:tcPr>
          <w:p>
            <w:pPr>
              <w:jc w:val="center"/>
              <w:rPr>
                <w:sz w:val="24"/>
                <w:szCs w:val="24"/>
                <w:lang w:eastAsia="en-US"/>
              </w:rPr>
            </w:pPr>
            <w:r>
              <w:rPr>
                <w:sz w:val="24"/>
                <w:szCs w:val="24"/>
                <w:lang w:eastAsia="en-US"/>
              </w:rPr>
              <w:t xml:space="preserve">0,233</w:t>
            </w:r>
            <w:r>
              <w:rPr>
                <w:sz w:val="24"/>
                <w:szCs w:val="24"/>
                <w:lang w:eastAsia="en-US"/>
              </w:rPr>
            </w:r>
            <w:r>
              <w:rPr>
                <w:sz w:val="24"/>
                <w:szCs w:val="24"/>
                <w:lang w:eastAsia="en-US"/>
              </w:rPr>
            </w:r>
          </w:p>
        </w:tc>
        <w:tc>
          <w:tcPr>
            <w:tcBorders>
              <w:top w:val="single" w:color="auto" w:sz="8" w:space="0"/>
              <w:left w:val="single" w:color="auto" w:sz="8" w:space="0"/>
              <w:bottom w:val="single" w:color="auto" w:sz="8" w:space="0"/>
              <w:right w:val="single" w:color="auto" w:sz="8" w:space="0"/>
            </w:tcBorders>
            <w:tcW w:w="741" w:type="pct"/>
            <w:vAlign w:val="center"/>
            <w:textDirection w:val="lrTb"/>
            <w:noWrap w:val="false"/>
          </w:tcPr>
          <w:p>
            <w:pPr>
              <w:jc w:val="center"/>
              <w:rPr>
                <w:sz w:val="24"/>
                <w:szCs w:val="24"/>
                <w:lang w:eastAsia="en-US"/>
              </w:rPr>
            </w:pPr>
            <w:r>
              <w:rPr>
                <w:sz w:val="24"/>
                <w:szCs w:val="24"/>
                <w:lang w:eastAsia="en-US"/>
              </w:rPr>
              <w:t xml:space="preserve">229,76</w:t>
            </w:r>
            <w:r>
              <w:rPr>
                <w:sz w:val="24"/>
                <w:szCs w:val="24"/>
                <w:lang w:eastAsia="en-US"/>
              </w:rPr>
            </w:r>
            <w:r>
              <w:rPr>
                <w:sz w:val="24"/>
                <w:szCs w:val="24"/>
                <w:lang w:eastAsia="en-US"/>
              </w:rPr>
            </w:r>
          </w:p>
        </w:tc>
        <w:tc>
          <w:tcPr>
            <w:tcBorders>
              <w:top w:val="single" w:color="auto" w:sz="8" w:space="0"/>
              <w:left w:val="single" w:color="auto" w:sz="8" w:space="0"/>
              <w:bottom w:val="single" w:color="auto" w:sz="8" w:space="0"/>
              <w:right w:val="single" w:color="auto" w:sz="8" w:space="0"/>
            </w:tcBorders>
            <w:tcW w:w="866" w:type="pct"/>
            <w:vAlign w:val="center"/>
            <w:textDirection w:val="lrTb"/>
            <w:noWrap w:val="false"/>
          </w:tcPr>
          <w:p>
            <w:pPr>
              <w:jc w:val="center"/>
              <w:rPr>
                <w:sz w:val="24"/>
                <w:szCs w:val="24"/>
                <w:lang w:eastAsia="en-US"/>
              </w:rPr>
            </w:pPr>
            <w:r>
              <w:rPr>
                <w:sz w:val="24"/>
                <w:szCs w:val="24"/>
                <w:lang w:eastAsia="en-US"/>
              </w:rPr>
              <w:t xml:space="preserve">2,04</w:t>
            </w:r>
            <w:r>
              <w:rPr>
                <w:sz w:val="24"/>
                <w:szCs w:val="24"/>
                <w:lang w:eastAsia="en-US"/>
              </w:rPr>
            </w:r>
            <w:r>
              <w:rPr>
                <w:sz w:val="24"/>
                <w:szCs w:val="24"/>
                <w:lang w:eastAsia="en-US"/>
              </w:rPr>
            </w:r>
          </w:p>
          <w:p>
            <w:pPr>
              <w:jc w:val="center"/>
              <w:rPr>
                <w:sz w:val="24"/>
                <w:szCs w:val="24"/>
                <w:lang w:eastAsia="en-US"/>
              </w:rPr>
            </w:pPr>
            <w:r>
              <w:rPr>
                <w:sz w:val="24"/>
                <w:szCs w:val="24"/>
                <w:lang w:eastAsia="en-US"/>
              </w:rPr>
              <w:t xml:space="preserve">1,72</w:t>
            </w:r>
            <w:r>
              <w:rPr>
                <w:sz w:val="24"/>
                <w:szCs w:val="24"/>
                <w:lang w:eastAsia="en-US"/>
              </w:rPr>
            </w:r>
            <w:r>
              <w:rPr>
                <w:sz w:val="24"/>
                <w:szCs w:val="24"/>
                <w:lang w:eastAsia="en-US"/>
              </w:rPr>
            </w:r>
          </w:p>
        </w:tc>
        <w:tc>
          <w:tcPr>
            <w:tcBorders>
              <w:top w:val="single" w:color="auto" w:sz="8" w:space="0"/>
              <w:left w:val="single" w:color="auto" w:sz="8" w:space="0"/>
              <w:bottom w:val="single" w:color="auto" w:sz="8" w:space="0"/>
              <w:right w:val="single" w:color="auto" w:sz="8" w:space="0"/>
            </w:tcBorders>
            <w:tcW w:w="867" w:type="pct"/>
            <w:vAlign w:val="center"/>
            <w:textDirection w:val="lrTb"/>
            <w:noWrap w:val="false"/>
          </w:tcPr>
          <w:p>
            <w:pPr>
              <w:jc w:val="center"/>
              <w:rPr>
                <w:sz w:val="24"/>
                <w:szCs w:val="24"/>
                <w:lang w:eastAsia="en-US"/>
              </w:rPr>
            </w:pPr>
            <w:r>
              <w:rPr>
                <w:sz w:val="24"/>
                <w:szCs w:val="24"/>
                <w:lang w:eastAsia="en-US"/>
              </w:rPr>
              <w:t xml:space="preserve">814</w:t>
            </w:r>
            <w:r>
              <w:rPr>
                <w:sz w:val="24"/>
                <w:szCs w:val="24"/>
                <w:lang w:eastAsia="en-US"/>
              </w:rPr>
            </w:r>
            <w:r>
              <w:rPr>
                <w:sz w:val="24"/>
                <w:szCs w:val="24"/>
                <w:lang w:eastAsia="en-US"/>
              </w:rPr>
            </w:r>
          </w:p>
          <w:p>
            <w:pPr>
              <w:jc w:val="center"/>
              <w:rPr>
                <w:sz w:val="24"/>
                <w:szCs w:val="24"/>
                <w:lang w:eastAsia="en-US"/>
              </w:rPr>
            </w:pPr>
            <w:r>
              <w:rPr>
                <w:sz w:val="24"/>
                <w:szCs w:val="24"/>
                <w:lang w:eastAsia="en-US"/>
              </w:rPr>
              <w:t xml:space="preserve">686</w:t>
            </w:r>
            <w:r>
              <w:rPr>
                <w:sz w:val="24"/>
                <w:szCs w:val="24"/>
                <w:lang w:eastAsia="en-US"/>
              </w:rPr>
            </w:r>
            <w:r>
              <w:rPr>
                <w:sz w:val="24"/>
                <w:szCs w:val="24"/>
                <w:lang w:eastAsia="en-US"/>
              </w:rPr>
            </w:r>
          </w:p>
        </w:tc>
      </w:tr>
      <w:tr>
        <w:tblPrEx/>
        <w:trPr>
          <w:cantSplit/>
          <w:jc w:val="center"/>
          <w:trHeight w:val="20"/>
        </w:trPr>
        <w:tc>
          <w:tcPr>
            <w:tcBorders>
              <w:top w:val="single" w:color="auto" w:sz="8" w:space="0"/>
              <w:left w:val="single" w:color="auto" w:sz="8" w:space="0"/>
              <w:bottom w:val="single" w:color="auto" w:sz="8" w:space="0"/>
              <w:right w:val="single" w:color="auto" w:sz="8" w:space="0"/>
            </w:tcBorders>
            <w:tcW w:w="583" w:type="pct"/>
            <w:vAlign w:val="center"/>
            <w:textDirection w:val="lrTb"/>
            <w:noWrap w:val="false"/>
          </w:tcPr>
          <w:p>
            <w:pPr>
              <w:jc w:val="center"/>
              <w:rPr>
                <w:sz w:val="24"/>
                <w:szCs w:val="24"/>
                <w:lang w:eastAsia="en-US"/>
              </w:rPr>
            </w:pPr>
            <w:r>
              <w:rPr>
                <w:sz w:val="24"/>
                <w:szCs w:val="24"/>
                <w:lang w:eastAsia="en-US"/>
              </w:rPr>
              <w:t xml:space="preserve">Котельная № 42/138</w:t>
            </w:r>
            <w:r>
              <w:rPr>
                <w:sz w:val="24"/>
                <w:szCs w:val="24"/>
                <w:lang w:eastAsia="en-US"/>
              </w:rPr>
            </w:r>
            <w:r>
              <w:rPr>
                <w:sz w:val="24"/>
                <w:szCs w:val="24"/>
                <w:lang w:eastAsia="en-US"/>
              </w:rPr>
            </w:r>
          </w:p>
        </w:tc>
        <w:tc>
          <w:tcPr>
            <w:tcBorders>
              <w:top w:val="single" w:color="auto" w:sz="8" w:space="0"/>
              <w:left w:val="single" w:color="auto" w:sz="8" w:space="0"/>
              <w:bottom w:val="single" w:color="auto" w:sz="8" w:space="0"/>
              <w:right w:val="single" w:color="auto" w:sz="8" w:space="0"/>
            </w:tcBorders>
            <w:tcW w:w="951" w:type="pct"/>
            <w:vAlign w:val="center"/>
            <w:textDirection w:val="lrTb"/>
            <w:noWrap w:val="false"/>
          </w:tcPr>
          <w:p>
            <w:pPr>
              <w:jc w:val="center"/>
              <w:rPr>
                <w:sz w:val="24"/>
                <w:szCs w:val="24"/>
                <w:lang w:eastAsia="en-US"/>
              </w:rPr>
            </w:pPr>
            <w:r>
              <w:rPr>
                <w:sz w:val="24"/>
                <w:szCs w:val="24"/>
                <w:lang w:eastAsia="en-US"/>
              </w:rPr>
              <w:t xml:space="preserve">0,649</w:t>
            </w:r>
            <w:r>
              <w:rPr>
                <w:sz w:val="24"/>
                <w:szCs w:val="24"/>
                <w:lang w:eastAsia="en-US"/>
              </w:rPr>
            </w:r>
            <w:r>
              <w:rPr>
                <w:sz w:val="24"/>
                <w:szCs w:val="24"/>
                <w:lang w:eastAsia="en-US"/>
              </w:rPr>
            </w:r>
          </w:p>
        </w:tc>
        <w:tc>
          <w:tcPr>
            <w:tcBorders>
              <w:top w:val="single" w:color="auto" w:sz="8" w:space="0"/>
              <w:left w:val="single" w:color="auto" w:sz="8" w:space="0"/>
              <w:bottom w:val="single" w:color="auto" w:sz="8" w:space="0"/>
              <w:right w:val="single" w:color="auto" w:sz="8" w:space="0"/>
            </w:tcBorders>
            <w:tcW w:w="992" w:type="pct"/>
            <w:vAlign w:val="center"/>
            <w:textDirection w:val="lrTb"/>
            <w:noWrap w:val="false"/>
          </w:tcPr>
          <w:p>
            <w:pPr>
              <w:jc w:val="center"/>
              <w:rPr>
                <w:sz w:val="24"/>
                <w:szCs w:val="24"/>
                <w:lang w:eastAsia="en-US"/>
              </w:rPr>
            </w:pPr>
            <w:r>
              <w:rPr>
                <w:sz w:val="24"/>
                <w:szCs w:val="24"/>
                <w:lang w:eastAsia="en-US"/>
              </w:rPr>
              <w:t xml:space="preserve">0,078</w:t>
            </w:r>
            <w:r>
              <w:rPr>
                <w:sz w:val="24"/>
                <w:szCs w:val="24"/>
                <w:lang w:eastAsia="en-US"/>
              </w:rPr>
            </w:r>
            <w:r>
              <w:rPr>
                <w:sz w:val="24"/>
                <w:szCs w:val="24"/>
                <w:lang w:eastAsia="en-US"/>
              </w:rPr>
            </w:r>
          </w:p>
        </w:tc>
        <w:tc>
          <w:tcPr>
            <w:tcBorders>
              <w:top w:val="single" w:color="auto" w:sz="8" w:space="0"/>
              <w:left w:val="single" w:color="auto" w:sz="8" w:space="0"/>
              <w:bottom w:val="single" w:color="auto" w:sz="8" w:space="0"/>
              <w:right w:val="single" w:color="auto" w:sz="8" w:space="0"/>
            </w:tcBorders>
            <w:tcW w:w="741" w:type="pct"/>
            <w:vAlign w:val="center"/>
            <w:textDirection w:val="lrTb"/>
            <w:noWrap w:val="false"/>
          </w:tcPr>
          <w:p>
            <w:pPr>
              <w:jc w:val="center"/>
              <w:rPr>
                <w:sz w:val="24"/>
                <w:szCs w:val="24"/>
                <w:lang w:eastAsia="en-US"/>
              </w:rPr>
            </w:pPr>
            <w:r>
              <w:rPr>
                <w:sz w:val="24"/>
                <w:szCs w:val="24"/>
                <w:lang w:eastAsia="en-US"/>
              </w:rPr>
              <w:t xml:space="preserve">292,22</w:t>
            </w:r>
            <w:r>
              <w:rPr>
                <w:sz w:val="24"/>
                <w:szCs w:val="24"/>
                <w:lang w:eastAsia="en-US"/>
              </w:rPr>
            </w:r>
            <w:r>
              <w:rPr>
                <w:sz w:val="24"/>
                <w:szCs w:val="24"/>
                <w:lang w:eastAsia="en-US"/>
              </w:rPr>
            </w:r>
          </w:p>
        </w:tc>
        <w:tc>
          <w:tcPr>
            <w:tcBorders>
              <w:top w:val="single" w:color="auto" w:sz="8" w:space="0"/>
              <w:left w:val="single" w:color="auto" w:sz="8" w:space="0"/>
              <w:bottom w:val="single" w:color="auto" w:sz="8" w:space="0"/>
              <w:right w:val="single" w:color="auto" w:sz="8" w:space="0"/>
            </w:tcBorders>
            <w:tcW w:w="866" w:type="pct"/>
            <w:vAlign w:val="center"/>
            <w:textDirection w:val="lrTb"/>
            <w:noWrap w:val="false"/>
          </w:tcPr>
          <w:p>
            <w:pPr>
              <w:jc w:val="center"/>
              <w:rPr>
                <w:sz w:val="24"/>
                <w:szCs w:val="24"/>
                <w:lang w:eastAsia="en-US"/>
              </w:rPr>
            </w:pPr>
            <w:r>
              <w:rPr>
                <w:sz w:val="24"/>
                <w:szCs w:val="24"/>
                <w:lang w:eastAsia="en-US"/>
              </w:rPr>
              <w:t xml:space="preserve">2,70</w:t>
            </w:r>
            <w:r>
              <w:rPr>
                <w:sz w:val="24"/>
                <w:szCs w:val="24"/>
                <w:lang w:eastAsia="en-US"/>
              </w:rPr>
            </w:r>
            <w:r>
              <w:rPr>
                <w:sz w:val="24"/>
                <w:szCs w:val="24"/>
                <w:lang w:eastAsia="en-US"/>
              </w:rPr>
            </w:r>
          </w:p>
          <w:p>
            <w:pPr>
              <w:jc w:val="center"/>
              <w:rPr>
                <w:sz w:val="24"/>
                <w:szCs w:val="24"/>
                <w:lang w:eastAsia="en-US"/>
              </w:rPr>
            </w:pPr>
            <w:r>
              <w:rPr>
                <w:sz w:val="24"/>
                <w:szCs w:val="24"/>
                <w:lang w:eastAsia="en-US"/>
              </w:rPr>
              <w:t xml:space="preserve">3,16</w:t>
            </w:r>
            <w:r>
              <w:rPr>
                <w:sz w:val="24"/>
                <w:szCs w:val="24"/>
                <w:lang w:eastAsia="en-US"/>
              </w:rPr>
            </w:r>
            <w:r>
              <w:rPr>
                <w:sz w:val="24"/>
                <w:szCs w:val="24"/>
                <w:lang w:eastAsia="en-US"/>
              </w:rPr>
            </w:r>
          </w:p>
        </w:tc>
        <w:tc>
          <w:tcPr>
            <w:tcBorders>
              <w:top w:val="single" w:color="auto" w:sz="8" w:space="0"/>
              <w:left w:val="single" w:color="auto" w:sz="8" w:space="0"/>
              <w:bottom w:val="single" w:color="auto" w:sz="8" w:space="0"/>
              <w:right w:val="single" w:color="auto" w:sz="8" w:space="0"/>
            </w:tcBorders>
            <w:tcW w:w="867" w:type="pct"/>
            <w:vAlign w:val="center"/>
            <w:textDirection w:val="lrTb"/>
            <w:noWrap w:val="false"/>
          </w:tcPr>
          <w:p>
            <w:pPr>
              <w:jc w:val="center"/>
              <w:rPr>
                <w:sz w:val="24"/>
                <w:szCs w:val="24"/>
                <w:lang w:eastAsia="en-US"/>
              </w:rPr>
            </w:pPr>
            <w:r>
              <w:rPr>
                <w:sz w:val="24"/>
                <w:szCs w:val="24"/>
                <w:lang w:eastAsia="en-US"/>
              </w:rPr>
              <w:t xml:space="preserve">2318</w:t>
            </w:r>
            <w:r>
              <w:rPr>
                <w:sz w:val="24"/>
                <w:szCs w:val="24"/>
                <w:lang w:eastAsia="en-US"/>
              </w:rPr>
            </w:r>
            <w:r>
              <w:rPr>
                <w:sz w:val="24"/>
                <w:szCs w:val="24"/>
                <w:lang w:eastAsia="en-US"/>
              </w:rPr>
            </w:r>
          </w:p>
          <w:p>
            <w:pPr>
              <w:jc w:val="center"/>
              <w:rPr>
                <w:sz w:val="24"/>
                <w:szCs w:val="24"/>
                <w:lang w:eastAsia="en-US"/>
              </w:rPr>
            </w:pPr>
            <w:r>
              <w:rPr>
                <w:sz w:val="24"/>
                <w:szCs w:val="24"/>
                <w:lang w:eastAsia="en-US"/>
              </w:rPr>
              <w:t xml:space="preserve">2707</w:t>
            </w:r>
            <w:r>
              <w:rPr>
                <w:sz w:val="24"/>
                <w:szCs w:val="24"/>
                <w:lang w:eastAsia="en-US"/>
              </w:rPr>
            </w:r>
            <w:r>
              <w:rPr>
                <w:sz w:val="24"/>
                <w:szCs w:val="24"/>
                <w:lang w:eastAsia="en-US"/>
              </w:rPr>
            </w:r>
          </w:p>
        </w:tc>
      </w:tr>
      <w:tr>
        <w:tblPrEx/>
        <w:trPr>
          <w:cantSplit/>
          <w:jc w:val="center"/>
          <w:trHeight w:val="20"/>
        </w:trPr>
        <w:tc>
          <w:tcPr>
            <w:tcBorders>
              <w:top w:val="single" w:color="auto" w:sz="8" w:space="0"/>
              <w:left w:val="single" w:color="auto" w:sz="8" w:space="0"/>
              <w:bottom w:val="single" w:color="auto" w:sz="8" w:space="0"/>
              <w:right w:val="single" w:color="auto" w:sz="8" w:space="0"/>
            </w:tcBorders>
            <w:tcW w:w="583" w:type="pct"/>
            <w:vAlign w:val="center"/>
            <w:textDirection w:val="lrTb"/>
            <w:noWrap w:val="false"/>
          </w:tcPr>
          <w:p>
            <w:pPr>
              <w:jc w:val="center"/>
              <w:rPr>
                <w:b/>
                <w:sz w:val="24"/>
                <w:szCs w:val="24"/>
                <w:lang w:eastAsia="en-US"/>
              </w:rPr>
            </w:pPr>
            <w:r>
              <w:rPr>
                <w:b/>
                <w:sz w:val="24"/>
                <w:szCs w:val="24"/>
                <w:lang w:eastAsia="en-US"/>
              </w:rPr>
              <w:t xml:space="preserve">2026 -2033 г. г.</w:t>
            </w:r>
            <w:r>
              <w:rPr>
                <w:b/>
                <w:sz w:val="24"/>
                <w:szCs w:val="24"/>
                <w:lang w:eastAsia="en-US"/>
              </w:rPr>
            </w:r>
            <w:r>
              <w:rPr>
                <w:b/>
                <w:sz w:val="24"/>
                <w:szCs w:val="24"/>
                <w:lang w:eastAsia="en-US"/>
              </w:rPr>
            </w:r>
          </w:p>
          <w:p>
            <w:pPr>
              <w:jc w:val="center"/>
              <w:rPr>
                <w:sz w:val="24"/>
                <w:szCs w:val="24"/>
                <w:lang w:eastAsia="en-US"/>
              </w:rPr>
            </w:pPr>
            <w:r>
              <w:rPr>
                <w:sz w:val="24"/>
                <w:szCs w:val="24"/>
                <w:lang w:eastAsia="en-US"/>
              </w:rPr>
              <w:t xml:space="preserve">в т.ч.</w:t>
            </w:r>
            <w:r>
              <w:rPr>
                <w:sz w:val="24"/>
                <w:szCs w:val="24"/>
                <w:lang w:eastAsia="en-US"/>
              </w:rPr>
            </w:r>
            <w:r>
              <w:rPr>
                <w:sz w:val="24"/>
                <w:szCs w:val="24"/>
                <w:lang w:eastAsia="en-US"/>
              </w:rPr>
            </w:r>
          </w:p>
        </w:tc>
        <w:tc>
          <w:tcPr>
            <w:tcBorders>
              <w:top w:val="single" w:color="auto" w:sz="8" w:space="0"/>
              <w:left w:val="single" w:color="auto" w:sz="8" w:space="0"/>
              <w:bottom w:val="single" w:color="auto" w:sz="8" w:space="0"/>
              <w:right w:val="single" w:color="auto" w:sz="8" w:space="0"/>
            </w:tcBorders>
            <w:tcW w:w="951" w:type="pct"/>
            <w:vAlign w:val="center"/>
            <w:textDirection w:val="lrTb"/>
            <w:noWrap w:val="false"/>
          </w:tcPr>
          <w:p>
            <w:pPr>
              <w:jc w:val="center"/>
              <w:rPr>
                <w:b/>
                <w:sz w:val="24"/>
                <w:szCs w:val="24"/>
                <w:lang w:eastAsia="en-US"/>
              </w:rPr>
            </w:pPr>
            <w:r>
              <w:rPr>
                <w:b/>
                <w:sz w:val="24"/>
                <w:szCs w:val="24"/>
                <w:lang w:eastAsia="en-US"/>
              </w:rPr>
              <w:t xml:space="preserve">0,152</w:t>
            </w:r>
            <w:r>
              <w:rPr>
                <w:b/>
                <w:sz w:val="24"/>
                <w:szCs w:val="24"/>
                <w:lang w:eastAsia="en-US"/>
              </w:rPr>
            </w:r>
            <w:r>
              <w:rPr>
                <w:b/>
                <w:sz w:val="24"/>
                <w:szCs w:val="24"/>
                <w:lang w:eastAsia="en-US"/>
              </w:rPr>
            </w:r>
          </w:p>
        </w:tc>
        <w:tc>
          <w:tcPr>
            <w:tcBorders>
              <w:top w:val="single" w:color="auto" w:sz="8" w:space="0"/>
              <w:left w:val="single" w:color="auto" w:sz="8" w:space="0"/>
              <w:bottom w:val="single" w:color="auto" w:sz="8" w:space="0"/>
              <w:right w:val="single" w:color="auto" w:sz="8" w:space="0"/>
            </w:tcBorders>
            <w:tcW w:w="992" w:type="pct"/>
            <w:vAlign w:val="center"/>
            <w:textDirection w:val="lrTb"/>
            <w:noWrap w:val="false"/>
          </w:tcPr>
          <w:p>
            <w:pPr>
              <w:jc w:val="center"/>
              <w:rPr>
                <w:b/>
                <w:sz w:val="24"/>
                <w:szCs w:val="24"/>
                <w:lang w:eastAsia="en-US"/>
              </w:rPr>
            </w:pPr>
            <w:r>
              <w:rPr>
                <w:b/>
                <w:sz w:val="24"/>
                <w:szCs w:val="24"/>
                <w:lang w:eastAsia="en-US"/>
              </w:rPr>
              <w:t xml:space="preserve">0</w:t>
            </w:r>
            <w:r>
              <w:rPr>
                <w:b/>
                <w:sz w:val="24"/>
                <w:szCs w:val="24"/>
                <w:lang w:eastAsia="en-US"/>
              </w:rPr>
            </w:r>
            <w:r>
              <w:rPr>
                <w:b/>
                <w:sz w:val="24"/>
                <w:szCs w:val="24"/>
                <w:lang w:eastAsia="en-US"/>
              </w:rPr>
            </w:r>
          </w:p>
        </w:tc>
        <w:tc>
          <w:tcPr>
            <w:tcBorders>
              <w:top w:val="single" w:color="auto" w:sz="8" w:space="0"/>
              <w:left w:val="single" w:color="auto" w:sz="8" w:space="0"/>
              <w:bottom w:val="single" w:color="auto" w:sz="8" w:space="0"/>
              <w:right w:val="single" w:color="auto" w:sz="8" w:space="0"/>
            </w:tcBorders>
            <w:tcW w:w="741" w:type="pct"/>
            <w:vAlign w:val="center"/>
            <w:textDirection w:val="lrTb"/>
            <w:noWrap w:val="false"/>
          </w:tcPr>
          <w:p>
            <w:pPr>
              <w:jc w:val="center"/>
              <w:rPr>
                <w:b/>
                <w:sz w:val="24"/>
                <w:szCs w:val="24"/>
                <w:lang w:eastAsia="en-US"/>
              </w:rPr>
            </w:pPr>
            <w:r>
              <w:rPr>
                <w:b/>
                <w:sz w:val="24"/>
                <w:szCs w:val="24"/>
                <w:lang w:eastAsia="en-US"/>
              </w:rPr>
              <w:t xml:space="preserve">200,58</w:t>
            </w:r>
            <w:r>
              <w:rPr>
                <w:b/>
                <w:sz w:val="24"/>
                <w:szCs w:val="24"/>
                <w:lang w:eastAsia="en-US"/>
              </w:rPr>
            </w:r>
            <w:r>
              <w:rPr>
                <w:b/>
                <w:sz w:val="24"/>
                <w:szCs w:val="24"/>
                <w:lang w:eastAsia="en-US"/>
              </w:rPr>
            </w:r>
          </w:p>
        </w:tc>
        <w:tc>
          <w:tcPr>
            <w:tcBorders>
              <w:top w:val="single" w:color="auto" w:sz="8" w:space="0"/>
              <w:left w:val="single" w:color="auto" w:sz="8" w:space="0"/>
              <w:bottom w:val="single" w:color="auto" w:sz="8" w:space="0"/>
              <w:right w:val="single" w:color="auto" w:sz="8" w:space="0"/>
            </w:tcBorders>
            <w:tcW w:w="866" w:type="pct"/>
            <w:vAlign w:val="center"/>
            <w:textDirection w:val="lrTb"/>
            <w:noWrap w:val="false"/>
          </w:tcPr>
          <w:p>
            <w:pPr>
              <w:jc w:val="center"/>
              <w:rPr>
                <w:b/>
                <w:sz w:val="24"/>
                <w:szCs w:val="24"/>
                <w:u w:val="single"/>
                <w:lang w:eastAsia="en-US"/>
              </w:rPr>
            </w:pPr>
            <w:r>
              <w:rPr>
                <w:b/>
                <w:sz w:val="24"/>
                <w:szCs w:val="24"/>
                <w:u w:val="single"/>
                <w:lang w:eastAsia="en-US"/>
              </w:rPr>
              <w:t xml:space="preserve">1,44</w:t>
            </w:r>
            <w:r>
              <w:rPr>
                <w:b/>
                <w:sz w:val="24"/>
                <w:szCs w:val="24"/>
                <w:u w:val="single"/>
                <w:lang w:eastAsia="en-US"/>
              </w:rPr>
            </w:r>
            <w:r>
              <w:rPr>
                <w:b/>
                <w:sz w:val="24"/>
                <w:szCs w:val="24"/>
                <w:u w:val="single"/>
                <w:lang w:eastAsia="en-US"/>
              </w:rPr>
            </w:r>
          </w:p>
          <w:p>
            <w:pPr>
              <w:jc w:val="center"/>
              <w:rPr>
                <w:b/>
                <w:sz w:val="24"/>
                <w:szCs w:val="24"/>
                <w:lang w:eastAsia="en-US"/>
              </w:rPr>
            </w:pPr>
            <w:r>
              <w:rPr>
                <w:b/>
                <w:sz w:val="24"/>
                <w:szCs w:val="24"/>
                <w:lang w:eastAsia="en-US"/>
              </w:rPr>
              <w:t xml:space="preserve">1,99</w:t>
            </w:r>
            <w:r>
              <w:rPr>
                <w:b/>
                <w:sz w:val="24"/>
                <w:szCs w:val="24"/>
                <w:lang w:eastAsia="en-US"/>
              </w:rPr>
            </w:r>
            <w:r>
              <w:rPr>
                <w:b/>
                <w:sz w:val="24"/>
                <w:szCs w:val="24"/>
                <w:lang w:eastAsia="en-US"/>
              </w:rPr>
            </w:r>
          </w:p>
        </w:tc>
        <w:tc>
          <w:tcPr>
            <w:tcBorders>
              <w:top w:val="single" w:color="auto" w:sz="8" w:space="0"/>
              <w:left w:val="single" w:color="auto" w:sz="8" w:space="0"/>
              <w:bottom w:val="single" w:color="auto" w:sz="8" w:space="0"/>
              <w:right w:val="single" w:color="auto" w:sz="8" w:space="0"/>
            </w:tcBorders>
            <w:tcW w:w="867" w:type="pct"/>
            <w:vAlign w:val="center"/>
            <w:textDirection w:val="lrTb"/>
            <w:noWrap w:val="false"/>
          </w:tcPr>
          <w:p>
            <w:pPr>
              <w:jc w:val="center"/>
              <w:rPr>
                <w:b/>
                <w:sz w:val="24"/>
                <w:szCs w:val="24"/>
                <w:u w:val="single"/>
                <w:lang w:eastAsia="en-US"/>
              </w:rPr>
            </w:pPr>
            <w:r>
              <w:rPr>
                <w:b/>
                <w:sz w:val="24"/>
                <w:szCs w:val="24"/>
                <w:u w:val="single"/>
                <w:lang w:eastAsia="en-US"/>
              </w:rPr>
              <w:t xml:space="preserve">2510</w:t>
            </w:r>
            <w:r>
              <w:rPr>
                <w:b/>
                <w:sz w:val="24"/>
                <w:szCs w:val="24"/>
                <w:u w:val="single"/>
                <w:lang w:eastAsia="en-US"/>
              </w:rPr>
            </w:r>
            <w:r>
              <w:rPr>
                <w:b/>
                <w:sz w:val="24"/>
                <w:szCs w:val="24"/>
                <w:u w:val="single"/>
                <w:lang w:eastAsia="en-US"/>
              </w:rPr>
            </w:r>
          </w:p>
          <w:p>
            <w:pPr>
              <w:jc w:val="center"/>
              <w:rPr>
                <w:b/>
                <w:sz w:val="24"/>
                <w:szCs w:val="24"/>
                <w:lang w:eastAsia="en-US"/>
              </w:rPr>
            </w:pPr>
            <w:r>
              <w:rPr>
                <w:b/>
                <w:sz w:val="24"/>
                <w:szCs w:val="24"/>
                <w:lang w:eastAsia="en-US"/>
              </w:rPr>
              <w:t xml:space="preserve">3472</w:t>
            </w:r>
            <w:r>
              <w:rPr>
                <w:b/>
                <w:sz w:val="24"/>
                <w:szCs w:val="24"/>
                <w:lang w:eastAsia="en-US"/>
              </w:rPr>
            </w:r>
            <w:r>
              <w:rPr>
                <w:b/>
                <w:sz w:val="24"/>
                <w:szCs w:val="24"/>
                <w:lang w:eastAsia="en-US"/>
              </w:rPr>
            </w:r>
          </w:p>
        </w:tc>
      </w:tr>
      <w:tr>
        <w:tblPrEx/>
        <w:trPr>
          <w:cantSplit/>
          <w:jc w:val="center"/>
          <w:trHeight w:val="20"/>
        </w:trPr>
        <w:tc>
          <w:tcPr>
            <w:tcBorders>
              <w:top w:val="single" w:color="auto" w:sz="8" w:space="0"/>
              <w:left w:val="single" w:color="auto" w:sz="8" w:space="0"/>
              <w:bottom w:val="single" w:color="auto" w:sz="8" w:space="0"/>
              <w:right w:val="single" w:color="auto" w:sz="8" w:space="0"/>
            </w:tcBorders>
            <w:tcW w:w="583" w:type="pct"/>
            <w:vAlign w:val="center"/>
            <w:textDirection w:val="lrTb"/>
            <w:noWrap w:val="false"/>
          </w:tcPr>
          <w:p>
            <w:pPr>
              <w:jc w:val="center"/>
              <w:rPr>
                <w:sz w:val="24"/>
                <w:szCs w:val="24"/>
                <w:lang w:eastAsia="en-US"/>
              </w:rPr>
            </w:pPr>
            <w:r>
              <w:rPr>
                <w:sz w:val="24"/>
                <w:szCs w:val="24"/>
                <w:lang w:eastAsia="en-US"/>
              </w:rPr>
              <w:t xml:space="preserve">Котельная № 13/55</w:t>
            </w:r>
            <w:r>
              <w:rPr>
                <w:sz w:val="24"/>
                <w:szCs w:val="24"/>
                <w:lang w:eastAsia="en-US"/>
              </w:rPr>
            </w:r>
            <w:r>
              <w:rPr>
                <w:sz w:val="24"/>
                <w:szCs w:val="24"/>
                <w:lang w:eastAsia="en-US"/>
              </w:rPr>
            </w:r>
          </w:p>
        </w:tc>
        <w:tc>
          <w:tcPr>
            <w:tcBorders>
              <w:top w:val="single" w:color="auto" w:sz="8" w:space="0"/>
              <w:left w:val="single" w:color="auto" w:sz="8" w:space="0"/>
              <w:bottom w:val="single" w:color="auto" w:sz="8" w:space="0"/>
              <w:right w:val="single" w:color="auto" w:sz="8" w:space="0"/>
            </w:tcBorders>
            <w:tcW w:w="951" w:type="pct"/>
            <w:vAlign w:val="center"/>
            <w:textDirection w:val="lrTb"/>
            <w:noWrap w:val="false"/>
          </w:tcPr>
          <w:p>
            <w:pPr>
              <w:jc w:val="center"/>
              <w:rPr>
                <w:sz w:val="24"/>
                <w:szCs w:val="24"/>
                <w:lang w:eastAsia="en-US"/>
              </w:rPr>
            </w:pPr>
            <w:r>
              <w:rPr>
                <w:sz w:val="24"/>
                <w:szCs w:val="24"/>
                <w:lang w:eastAsia="en-US"/>
              </w:rPr>
              <w:t xml:space="preserve">0</w:t>
            </w:r>
            <w:r>
              <w:rPr>
                <w:sz w:val="24"/>
                <w:szCs w:val="24"/>
                <w:lang w:eastAsia="en-US"/>
              </w:rPr>
            </w:r>
            <w:r>
              <w:rPr>
                <w:sz w:val="24"/>
                <w:szCs w:val="24"/>
                <w:lang w:eastAsia="en-US"/>
              </w:rPr>
            </w:r>
          </w:p>
        </w:tc>
        <w:tc>
          <w:tcPr>
            <w:tcBorders>
              <w:top w:val="single" w:color="auto" w:sz="8" w:space="0"/>
              <w:left w:val="single" w:color="auto" w:sz="8" w:space="0"/>
              <w:bottom w:val="single" w:color="auto" w:sz="8" w:space="0"/>
              <w:right w:val="single" w:color="auto" w:sz="8" w:space="0"/>
            </w:tcBorders>
            <w:tcW w:w="992" w:type="pct"/>
            <w:vAlign w:val="center"/>
            <w:textDirection w:val="lrTb"/>
            <w:noWrap w:val="false"/>
          </w:tcPr>
          <w:p>
            <w:pPr>
              <w:jc w:val="center"/>
              <w:rPr>
                <w:sz w:val="24"/>
                <w:szCs w:val="24"/>
                <w:lang w:eastAsia="en-US"/>
              </w:rPr>
            </w:pPr>
            <w:r>
              <w:rPr>
                <w:sz w:val="24"/>
                <w:szCs w:val="24"/>
                <w:lang w:eastAsia="en-US"/>
              </w:rPr>
              <w:t xml:space="preserve">0</w:t>
            </w:r>
            <w:r>
              <w:rPr>
                <w:sz w:val="24"/>
                <w:szCs w:val="24"/>
                <w:lang w:eastAsia="en-US"/>
              </w:rPr>
            </w:r>
            <w:r>
              <w:rPr>
                <w:sz w:val="24"/>
                <w:szCs w:val="24"/>
                <w:lang w:eastAsia="en-US"/>
              </w:rPr>
            </w:r>
          </w:p>
        </w:tc>
        <w:tc>
          <w:tcPr>
            <w:tcBorders>
              <w:top w:val="single" w:color="auto" w:sz="8" w:space="0"/>
              <w:left w:val="single" w:color="auto" w:sz="8" w:space="0"/>
              <w:bottom w:val="single" w:color="auto" w:sz="8" w:space="0"/>
              <w:right w:val="single" w:color="auto" w:sz="8" w:space="0"/>
            </w:tcBorders>
            <w:tcW w:w="741" w:type="pct"/>
            <w:vAlign w:val="center"/>
            <w:textDirection w:val="lrTb"/>
            <w:noWrap w:val="false"/>
          </w:tcPr>
          <w:p>
            <w:pPr>
              <w:jc w:val="center"/>
              <w:rPr>
                <w:sz w:val="24"/>
                <w:szCs w:val="24"/>
                <w:lang w:eastAsia="en-US"/>
              </w:rPr>
            </w:pPr>
            <w:r>
              <w:rPr>
                <w:sz w:val="24"/>
                <w:szCs w:val="24"/>
                <w:lang w:eastAsia="en-US"/>
              </w:rPr>
              <w:t xml:space="preserve">202,27</w:t>
            </w:r>
            <w:r>
              <w:rPr>
                <w:sz w:val="24"/>
                <w:szCs w:val="24"/>
                <w:lang w:eastAsia="en-US"/>
              </w:rPr>
            </w:r>
            <w:r>
              <w:rPr>
                <w:sz w:val="24"/>
                <w:szCs w:val="24"/>
                <w:lang w:eastAsia="en-US"/>
              </w:rPr>
            </w:r>
          </w:p>
        </w:tc>
        <w:tc>
          <w:tcPr>
            <w:tcBorders>
              <w:top w:val="single" w:color="auto" w:sz="8" w:space="0"/>
              <w:left w:val="single" w:color="auto" w:sz="8" w:space="0"/>
              <w:bottom w:val="single" w:color="auto" w:sz="8" w:space="0"/>
              <w:right w:val="single" w:color="auto" w:sz="8" w:space="0"/>
            </w:tcBorders>
            <w:tcW w:w="866" w:type="pct"/>
            <w:vAlign w:val="center"/>
            <w:textDirection w:val="lrTb"/>
            <w:noWrap w:val="false"/>
          </w:tcPr>
          <w:p>
            <w:pPr>
              <w:jc w:val="center"/>
              <w:rPr>
                <w:sz w:val="24"/>
                <w:szCs w:val="24"/>
                <w:lang w:eastAsia="en-US"/>
              </w:rPr>
            </w:pPr>
            <w:r>
              <w:rPr>
                <w:sz w:val="24"/>
                <w:szCs w:val="24"/>
                <w:lang w:eastAsia="en-US"/>
              </w:rPr>
              <w:t xml:space="preserve">1,39</w:t>
            </w:r>
            <w:r>
              <w:rPr>
                <w:sz w:val="24"/>
                <w:szCs w:val="24"/>
                <w:lang w:eastAsia="en-US"/>
              </w:rPr>
            </w:r>
            <w:r>
              <w:rPr>
                <w:sz w:val="24"/>
                <w:szCs w:val="24"/>
                <w:lang w:eastAsia="en-US"/>
              </w:rPr>
            </w:r>
          </w:p>
          <w:p>
            <w:pPr>
              <w:jc w:val="center"/>
              <w:rPr>
                <w:sz w:val="24"/>
                <w:szCs w:val="24"/>
                <w:lang w:eastAsia="en-US"/>
              </w:rPr>
            </w:pPr>
            <w:r>
              <w:rPr>
                <w:sz w:val="24"/>
                <w:szCs w:val="24"/>
                <w:lang w:eastAsia="en-US"/>
              </w:rPr>
              <w:t xml:space="preserve">1,27</w:t>
            </w:r>
            <w:r>
              <w:rPr>
                <w:sz w:val="24"/>
                <w:szCs w:val="24"/>
                <w:lang w:eastAsia="en-US"/>
              </w:rPr>
            </w:r>
            <w:r>
              <w:rPr>
                <w:sz w:val="24"/>
                <w:szCs w:val="24"/>
                <w:lang w:eastAsia="en-US"/>
              </w:rPr>
            </w:r>
          </w:p>
        </w:tc>
        <w:tc>
          <w:tcPr>
            <w:tcBorders>
              <w:top w:val="single" w:color="auto" w:sz="8" w:space="0"/>
              <w:left w:val="single" w:color="auto" w:sz="8" w:space="0"/>
              <w:bottom w:val="single" w:color="auto" w:sz="8" w:space="0"/>
              <w:right w:val="single" w:color="auto" w:sz="8" w:space="0"/>
            </w:tcBorders>
            <w:tcW w:w="867" w:type="pct"/>
            <w:vAlign w:val="center"/>
            <w:textDirection w:val="lrTb"/>
            <w:noWrap w:val="false"/>
          </w:tcPr>
          <w:p>
            <w:pPr>
              <w:jc w:val="center"/>
              <w:rPr>
                <w:sz w:val="24"/>
                <w:szCs w:val="24"/>
                <w:lang w:eastAsia="en-US"/>
              </w:rPr>
            </w:pPr>
            <w:r>
              <w:rPr>
                <w:sz w:val="24"/>
                <w:szCs w:val="24"/>
                <w:lang w:eastAsia="en-US"/>
              </w:rPr>
              <w:t xml:space="preserve">259</w:t>
            </w:r>
            <w:r>
              <w:rPr>
                <w:sz w:val="24"/>
                <w:szCs w:val="24"/>
                <w:lang w:eastAsia="en-US"/>
              </w:rPr>
            </w:r>
            <w:r>
              <w:rPr>
                <w:sz w:val="24"/>
                <w:szCs w:val="24"/>
                <w:lang w:eastAsia="en-US"/>
              </w:rPr>
            </w:r>
          </w:p>
          <w:p>
            <w:pPr>
              <w:jc w:val="center"/>
              <w:rPr>
                <w:sz w:val="24"/>
                <w:szCs w:val="24"/>
                <w:lang w:eastAsia="en-US"/>
              </w:rPr>
            </w:pPr>
            <w:r>
              <w:rPr>
                <w:sz w:val="24"/>
                <w:szCs w:val="24"/>
                <w:lang w:eastAsia="en-US"/>
              </w:rPr>
              <w:t xml:space="preserve">237</w:t>
            </w:r>
            <w:r>
              <w:rPr>
                <w:sz w:val="24"/>
                <w:szCs w:val="24"/>
                <w:lang w:eastAsia="en-US"/>
              </w:rPr>
            </w:r>
            <w:r>
              <w:rPr>
                <w:sz w:val="24"/>
                <w:szCs w:val="24"/>
                <w:lang w:eastAsia="en-US"/>
              </w:rPr>
            </w:r>
          </w:p>
        </w:tc>
      </w:tr>
      <w:tr>
        <w:tblPrEx/>
        <w:trPr>
          <w:cantSplit/>
          <w:jc w:val="center"/>
          <w:trHeight w:val="20"/>
        </w:trPr>
        <w:tc>
          <w:tcPr>
            <w:tcBorders>
              <w:top w:val="single" w:color="auto" w:sz="8" w:space="0"/>
              <w:left w:val="single" w:color="auto" w:sz="8" w:space="0"/>
              <w:bottom w:val="single" w:color="auto" w:sz="8" w:space="0"/>
              <w:right w:val="single" w:color="auto" w:sz="8" w:space="0"/>
            </w:tcBorders>
            <w:tcW w:w="583" w:type="pct"/>
            <w:vAlign w:val="center"/>
            <w:textDirection w:val="lrTb"/>
            <w:noWrap w:val="false"/>
          </w:tcPr>
          <w:p>
            <w:pPr>
              <w:jc w:val="center"/>
              <w:rPr>
                <w:sz w:val="24"/>
                <w:szCs w:val="24"/>
                <w:lang w:eastAsia="en-US"/>
              </w:rPr>
            </w:pPr>
            <w:r>
              <w:rPr>
                <w:sz w:val="24"/>
                <w:szCs w:val="24"/>
                <w:lang w:eastAsia="en-US"/>
              </w:rPr>
              <w:t xml:space="preserve">Котельная № 13/73</w:t>
            </w:r>
            <w:r>
              <w:rPr>
                <w:sz w:val="24"/>
                <w:szCs w:val="24"/>
                <w:lang w:eastAsia="en-US"/>
              </w:rPr>
            </w:r>
            <w:r>
              <w:rPr>
                <w:sz w:val="24"/>
                <w:szCs w:val="24"/>
                <w:lang w:eastAsia="en-US"/>
              </w:rPr>
            </w:r>
          </w:p>
        </w:tc>
        <w:tc>
          <w:tcPr>
            <w:tcBorders>
              <w:top w:val="single" w:color="auto" w:sz="8" w:space="0"/>
              <w:left w:val="single" w:color="auto" w:sz="8" w:space="0"/>
              <w:bottom w:val="single" w:color="auto" w:sz="8" w:space="0"/>
              <w:right w:val="single" w:color="auto" w:sz="8" w:space="0"/>
            </w:tcBorders>
            <w:tcW w:w="951" w:type="pct"/>
            <w:vAlign w:val="center"/>
            <w:textDirection w:val="lrTb"/>
            <w:noWrap w:val="false"/>
          </w:tcPr>
          <w:p>
            <w:pPr>
              <w:jc w:val="center"/>
              <w:rPr>
                <w:sz w:val="24"/>
                <w:szCs w:val="24"/>
                <w:lang w:eastAsia="en-US"/>
              </w:rPr>
            </w:pPr>
            <w:r>
              <w:rPr>
                <w:sz w:val="24"/>
                <w:szCs w:val="24"/>
                <w:lang w:eastAsia="en-US"/>
              </w:rPr>
              <w:t xml:space="preserve">0</w:t>
            </w:r>
            <w:r>
              <w:rPr>
                <w:sz w:val="24"/>
                <w:szCs w:val="24"/>
                <w:lang w:eastAsia="en-US"/>
              </w:rPr>
            </w:r>
            <w:r>
              <w:rPr>
                <w:sz w:val="24"/>
                <w:szCs w:val="24"/>
                <w:lang w:eastAsia="en-US"/>
              </w:rPr>
            </w:r>
          </w:p>
        </w:tc>
        <w:tc>
          <w:tcPr>
            <w:tcBorders>
              <w:top w:val="single" w:color="auto" w:sz="8" w:space="0"/>
              <w:left w:val="single" w:color="auto" w:sz="8" w:space="0"/>
              <w:bottom w:val="single" w:color="auto" w:sz="8" w:space="0"/>
              <w:right w:val="single" w:color="auto" w:sz="8" w:space="0"/>
            </w:tcBorders>
            <w:tcW w:w="992" w:type="pct"/>
            <w:vAlign w:val="center"/>
            <w:textDirection w:val="lrTb"/>
            <w:noWrap w:val="false"/>
          </w:tcPr>
          <w:p>
            <w:pPr>
              <w:jc w:val="center"/>
              <w:rPr>
                <w:sz w:val="24"/>
                <w:szCs w:val="24"/>
                <w:lang w:eastAsia="en-US"/>
              </w:rPr>
            </w:pPr>
            <w:r>
              <w:rPr>
                <w:sz w:val="24"/>
                <w:szCs w:val="24"/>
                <w:lang w:eastAsia="en-US"/>
              </w:rPr>
              <w:t xml:space="preserve">0</w:t>
            </w:r>
            <w:r>
              <w:rPr>
                <w:sz w:val="24"/>
                <w:szCs w:val="24"/>
                <w:lang w:eastAsia="en-US"/>
              </w:rPr>
            </w:r>
            <w:r>
              <w:rPr>
                <w:sz w:val="24"/>
                <w:szCs w:val="24"/>
                <w:lang w:eastAsia="en-US"/>
              </w:rPr>
            </w:r>
          </w:p>
        </w:tc>
        <w:tc>
          <w:tcPr>
            <w:tcBorders>
              <w:top w:val="single" w:color="auto" w:sz="8" w:space="0"/>
              <w:left w:val="single" w:color="auto" w:sz="8" w:space="0"/>
              <w:bottom w:val="single" w:color="auto" w:sz="8" w:space="0"/>
              <w:right w:val="single" w:color="auto" w:sz="8" w:space="0"/>
            </w:tcBorders>
            <w:tcW w:w="741" w:type="pct"/>
            <w:vAlign w:val="center"/>
            <w:textDirection w:val="lrTb"/>
            <w:noWrap w:val="false"/>
          </w:tcPr>
          <w:p>
            <w:pPr>
              <w:jc w:val="center"/>
              <w:rPr>
                <w:sz w:val="24"/>
                <w:szCs w:val="24"/>
                <w:lang w:eastAsia="en-US"/>
              </w:rPr>
            </w:pPr>
            <w:r>
              <w:rPr>
                <w:sz w:val="24"/>
                <w:szCs w:val="24"/>
                <w:lang w:eastAsia="en-US"/>
              </w:rPr>
              <w:t xml:space="preserve">182,99</w:t>
            </w:r>
            <w:r>
              <w:rPr>
                <w:sz w:val="24"/>
                <w:szCs w:val="24"/>
                <w:lang w:eastAsia="en-US"/>
              </w:rPr>
            </w:r>
            <w:r>
              <w:rPr>
                <w:sz w:val="24"/>
                <w:szCs w:val="24"/>
                <w:lang w:eastAsia="en-US"/>
              </w:rPr>
            </w:r>
          </w:p>
        </w:tc>
        <w:tc>
          <w:tcPr>
            <w:tcBorders>
              <w:top w:val="single" w:color="auto" w:sz="8" w:space="0"/>
              <w:left w:val="single" w:color="auto" w:sz="8" w:space="0"/>
              <w:bottom w:val="single" w:color="auto" w:sz="8" w:space="0"/>
              <w:right w:val="single" w:color="auto" w:sz="8" w:space="0"/>
            </w:tcBorders>
            <w:tcW w:w="866" w:type="pct"/>
            <w:vAlign w:val="center"/>
            <w:textDirection w:val="lrTb"/>
            <w:noWrap w:val="false"/>
          </w:tcPr>
          <w:p>
            <w:pPr>
              <w:jc w:val="center"/>
              <w:rPr>
                <w:sz w:val="24"/>
                <w:szCs w:val="24"/>
                <w:lang w:eastAsia="en-US"/>
              </w:rPr>
            </w:pPr>
            <w:r>
              <w:rPr>
                <w:sz w:val="24"/>
                <w:szCs w:val="24"/>
                <w:lang w:eastAsia="en-US"/>
              </w:rPr>
              <w:t xml:space="preserve">1,51</w:t>
            </w:r>
            <w:r>
              <w:rPr>
                <w:sz w:val="24"/>
                <w:szCs w:val="24"/>
                <w:lang w:eastAsia="en-US"/>
              </w:rPr>
            </w:r>
            <w:r>
              <w:rPr>
                <w:sz w:val="24"/>
                <w:szCs w:val="24"/>
                <w:lang w:eastAsia="en-US"/>
              </w:rPr>
            </w:r>
          </w:p>
          <w:p>
            <w:pPr>
              <w:jc w:val="center"/>
              <w:rPr>
                <w:sz w:val="24"/>
                <w:szCs w:val="24"/>
                <w:lang w:eastAsia="en-US"/>
              </w:rPr>
            </w:pPr>
            <w:r>
              <w:rPr>
                <w:sz w:val="24"/>
                <w:szCs w:val="24"/>
                <w:lang w:eastAsia="en-US"/>
              </w:rPr>
              <w:t xml:space="preserve">1,58</w:t>
            </w:r>
            <w:r>
              <w:rPr>
                <w:sz w:val="24"/>
                <w:szCs w:val="24"/>
                <w:lang w:eastAsia="en-US"/>
              </w:rPr>
            </w:r>
            <w:r>
              <w:rPr>
                <w:sz w:val="24"/>
                <w:szCs w:val="24"/>
                <w:lang w:eastAsia="en-US"/>
              </w:rPr>
            </w:r>
          </w:p>
        </w:tc>
        <w:tc>
          <w:tcPr>
            <w:tcBorders>
              <w:top w:val="single" w:color="auto" w:sz="8" w:space="0"/>
              <w:left w:val="single" w:color="auto" w:sz="8" w:space="0"/>
              <w:bottom w:val="single" w:color="auto" w:sz="8" w:space="0"/>
              <w:right w:val="single" w:color="auto" w:sz="8" w:space="0"/>
            </w:tcBorders>
            <w:tcW w:w="867" w:type="pct"/>
            <w:vAlign w:val="center"/>
            <w:textDirection w:val="lrTb"/>
            <w:noWrap w:val="false"/>
          </w:tcPr>
          <w:p>
            <w:pPr>
              <w:jc w:val="center"/>
              <w:rPr>
                <w:sz w:val="24"/>
                <w:szCs w:val="24"/>
                <w:lang w:eastAsia="en-US"/>
              </w:rPr>
            </w:pPr>
            <w:r>
              <w:rPr>
                <w:sz w:val="24"/>
                <w:szCs w:val="24"/>
                <w:lang w:eastAsia="en-US"/>
              </w:rPr>
              <w:t xml:space="preserve">454</w:t>
            </w:r>
            <w:r>
              <w:rPr>
                <w:sz w:val="24"/>
                <w:szCs w:val="24"/>
                <w:lang w:eastAsia="en-US"/>
              </w:rPr>
            </w:r>
            <w:r>
              <w:rPr>
                <w:sz w:val="24"/>
                <w:szCs w:val="24"/>
                <w:lang w:eastAsia="en-US"/>
              </w:rPr>
            </w:r>
          </w:p>
          <w:p>
            <w:pPr>
              <w:jc w:val="center"/>
              <w:rPr>
                <w:sz w:val="24"/>
                <w:szCs w:val="24"/>
                <w:lang w:eastAsia="en-US"/>
              </w:rPr>
            </w:pPr>
            <w:r>
              <w:rPr>
                <w:sz w:val="24"/>
                <w:szCs w:val="24"/>
                <w:lang w:eastAsia="en-US"/>
              </w:rPr>
              <w:t xml:space="preserve">474</w:t>
            </w:r>
            <w:r>
              <w:rPr>
                <w:sz w:val="24"/>
                <w:szCs w:val="24"/>
                <w:lang w:eastAsia="en-US"/>
              </w:rPr>
            </w:r>
            <w:r>
              <w:rPr>
                <w:sz w:val="24"/>
                <w:szCs w:val="24"/>
                <w:lang w:eastAsia="en-US"/>
              </w:rPr>
            </w:r>
          </w:p>
        </w:tc>
      </w:tr>
      <w:tr>
        <w:tblPrEx/>
        <w:trPr>
          <w:cantSplit/>
          <w:jc w:val="center"/>
          <w:trHeight w:val="20"/>
        </w:trPr>
        <w:tc>
          <w:tcPr>
            <w:tcBorders>
              <w:top w:val="single" w:color="auto" w:sz="8" w:space="0"/>
              <w:left w:val="single" w:color="auto" w:sz="8" w:space="0"/>
              <w:bottom w:val="single" w:color="auto" w:sz="8" w:space="0"/>
              <w:right w:val="single" w:color="auto" w:sz="8" w:space="0"/>
            </w:tcBorders>
            <w:tcW w:w="583" w:type="pct"/>
            <w:vAlign w:val="center"/>
            <w:textDirection w:val="lrTb"/>
            <w:noWrap w:val="false"/>
          </w:tcPr>
          <w:p>
            <w:pPr>
              <w:jc w:val="center"/>
              <w:rPr>
                <w:sz w:val="24"/>
                <w:szCs w:val="24"/>
                <w:lang w:eastAsia="en-US"/>
              </w:rPr>
            </w:pPr>
            <w:r>
              <w:rPr>
                <w:sz w:val="24"/>
                <w:szCs w:val="24"/>
                <w:lang w:eastAsia="en-US"/>
              </w:rPr>
              <w:t xml:space="preserve">Котельная № 4/152</w:t>
            </w:r>
            <w:r>
              <w:rPr>
                <w:sz w:val="24"/>
                <w:szCs w:val="24"/>
                <w:lang w:eastAsia="en-US"/>
              </w:rPr>
            </w:r>
            <w:r>
              <w:rPr>
                <w:sz w:val="24"/>
                <w:szCs w:val="24"/>
                <w:lang w:eastAsia="en-US"/>
              </w:rPr>
            </w:r>
          </w:p>
        </w:tc>
        <w:tc>
          <w:tcPr>
            <w:tcBorders>
              <w:top w:val="single" w:color="auto" w:sz="8" w:space="0"/>
              <w:left w:val="single" w:color="auto" w:sz="8" w:space="0"/>
              <w:bottom w:val="single" w:color="auto" w:sz="8" w:space="0"/>
              <w:right w:val="single" w:color="auto" w:sz="8" w:space="0"/>
            </w:tcBorders>
            <w:tcW w:w="951" w:type="pct"/>
            <w:vAlign w:val="center"/>
            <w:textDirection w:val="lrTb"/>
            <w:noWrap w:val="false"/>
          </w:tcPr>
          <w:p>
            <w:pPr>
              <w:jc w:val="center"/>
              <w:rPr>
                <w:sz w:val="24"/>
                <w:szCs w:val="24"/>
                <w:lang w:eastAsia="en-US"/>
              </w:rPr>
            </w:pPr>
            <w:r>
              <w:rPr>
                <w:sz w:val="24"/>
                <w:szCs w:val="24"/>
                <w:lang w:eastAsia="en-US"/>
              </w:rPr>
              <w:t xml:space="preserve">0</w:t>
            </w:r>
            <w:r>
              <w:rPr>
                <w:sz w:val="24"/>
                <w:szCs w:val="24"/>
                <w:lang w:eastAsia="en-US"/>
              </w:rPr>
            </w:r>
            <w:r>
              <w:rPr>
                <w:sz w:val="24"/>
                <w:szCs w:val="24"/>
                <w:lang w:eastAsia="en-US"/>
              </w:rPr>
            </w:r>
          </w:p>
        </w:tc>
        <w:tc>
          <w:tcPr>
            <w:tcBorders>
              <w:top w:val="single" w:color="auto" w:sz="8" w:space="0"/>
              <w:left w:val="single" w:color="auto" w:sz="8" w:space="0"/>
              <w:bottom w:val="single" w:color="auto" w:sz="8" w:space="0"/>
              <w:right w:val="single" w:color="auto" w:sz="8" w:space="0"/>
            </w:tcBorders>
            <w:tcW w:w="992" w:type="pct"/>
            <w:vAlign w:val="center"/>
            <w:textDirection w:val="lrTb"/>
            <w:noWrap w:val="false"/>
          </w:tcPr>
          <w:p>
            <w:pPr>
              <w:jc w:val="center"/>
              <w:rPr>
                <w:sz w:val="24"/>
                <w:szCs w:val="24"/>
                <w:lang w:eastAsia="en-US"/>
              </w:rPr>
            </w:pPr>
            <w:r>
              <w:rPr>
                <w:sz w:val="24"/>
                <w:szCs w:val="24"/>
                <w:lang w:eastAsia="en-US"/>
              </w:rPr>
              <w:t xml:space="preserve">0</w:t>
            </w:r>
            <w:r>
              <w:rPr>
                <w:sz w:val="24"/>
                <w:szCs w:val="24"/>
                <w:lang w:eastAsia="en-US"/>
              </w:rPr>
            </w:r>
            <w:r>
              <w:rPr>
                <w:sz w:val="24"/>
                <w:szCs w:val="24"/>
                <w:lang w:eastAsia="en-US"/>
              </w:rPr>
            </w:r>
          </w:p>
        </w:tc>
        <w:tc>
          <w:tcPr>
            <w:tcBorders>
              <w:top w:val="single" w:color="auto" w:sz="8" w:space="0"/>
              <w:left w:val="single" w:color="auto" w:sz="8" w:space="0"/>
              <w:bottom w:val="single" w:color="auto" w:sz="8" w:space="0"/>
              <w:right w:val="single" w:color="auto" w:sz="8" w:space="0"/>
            </w:tcBorders>
            <w:tcW w:w="741" w:type="pct"/>
            <w:vAlign w:val="center"/>
            <w:textDirection w:val="lrTb"/>
            <w:noWrap w:val="false"/>
          </w:tcPr>
          <w:p>
            <w:pPr>
              <w:jc w:val="center"/>
              <w:rPr>
                <w:sz w:val="24"/>
                <w:szCs w:val="24"/>
                <w:lang w:eastAsia="en-US"/>
              </w:rPr>
            </w:pPr>
            <w:r>
              <w:rPr>
                <w:sz w:val="24"/>
                <w:szCs w:val="24"/>
                <w:lang w:eastAsia="en-US"/>
              </w:rPr>
              <w:t xml:space="preserve">182,99</w:t>
            </w:r>
            <w:r>
              <w:rPr>
                <w:sz w:val="24"/>
                <w:szCs w:val="24"/>
                <w:lang w:eastAsia="en-US"/>
              </w:rPr>
            </w:r>
            <w:r>
              <w:rPr>
                <w:sz w:val="24"/>
                <w:szCs w:val="24"/>
                <w:lang w:eastAsia="en-US"/>
              </w:rPr>
            </w:r>
          </w:p>
        </w:tc>
        <w:tc>
          <w:tcPr>
            <w:tcBorders>
              <w:top w:val="single" w:color="auto" w:sz="8" w:space="0"/>
              <w:left w:val="single" w:color="auto" w:sz="8" w:space="0"/>
              <w:bottom w:val="single" w:color="auto" w:sz="8" w:space="0"/>
              <w:right w:val="single" w:color="auto" w:sz="8" w:space="0"/>
            </w:tcBorders>
            <w:tcW w:w="866" w:type="pct"/>
            <w:vAlign w:val="center"/>
            <w:textDirection w:val="lrTb"/>
            <w:noWrap w:val="false"/>
          </w:tcPr>
          <w:p>
            <w:pPr>
              <w:jc w:val="center"/>
              <w:rPr>
                <w:sz w:val="24"/>
                <w:szCs w:val="24"/>
                <w:lang w:eastAsia="en-US"/>
              </w:rPr>
            </w:pPr>
            <w:r>
              <w:rPr>
                <w:sz w:val="24"/>
                <w:szCs w:val="24"/>
                <w:lang w:eastAsia="en-US"/>
              </w:rPr>
              <w:t xml:space="preserve">1,53</w:t>
            </w:r>
            <w:r>
              <w:rPr>
                <w:sz w:val="24"/>
                <w:szCs w:val="24"/>
                <w:lang w:eastAsia="en-US"/>
              </w:rPr>
            </w:r>
            <w:r>
              <w:rPr>
                <w:sz w:val="24"/>
                <w:szCs w:val="24"/>
                <w:lang w:eastAsia="en-US"/>
              </w:rPr>
            </w:r>
          </w:p>
          <w:p>
            <w:pPr>
              <w:jc w:val="center"/>
              <w:rPr>
                <w:sz w:val="24"/>
                <w:szCs w:val="24"/>
                <w:lang w:eastAsia="en-US"/>
              </w:rPr>
            </w:pPr>
            <w:r>
              <w:rPr>
                <w:sz w:val="24"/>
                <w:szCs w:val="24"/>
                <w:lang w:eastAsia="en-US"/>
              </w:rPr>
              <w:t xml:space="preserve">2,11</w:t>
            </w:r>
            <w:r>
              <w:rPr>
                <w:sz w:val="24"/>
                <w:szCs w:val="24"/>
                <w:lang w:eastAsia="en-US"/>
              </w:rPr>
            </w:r>
            <w:r>
              <w:rPr>
                <w:sz w:val="24"/>
                <w:szCs w:val="24"/>
                <w:lang w:eastAsia="en-US"/>
              </w:rPr>
            </w:r>
          </w:p>
        </w:tc>
        <w:tc>
          <w:tcPr>
            <w:tcBorders>
              <w:top w:val="single" w:color="auto" w:sz="8" w:space="0"/>
              <w:left w:val="single" w:color="auto" w:sz="8" w:space="0"/>
              <w:bottom w:val="single" w:color="auto" w:sz="8" w:space="0"/>
              <w:right w:val="single" w:color="auto" w:sz="8" w:space="0"/>
            </w:tcBorders>
            <w:tcW w:w="867" w:type="pct"/>
            <w:vAlign w:val="center"/>
            <w:textDirection w:val="lrTb"/>
            <w:noWrap w:val="false"/>
          </w:tcPr>
          <w:p>
            <w:pPr>
              <w:jc w:val="center"/>
              <w:rPr>
                <w:sz w:val="24"/>
                <w:szCs w:val="24"/>
                <w:lang w:eastAsia="en-US"/>
              </w:rPr>
            </w:pPr>
            <w:r>
              <w:rPr>
                <w:sz w:val="24"/>
                <w:szCs w:val="24"/>
                <w:lang w:eastAsia="en-US"/>
              </w:rPr>
              <w:t xml:space="preserve">608</w:t>
            </w:r>
            <w:r>
              <w:rPr>
                <w:sz w:val="24"/>
                <w:szCs w:val="24"/>
                <w:lang w:eastAsia="en-US"/>
              </w:rPr>
            </w:r>
            <w:r>
              <w:rPr>
                <w:sz w:val="24"/>
                <w:szCs w:val="24"/>
                <w:lang w:eastAsia="en-US"/>
              </w:rPr>
            </w:r>
          </w:p>
          <w:p>
            <w:pPr>
              <w:jc w:val="center"/>
              <w:rPr>
                <w:sz w:val="24"/>
                <w:szCs w:val="24"/>
                <w:lang w:eastAsia="en-US"/>
              </w:rPr>
            </w:pPr>
            <w:r>
              <w:rPr>
                <w:sz w:val="24"/>
                <w:szCs w:val="24"/>
                <w:lang w:eastAsia="en-US"/>
              </w:rPr>
              <w:t xml:space="preserve">840</w:t>
            </w:r>
            <w:r>
              <w:rPr>
                <w:sz w:val="24"/>
                <w:szCs w:val="24"/>
                <w:lang w:eastAsia="en-US"/>
              </w:rPr>
            </w:r>
            <w:r>
              <w:rPr>
                <w:sz w:val="24"/>
                <w:szCs w:val="24"/>
                <w:lang w:eastAsia="en-US"/>
              </w:rPr>
            </w:r>
          </w:p>
        </w:tc>
      </w:tr>
      <w:tr>
        <w:tblPrEx/>
        <w:trPr>
          <w:cantSplit/>
          <w:jc w:val="center"/>
          <w:trHeight w:val="20"/>
        </w:trPr>
        <w:tc>
          <w:tcPr>
            <w:tcBorders>
              <w:top w:val="single" w:color="auto" w:sz="8" w:space="0"/>
              <w:left w:val="single" w:color="auto" w:sz="8" w:space="0"/>
              <w:bottom w:val="single" w:color="auto" w:sz="8" w:space="0"/>
              <w:right w:val="single" w:color="auto" w:sz="8" w:space="0"/>
            </w:tcBorders>
            <w:tcW w:w="583" w:type="pct"/>
            <w:vAlign w:val="center"/>
            <w:textDirection w:val="lrTb"/>
            <w:noWrap w:val="false"/>
          </w:tcPr>
          <w:p>
            <w:pPr>
              <w:jc w:val="center"/>
              <w:rPr>
                <w:sz w:val="24"/>
                <w:szCs w:val="24"/>
                <w:lang w:eastAsia="en-US"/>
              </w:rPr>
            </w:pPr>
            <w:r>
              <w:rPr>
                <w:sz w:val="24"/>
                <w:szCs w:val="24"/>
                <w:lang w:eastAsia="en-US"/>
              </w:rPr>
              <w:t xml:space="preserve">Котельная № 42/138</w:t>
            </w:r>
            <w:r>
              <w:rPr>
                <w:sz w:val="24"/>
                <w:szCs w:val="24"/>
                <w:lang w:eastAsia="en-US"/>
              </w:rPr>
            </w:r>
            <w:r>
              <w:rPr>
                <w:sz w:val="24"/>
                <w:szCs w:val="24"/>
                <w:lang w:eastAsia="en-US"/>
              </w:rPr>
            </w:r>
          </w:p>
        </w:tc>
        <w:tc>
          <w:tcPr>
            <w:tcBorders>
              <w:top w:val="single" w:color="auto" w:sz="8" w:space="0"/>
              <w:left w:val="single" w:color="auto" w:sz="8" w:space="0"/>
              <w:bottom w:val="single" w:color="auto" w:sz="8" w:space="0"/>
              <w:right w:val="single" w:color="auto" w:sz="8" w:space="0"/>
            </w:tcBorders>
            <w:tcW w:w="951" w:type="pct"/>
            <w:vAlign w:val="center"/>
            <w:textDirection w:val="lrTb"/>
            <w:noWrap w:val="false"/>
          </w:tcPr>
          <w:p>
            <w:pPr>
              <w:jc w:val="center"/>
              <w:rPr>
                <w:sz w:val="24"/>
                <w:szCs w:val="24"/>
                <w:lang w:eastAsia="en-US"/>
              </w:rPr>
            </w:pPr>
            <w:r>
              <w:rPr>
                <w:sz w:val="24"/>
                <w:szCs w:val="24"/>
                <w:lang w:eastAsia="en-US"/>
              </w:rPr>
              <w:t xml:space="preserve">0,325</w:t>
            </w:r>
            <w:r>
              <w:rPr>
                <w:sz w:val="24"/>
                <w:szCs w:val="24"/>
                <w:lang w:eastAsia="en-US"/>
              </w:rPr>
            </w:r>
            <w:r>
              <w:rPr>
                <w:sz w:val="24"/>
                <w:szCs w:val="24"/>
                <w:lang w:eastAsia="en-US"/>
              </w:rPr>
            </w:r>
          </w:p>
        </w:tc>
        <w:tc>
          <w:tcPr>
            <w:tcBorders>
              <w:top w:val="single" w:color="auto" w:sz="8" w:space="0"/>
              <w:left w:val="single" w:color="auto" w:sz="8" w:space="0"/>
              <w:bottom w:val="single" w:color="auto" w:sz="8" w:space="0"/>
              <w:right w:val="single" w:color="auto" w:sz="8" w:space="0"/>
            </w:tcBorders>
            <w:tcW w:w="992" w:type="pct"/>
            <w:vAlign w:val="center"/>
            <w:textDirection w:val="lrTb"/>
            <w:noWrap w:val="false"/>
          </w:tcPr>
          <w:p>
            <w:pPr>
              <w:jc w:val="center"/>
              <w:rPr>
                <w:sz w:val="24"/>
                <w:szCs w:val="24"/>
                <w:lang w:eastAsia="en-US"/>
              </w:rPr>
            </w:pPr>
            <w:r>
              <w:rPr>
                <w:sz w:val="24"/>
                <w:szCs w:val="24"/>
                <w:lang w:eastAsia="en-US"/>
              </w:rPr>
              <w:t xml:space="preserve">0</w:t>
            </w:r>
            <w:r>
              <w:rPr>
                <w:sz w:val="24"/>
                <w:szCs w:val="24"/>
                <w:lang w:eastAsia="en-US"/>
              </w:rPr>
            </w:r>
            <w:r>
              <w:rPr>
                <w:sz w:val="24"/>
                <w:szCs w:val="24"/>
                <w:lang w:eastAsia="en-US"/>
              </w:rPr>
            </w:r>
          </w:p>
        </w:tc>
        <w:tc>
          <w:tcPr>
            <w:tcBorders>
              <w:top w:val="single" w:color="auto" w:sz="8" w:space="0"/>
              <w:left w:val="single" w:color="auto" w:sz="8" w:space="0"/>
              <w:bottom w:val="single" w:color="auto" w:sz="8" w:space="0"/>
              <w:right w:val="single" w:color="auto" w:sz="8" w:space="0"/>
            </w:tcBorders>
            <w:tcW w:w="741" w:type="pct"/>
            <w:vAlign w:val="center"/>
            <w:textDirection w:val="lrTb"/>
            <w:noWrap w:val="false"/>
          </w:tcPr>
          <w:p>
            <w:pPr>
              <w:jc w:val="center"/>
              <w:rPr>
                <w:sz w:val="24"/>
                <w:szCs w:val="24"/>
                <w:lang w:eastAsia="en-US"/>
              </w:rPr>
            </w:pPr>
            <w:r>
              <w:rPr>
                <w:sz w:val="24"/>
                <w:szCs w:val="24"/>
                <w:lang w:eastAsia="en-US"/>
              </w:rPr>
              <w:t xml:space="preserve">216,83</w:t>
            </w:r>
            <w:r>
              <w:rPr>
                <w:sz w:val="24"/>
                <w:szCs w:val="24"/>
                <w:lang w:eastAsia="en-US"/>
              </w:rPr>
            </w:r>
            <w:r>
              <w:rPr>
                <w:sz w:val="24"/>
                <w:szCs w:val="24"/>
                <w:lang w:eastAsia="en-US"/>
              </w:rPr>
            </w:r>
          </w:p>
        </w:tc>
        <w:tc>
          <w:tcPr>
            <w:tcBorders>
              <w:top w:val="single" w:color="auto" w:sz="8" w:space="0"/>
              <w:left w:val="single" w:color="auto" w:sz="8" w:space="0"/>
              <w:bottom w:val="single" w:color="auto" w:sz="8" w:space="0"/>
              <w:right w:val="single" w:color="auto" w:sz="8" w:space="0"/>
            </w:tcBorders>
            <w:tcW w:w="866" w:type="pct"/>
            <w:vAlign w:val="center"/>
            <w:textDirection w:val="lrTb"/>
            <w:noWrap w:val="false"/>
          </w:tcPr>
          <w:p>
            <w:pPr>
              <w:jc w:val="center"/>
              <w:rPr>
                <w:sz w:val="24"/>
                <w:szCs w:val="24"/>
                <w:lang w:eastAsia="en-US"/>
              </w:rPr>
            </w:pPr>
            <w:r>
              <w:rPr>
                <w:sz w:val="24"/>
                <w:szCs w:val="24"/>
                <w:lang w:eastAsia="en-US"/>
              </w:rPr>
              <w:t xml:space="preserve">1,39</w:t>
            </w:r>
            <w:r>
              <w:rPr>
                <w:sz w:val="24"/>
                <w:szCs w:val="24"/>
                <w:lang w:eastAsia="en-US"/>
              </w:rPr>
            </w:r>
            <w:r>
              <w:rPr>
                <w:sz w:val="24"/>
                <w:szCs w:val="24"/>
                <w:lang w:eastAsia="en-US"/>
              </w:rPr>
            </w:r>
          </w:p>
          <w:p>
            <w:pPr>
              <w:jc w:val="center"/>
              <w:rPr>
                <w:sz w:val="24"/>
                <w:szCs w:val="24"/>
                <w:lang w:eastAsia="en-US"/>
              </w:rPr>
            </w:pPr>
            <w:r>
              <w:rPr>
                <w:sz w:val="24"/>
                <w:szCs w:val="24"/>
                <w:lang w:eastAsia="en-US"/>
              </w:rPr>
              <w:t xml:space="preserve">2,24</w:t>
            </w:r>
            <w:r>
              <w:rPr>
                <w:sz w:val="24"/>
                <w:szCs w:val="24"/>
                <w:lang w:eastAsia="en-US"/>
              </w:rPr>
            </w:r>
            <w:r>
              <w:rPr>
                <w:sz w:val="24"/>
                <w:szCs w:val="24"/>
                <w:lang w:eastAsia="en-US"/>
              </w:rPr>
            </w:r>
          </w:p>
        </w:tc>
        <w:tc>
          <w:tcPr>
            <w:tcBorders>
              <w:top w:val="single" w:color="auto" w:sz="8" w:space="0"/>
              <w:left w:val="single" w:color="auto" w:sz="8" w:space="0"/>
              <w:bottom w:val="single" w:color="auto" w:sz="8" w:space="0"/>
              <w:right w:val="single" w:color="auto" w:sz="8" w:space="0"/>
            </w:tcBorders>
            <w:tcW w:w="867" w:type="pct"/>
            <w:vAlign w:val="center"/>
            <w:textDirection w:val="lrTb"/>
            <w:noWrap w:val="false"/>
          </w:tcPr>
          <w:p>
            <w:pPr>
              <w:jc w:val="center"/>
              <w:rPr>
                <w:sz w:val="24"/>
                <w:szCs w:val="24"/>
                <w:lang w:eastAsia="en-US"/>
              </w:rPr>
            </w:pPr>
            <w:r>
              <w:rPr>
                <w:sz w:val="24"/>
                <w:szCs w:val="24"/>
                <w:lang w:eastAsia="en-US"/>
              </w:rPr>
              <w:t xml:space="preserve">1189</w:t>
            </w:r>
            <w:r>
              <w:rPr>
                <w:sz w:val="24"/>
                <w:szCs w:val="24"/>
                <w:lang w:eastAsia="en-US"/>
              </w:rPr>
            </w:r>
            <w:r>
              <w:rPr>
                <w:sz w:val="24"/>
                <w:szCs w:val="24"/>
                <w:lang w:eastAsia="en-US"/>
              </w:rPr>
            </w:r>
          </w:p>
          <w:p>
            <w:pPr>
              <w:jc w:val="center"/>
              <w:rPr>
                <w:sz w:val="24"/>
                <w:szCs w:val="24"/>
                <w:lang w:eastAsia="en-US"/>
              </w:rPr>
            </w:pPr>
            <w:r>
              <w:rPr>
                <w:sz w:val="24"/>
                <w:szCs w:val="24"/>
                <w:lang w:eastAsia="en-US"/>
              </w:rPr>
              <w:t xml:space="preserve">1921</w:t>
            </w:r>
            <w:r>
              <w:rPr>
                <w:sz w:val="24"/>
                <w:szCs w:val="24"/>
                <w:lang w:eastAsia="en-US"/>
              </w:rPr>
            </w:r>
            <w:r>
              <w:rPr>
                <w:sz w:val="24"/>
                <w:szCs w:val="24"/>
                <w:lang w:eastAsia="en-US"/>
              </w:rPr>
            </w:r>
          </w:p>
        </w:tc>
      </w:tr>
    </w:tbl>
    <w:p>
      <w:pPr>
        <w:ind w:firstLine="680"/>
        <w:jc w:val="both"/>
        <w:rPr>
          <w:sz w:val="24"/>
          <w:szCs w:val="24"/>
        </w:rPr>
      </w:pPr>
      <w:r>
        <w:rPr>
          <w:sz w:val="24"/>
          <w:szCs w:val="24"/>
        </w:rPr>
      </w:r>
      <w:r>
        <w:rPr>
          <w:sz w:val="24"/>
          <w:szCs w:val="24"/>
        </w:rPr>
      </w:r>
      <w:r>
        <w:rPr>
          <w:sz w:val="24"/>
          <w:szCs w:val="24"/>
        </w:rPr>
      </w:r>
    </w:p>
    <w:tbl>
      <w:tblPr>
        <w:tblStyle w:val="937"/>
        <w:tblW w:w="5000" w:type="pc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190"/>
        <w:gridCol w:w="3190"/>
        <w:gridCol w:w="3190"/>
      </w:tblGrid>
      <w:tr>
        <w:tblPrEx/>
        <w:trPr/>
        <w:tc>
          <w:tcPr>
            <w:tcW w:w="1667" w:type="pct"/>
            <w:textDirection w:val="lrTb"/>
            <w:noWrap w:val="false"/>
          </w:tcPr>
          <w:p>
            <w:pPr>
              <w:jc w:val="both"/>
              <w:rPr>
                <w:b/>
                <w:sz w:val="24"/>
                <w:szCs w:val="24"/>
              </w:rPr>
            </w:pPr>
            <w:r>
              <w:rPr>
                <w:b/>
                <w:sz w:val="24"/>
                <w:szCs w:val="24"/>
              </w:rPr>
              <w:t xml:space="preserve">Концедент</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Концессионер</w:t>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t xml:space="preserve">Субъект</w:t>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t xml:space="preserve">Муниципальное образование Печенгский муниципальный округ Мурманской области</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Общество с ограниченной ответственностью «ПромВоенСтрой»</w:t>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t xml:space="preserve">Мурманская область</w:t>
            </w:r>
            <w:r>
              <w:rPr>
                <w:b/>
                <w:sz w:val="24"/>
                <w:szCs w:val="24"/>
              </w:rPr>
            </w:r>
            <w:r>
              <w:rPr>
                <w:b/>
                <w:sz w:val="24"/>
                <w:szCs w:val="24"/>
              </w:rPr>
            </w:r>
          </w:p>
          <w:p>
            <w:pPr>
              <w:jc w:val="both"/>
              <w:rPr>
                <w:b/>
                <w:sz w:val="24"/>
                <w:szCs w:val="24"/>
              </w:rPr>
            </w:pPr>
            <w:r>
              <w:rPr>
                <w:b/>
                <w:sz w:val="24"/>
                <w:szCs w:val="24"/>
              </w:rPr>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t xml:space="preserve">Глава округа</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Генеральный директор</w:t>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t xml:space="preserve">Губернатор</w:t>
            </w:r>
            <w:r>
              <w:rPr>
                <w:b/>
                <w:sz w:val="24"/>
                <w:szCs w:val="24"/>
              </w:rPr>
            </w:r>
            <w:r>
              <w:rPr>
                <w:b/>
                <w:sz w:val="24"/>
                <w:szCs w:val="24"/>
              </w:rPr>
            </w:r>
          </w:p>
        </w:tc>
      </w:tr>
      <w:tr>
        <w:tblPrEx/>
        <w:trPr>
          <w:trHeight w:val="567"/>
        </w:trPr>
        <w:tc>
          <w:tcPr>
            <w:tcW w:w="1667" w:type="pct"/>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c>
          <w:tcPr>
            <w:tcW w:w="1667" w:type="pct"/>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c>
          <w:tcPr>
            <w:tcW w:w="1666" w:type="pct"/>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r>
      <w:tr>
        <w:tblPrEx/>
        <w:trPr/>
        <w:tc>
          <w:tcPr>
            <w:tcW w:w="1667" w:type="pct"/>
            <w:textDirection w:val="lrTb"/>
            <w:noWrap w:val="false"/>
          </w:tcPr>
          <w:p>
            <w:pPr>
              <w:jc w:val="both"/>
              <w:rPr>
                <w:b/>
                <w:sz w:val="24"/>
                <w:szCs w:val="24"/>
              </w:rPr>
            </w:pPr>
            <w:r>
              <w:rPr>
                <w:sz w:val="24"/>
                <w:szCs w:val="24"/>
              </w:rPr>
              <w:t xml:space="preserve">МП      /Кузнецов А.В../</w:t>
            </w:r>
            <w:r>
              <w:rPr>
                <w:b/>
                <w:sz w:val="24"/>
                <w:szCs w:val="24"/>
              </w:rPr>
            </w:r>
            <w:r>
              <w:rPr>
                <w:b/>
                <w:sz w:val="24"/>
                <w:szCs w:val="24"/>
              </w:rPr>
            </w:r>
          </w:p>
        </w:tc>
        <w:tc>
          <w:tcPr>
            <w:tcW w:w="1667" w:type="pct"/>
            <w:textDirection w:val="lrTb"/>
            <w:noWrap w:val="false"/>
          </w:tcPr>
          <w:p>
            <w:pPr>
              <w:jc w:val="both"/>
              <w:rPr>
                <w:b/>
                <w:sz w:val="24"/>
                <w:szCs w:val="24"/>
              </w:rPr>
            </w:pPr>
            <w:r>
              <w:rPr>
                <w:sz w:val="24"/>
                <w:szCs w:val="24"/>
              </w:rPr>
              <w:t xml:space="preserve">МП       /Аршакян А.Р./</w:t>
            </w:r>
            <w:r>
              <w:rPr>
                <w:b/>
                <w:sz w:val="24"/>
                <w:szCs w:val="24"/>
              </w:rPr>
            </w:r>
            <w:r>
              <w:rPr>
                <w:b/>
                <w:sz w:val="24"/>
                <w:szCs w:val="24"/>
              </w:rPr>
            </w:r>
          </w:p>
        </w:tc>
        <w:tc>
          <w:tcPr>
            <w:tcW w:w="1666" w:type="pct"/>
            <w:textDirection w:val="lrTb"/>
            <w:noWrap w:val="false"/>
          </w:tcPr>
          <w:p>
            <w:pPr>
              <w:jc w:val="both"/>
              <w:rPr>
                <w:b/>
                <w:sz w:val="24"/>
                <w:szCs w:val="24"/>
              </w:rPr>
            </w:pPr>
            <w:r>
              <w:rPr>
                <w:sz w:val="24"/>
                <w:szCs w:val="24"/>
              </w:rPr>
              <w:t xml:space="preserve">МП         /Чибис А.В./</w:t>
            </w:r>
            <w:r>
              <w:rPr>
                <w:b/>
                <w:sz w:val="24"/>
                <w:szCs w:val="24"/>
              </w:rPr>
            </w:r>
            <w:r>
              <w:rPr>
                <w:b/>
                <w:sz w:val="24"/>
                <w:szCs w:val="24"/>
              </w:rPr>
            </w:r>
          </w:p>
        </w:tc>
      </w:tr>
      <w:tr>
        <w:tblPrEx/>
        <w:trPr/>
        <w:tc>
          <w:tcPr>
            <w:tcW w:w="1667" w:type="pct"/>
            <w:textDirection w:val="lrTb"/>
            <w:noWrap w:val="false"/>
          </w:tcPr>
          <w:p>
            <w:pPr>
              <w:jc w:val="both"/>
              <w:rPr>
                <w:b/>
                <w:sz w:val="24"/>
                <w:szCs w:val="24"/>
              </w:rPr>
            </w:pPr>
            <w:r>
              <w:rPr>
                <w:sz w:val="24"/>
                <w:szCs w:val="24"/>
              </w:rPr>
              <w:t xml:space="preserve">«___»____________ 20__ г.</w:t>
            </w:r>
            <w:r>
              <w:rPr>
                <w:b/>
                <w:sz w:val="24"/>
                <w:szCs w:val="24"/>
              </w:rPr>
            </w:r>
            <w:r>
              <w:rPr>
                <w:b/>
                <w:sz w:val="24"/>
                <w:szCs w:val="24"/>
              </w:rPr>
            </w:r>
          </w:p>
        </w:tc>
        <w:tc>
          <w:tcPr>
            <w:tcW w:w="1667" w:type="pct"/>
            <w:textDirection w:val="lrTb"/>
            <w:noWrap w:val="false"/>
          </w:tcPr>
          <w:p>
            <w:pPr>
              <w:jc w:val="both"/>
              <w:rPr>
                <w:sz w:val="24"/>
                <w:szCs w:val="24"/>
              </w:rPr>
            </w:pPr>
            <w:r>
              <w:rPr>
                <w:sz w:val="24"/>
                <w:szCs w:val="24"/>
              </w:rPr>
              <w:t xml:space="preserve">«___»____________ 20__ г.</w:t>
            </w:r>
            <w:r>
              <w:rPr>
                <w:sz w:val="24"/>
                <w:szCs w:val="24"/>
              </w:rPr>
            </w:r>
            <w:r>
              <w:rPr>
                <w:sz w:val="24"/>
                <w:szCs w:val="24"/>
              </w:rPr>
            </w:r>
          </w:p>
        </w:tc>
        <w:tc>
          <w:tcPr>
            <w:tcW w:w="1666" w:type="pct"/>
            <w:textDirection w:val="lrTb"/>
            <w:noWrap w:val="false"/>
          </w:tcPr>
          <w:p>
            <w:pPr>
              <w:jc w:val="both"/>
              <w:rPr>
                <w:b/>
                <w:sz w:val="24"/>
                <w:szCs w:val="24"/>
              </w:rPr>
            </w:pPr>
            <w:r>
              <w:rPr>
                <w:sz w:val="24"/>
                <w:szCs w:val="24"/>
              </w:rPr>
              <w:t xml:space="preserve">«___»____________ 20__ г.</w:t>
            </w:r>
            <w:r>
              <w:rPr>
                <w:b/>
                <w:sz w:val="24"/>
                <w:szCs w:val="24"/>
              </w:rPr>
            </w:r>
            <w:r>
              <w:rPr>
                <w:b/>
                <w:sz w:val="24"/>
                <w:szCs w:val="24"/>
              </w:rPr>
            </w:r>
          </w:p>
        </w:tc>
      </w:tr>
    </w:tbl>
    <w:p>
      <w:pPr>
        <w:ind w:firstLine="680"/>
        <w:jc w:val="both"/>
        <w:rPr>
          <w:sz w:val="24"/>
          <w:szCs w:val="24"/>
        </w:rPr>
      </w:pPr>
      <w:r>
        <w:rPr>
          <w:sz w:val="24"/>
          <w:szCs w:val="24"/>
        </w:rPr>
      </w:r>
      <w:r>
        <w:rPr>
          <w:sz w:val="24"/>
          <w:szCs w:val="24"/>
        </w:rPr>
      </w:r>
      <w:r>
        <w:rPr>
          <w:sz w:val="24"/>
          <w:szCs w:val="24"/>
        </w:rPr>
      </w:r>
    </w:p>
    <w:p>
      <w:pPr>
        <w:shd w:val="nil" w:color="auto"/>
        <w:rPr>
          <w:sz w:val="24"/>
          <w:szCs w:val="24"/>
        </w:rPr>
      </w:pPr>
      <w:r>
        <w:rPr>
          <w:sz w:val="24"/>
          <w:szCs w:val="24"/>
        </w:rPr>
        <w:br w:type="page" w:clear="all"/>
      </w:r>
      <w:r>
        <w:rPr>
          <w:sz w:val="24"/>
          <w:szCs w:val="24"/>
        </w:rPr>
      </w:r>
      <w:r>
        <w:rPr>
          <w:sz w:val="24"/>
          <w:szCs w:val="24"/>
        </w:rPr>
      </w:r>
    </w:p>
    <w:p>
      <w:pPr>
        <w:ind w:left="5528" w:right="0" w:firstLine="0"/>
        <w:jc w:val="both"/>
        <w:rPr>
          <w:sz w:val="24"/>
          <w:szCs w:val="24"/>
        </w:rPr>
      </w:pPr>
      <w:r>
        <w:rPr>
          <w:sz w:val="24"/>
          <w:szCs w:val="24"/>
        </w:rPr>
        <w:t xml:space="preserve">Приложение № 8</w:t>
      </w:r>
      <w:r>
        <w:rPr>
          <w:sz w:val="24"/>
          <w:szCs w:val="24"/>
        </w:rPr>
      </w:r>
      <w:r>
        <w:rPr>
          <w:sz w:val="24"/>
          <w:szCs w:val="24"/>
        </w:rPr>
      </w:r>
    </w:p>
    <w:p>
      <w:pPr>
        <w:ind w:left="5528" w:right="0" w:firstLine="0"/>
        <w:jc w:val="both"/>
        <w:rPr>
          <w:sz w:val="24"/>
          <w:szCs w:val="24"/>
        </w:rPr>
      </w:pPr>
      <w:r>
        <w:rPr>
          <w:sz w:val="24"/>
          <w:szCs w:val="24"/>
        </w:rPr>
        <w:t xml:space="preserve">к Концессионному соглашению</w:t>
      </w:r>
      <w:r>
        <w:rPr>
          <w:sz w:val="24"/>
          <w:szCs w:val="24"/>
        </w:rPr>
      </w:r>
      <w:r>
        <w:rPr>
          <w:sz w:val="24"/>
          <w:szCs w:val="24"/>
        </w:rPr>
      </w:r>
    </w:p>
    <w:p>
      <w:pPr>
        <w:ind w:left="5528" w:right="0" w:firstLine="0"/>
        <w:jc w:val="both"/>
        <w:rPr>
          <w:sz w:val="24"/>
          <w:szCs w:val="24"/>
        </w:rPr>
      </w:pPr>
      <w:r>
        <w:rPr>
          <w:sz w:val="24"/>
          <w:szCs w:val="24"/>
        </w:rPr>
        <w:t xml:space="preserve">от «__»______ 2024 года №______</w:t>
      </w:r>
      <w:r>
        <w:rPr>
          <w:sz w:val="24"/>
          <w:szCs w:val="24"/>
        </w:rPr>
      </w:r>
      <w:r>
        <w:rPr>
          <w:sz w:val="24"/>
          <w:szCs w:val="24"/>
        </w:rPr>
      </w:r>
    </w:p>
    <w:p>
      <w:pPr>
        <w:ind w:firstLine="680"/>
        <w:jc w:val="both"/>
        <w:rPr>
          <w:b/>
          <w:sz w:val="24"/>
          <w:szCs w:val="24"/>
        </w:rPr>
      </w:pPr>
      <w:r>
        <w:rPr>
          <w:b/>
          <w:sz w:val="24"/>
          <w:szCs w:val="24"/>
        </w:rPr>
      </w:r>
      <w:r>
        <w:rPr>
          <w:b/>
          <w:sz w:val="24"/>
          <w:szCs w:val="24"/>
        </w:rPr>
      </w:r>
      <w:r>
        <w:rPr>
          <w:b/>
          <w:sz w:val="24"/>
          <w:szCs w:val="24"/>
        </w:rPr>
      </w:r>
    </w:p>
    <w:p>
      <w:pPr>
        <w:ind w:firstLine="680"/>
        <w:jc w:val="both"/>
        <w:rPr>
          <w:b/>
          <w:sz w:val="24"/>
          <w:szCs w:val="24"/>
        </w:rPr>
      </w:pPr>
      <w:r>
        <w:rPr>
          <w:b/>
          <w:sz w:val="24"/>
          <w:szCs w:val="24"/>
        </w:rPr>
      </w:r>
      <w:r>
        <w:rPr>
          <w:b/>
          <w:sz w:val="24"/>
          <w:szCs w:val="24"/>
        </w:rPr>
      </w:r>
      <w:r>
        <w:rPr>
          <w:b/>
          <w:sz w:val="24"/>
          <w:szCs w:val="24"/>
        </w:rPr>
      </w:r>
    </w:p>
    <w:p>
      <w:pPr>
        <w:ind w:firstLine="680"/>
        <w:jc w:val="center"/>
        <w:rPr>
          <w:b/>
          <w:sz w:val="24"/>
          <w:szCs w:val="24"/>
        </w:rPr>
      </w:pPr>
      <w:r>
        <w:rPr>
          <w:b/>
          <w:sz w:val="24"/>
          <w:szCs w:val="24"/>
        </w:rPr>
        <w:t xml:space="preserve">Объем полезного отпуска тепловой энергии (мощности) и (или) теплоносителя в году, предшествующем первому году действия Соглашения, а также прогноз объема полезного отпуска тепловой энергии (мощности) и (или) теплоносителя на срок действия Соглашения</w:t>
      </w:r>
      <w:r>
        <w:rPr>
          <w:b/>
          <w:sz w:val="24"/>
          <w:szCs w:val="24"/>
        </w:rPr>
      </w:r>
      <w:r>
        <w:rPr>
          <w:b/>
          <w:sz w:val="24"/>
          <w:szCs w:val="24"/>
        </w:rPr>
      </w:r>
    </w:p>
    <w:p>
      <w:pPr>
        <w:ind w:firstLine="680"/>
        <w:jc w:val="both"/>
        <w:rPr>
          <w:sz w:val="24"/>
          <w:szCs w:val="24"/>
        </w:rPr>
      </w:pPr>
      <w:r>
        <w:rPr>
          <w:sz w:val="24"/>
          <w:szCs w:val="24"/>
        </w:rPr>
      </w:r>
      <w:r>
        <w:rPr>
          <w:sz w:val="24"/>
          <w:szCs w:val="24"/>
        </w:rPr>
      </w:r>
      <w:r>
        <w:rPr>
          <w:sz w:val="24"/>
          <w:szCs w:val="24"/>
        </w:rPr>
      </w:r>
    </w:p>
    <w:p>
      <w:pPr>
        <w:ind w:firstLine="680"/>
        <w:jc w:val="both"/>
        <w:rPr>
          <w:sz w:val="24"/>
          <w:szCs w:val="24"/>
        </w:rPr>
      </w:pPr>
      <w:r>
        <w:rPr>
          <w:sz w:val="24"/>
          <w:szCs w:val="24"/>
        </w:rPr>
      </w:r>
      <w:r>
        <w:rPr>
          <w:sz w:val="24"/>
          <w:szCs w:val="24"/>
        </w:rPr>
      </w:r>
      <w:r>
        <w:rPr>
          <w:sz w:val="24"/>
          <w:szCs w:val="24"/>
        </w:rPr>
      </w:r>
    </w:p>
    <w:tbl>
      <w:tblPr>
        <w:tblStyle w:val="937"/>
        <w:tblW w:w="5000" w:type="pct"/>
        <w:tblLook w:val="04A0" w:firstRow="1" w:lastRow="0" w:firstColumn="1" w:lastColumn="0" w:noHBand="0" w:noVBand="1"/>
      </w:tblPr>
      <w:tblGrid>
        <w:gridCol w:w="3190"/>
        <w:gridCol w:w="3191"/>
        <w:gridCol w:w="3189"/>
      </w:tblGrid>
      <w:tr>
        <w:tblPrEx/>
        <w:trPr>
          <w:trHeight w:val="1082"/>
        </w:trPr>
        <w:tc>
          <w:tcPr>
            <w:tcW w:w="1667" w:type="pct"/>
            <w:vAlign w:val="center"/>
            <w:textDirection w:val="lrTb"/>
            <w:noWrap w:val="false"/>
          </w:tcPr>
          <w:p>
            <w:pPr>
              <w:jc w:val="center"/>
              <w:rPr>
                <w:sz w:val="24"/>
                <w:szCs w:val="24"/>
              </w:rPr>
            </w:pPr>
            <w:r>
              <w:rPr>
                <w:sz w:val="24"/>
                <w:szCs w:val="24"/>
              </w:rPr>
              <w:t xml:space="preserve">Период</w:t>
            </w:r>
            <w:r>
              <w:rPr>
                <w:sz w:val="24"/>
                <w:szCs w:val="24"/>
              </w:rPr>
            </w:r>
            <w:r>
              <w:rPr>
                <w:sz w:val="24"/>
                <w:szCs w:val="24"/>
              </w:rPr>
            </w:r>
          </w:p>
        </w:tc>
        <w:tc>
          <w:tcPr>
            <w:tcW w:w="1667" w:type="pct"/>
            <w:vAlign w:val="center"/>
            <w:textDirection w:val="lrTb"/>
            <w:noWrap w:val="false"/>
          </w:tcPr>
          <w:p>
            <w:pPr>
              <w:jc w:val="center"/>
              <w:rPr>
                <w:sz w:val="24"/>
                <w:szCs w:val="24"/>
              </w:rPr>
            </w:pPr>
            <w:r>
              <w:rPr>
                <w:sz w:val="24"/>
                <w:szCs w:val="24"/>
              </w:rPr>
              <w:t xml:space="preserve">Полезный отпуск,</w:t>
            </w:r>
            <w:r>
              <w:rPr>
                <w:sz w:val="24"/>
                <w:szCs w:val="24"/>
              </w:rPr>
            </w:r>
            <w:r>
              <w:rPr>
                <w:sz w:val="24"/>
                <w:szCs w:val="24"/>
              </w:rPr>
            </w:r>
          </w:p>
          <w:p>
            <w:pPr>
              <w:jc w:val="center"/>
              <w:rPr>
                <w:sz w:val="24"/>
                <w:szCs w:val="24"/>
              </w:rPr>
            </w:pPr>
            <w:r>
              <w:rPr>
                <w:sz w:val="24"/>
                <w:szCs w:val="24"/>
              </w:rPr>
              <w:t xml:space="preserve">тыс. Гкал</w:t>
            </w:r>
            <w:r>
              <w:rPr>
                <w:sz w:val="24"/>
                <w:szCs w:val="24"/>
              </w:rPr>
            </w:r>
            <w:r>
              <w:rPr>
                <w:sz w:val="24"/>
                <w:szCs w:val="24"/>
              </w:rPr>
            </w:r>
          </w:p>
        </w:tc>
        <w:tc>
          <w:tcPr>
            <w:tcW w:w="1666" w:type="pct"/>
            <w:vAlign w:val="center"/>
            <w:textDirection w:val="lrTb"/>
            <w:noWrap w:val="false"/>
          </w:tcPr>
          <w:p>
            <w:pPr>
              <w:jc w:val="center"/>
              <w:rPr>
                <w:sz w:val="24"/>
                <w:szCs w:val="24"/>
              </w:rPr>
            </w:pPr>
            <w:r>
              <w:rPr>
                <w:sz w:val="24"/>
                <w:szCs w:val="24"/>
              </w:rPr>
              <w:t xml:space="preserve">Прирост полезного отпуска (прогнозный), тыс. Гкал</w:t>
            </w:r>
            <w:r>
              <w:rPr>
                <w:sz w:val="24"/>
                <w:szCs w:val="24"/>
              </w:rPr>
            </w:r>
            <w:r>
              <w:rPr>
                <w:sz w:val="24"/>
                <w:szCs w:val="24"/>
              </w:rPr>
            </w:r>
          </w:p>
        </w:tc>
      </w:tr>
      <w:tr>
        <w:tblPrEx/>
        <w:trPr>
          <w:trHeight w:val="555"/>
        </w:trPr>
        <w:tc>
          <w:tcPr>
            <w:tcW w:w="1667" w:type="pct"/>
            <w:vAlign w:val="center"/>
            <w:textDirection w:val="lrTb"/>
            <w:noWrap w:val="false"/>
          </w:tcPr>
          <w:p>
            <w:pPr>
              <w:jc w:val="center"/>
              <w:rPr>
                <w:sz w:val="24"/>
                <w:szCs w:val="24"/>
              </w:rPr>
            </w:pPr>
            <w:r>
              <w:rPr>
                <w:sz w:val="24"/>
                <w:szCs w:val="24"/>
              </w:rPr>
              <w:t xml:space="preserve">2023 год</w:t>
            </w:r>
            <w:r>
              <w:rPr>
                <w:sz w:val="24"/>
                <w:szCs w:val="24"/>
              </w:rPr>
            </w:r>
            <w:r>
              <w:rPr>
                <w:sz w:val="24"/>
                <w:szCs w:val="24"/>
              </w:rPr>
            </w:r>
          </w:p>
        </w:tc>
        <w:tc>
          <w:tcPr>
            <w:tcW w:w="1667" w:type="pct"/>
            <w:vAlign w:val="center"/>
            <w:textDirection w:val="lrTb"/>
            <w:noWrap w:val="false"/>
          </w:tcPr>
          <w:p>
            <w:pPr>
              <w:jc w:val="center"/>
              <w:rPr>
                <w:sz w:val="24"/>
                <w:szCs w:val="24"/>
              </w:rPr>
            </w:pPr>
            <w:r>
              <w:rPr>
                <w:sz w:val="24"/>
                <w:szCs w:val="24"/>
              </w:rPr>
              <w:t xml:space="preserve">33,100</w:t>
            </w:r>
            <w:r>
              <w:rPr>
                <w:sz w:val="24"/>
                <w:szCs w:val="24"/>
              </w:rPr>
            </w:r>
            <w:r>
              <w:rPr>
                <w:sz w:val="24"/>
                <w:szCs w:val="24"/>
              </w:rPr>
            </w:r>
          </w:p>
        </w:tc>
        <w:tc>
          <w:tcPr>
            <w:tcW w:w="1666" w:type="pct"/>
            <w:vAlign w:val="center"/>
            <w:textDirection w:val="lrTb"/>
            <w:noWrap w:val="false"/>
          </w:tcPr>
          <w:p>
            <w:pPr>
              <w:jc w:val="center"/>
              <w:rPr>
                <w:sz w:val="24"/>
                <w:szCs w:val="24"/>
              </w:rPr>
            </w:pPr>
            <w:r>
              <w:rPr>
                <w:sz w:val="24"/>
                <w:szCs w:val="24"/>
              </w:rPr>
              <w:t xml:space="preserve">-</w:t>
            </w:r>
            <w:r>
              <w:rPr>
                <w:sz w:val="24"/>
                <w:szCs w:val="24"/>
              </w:rPr>
            </w:r>
            <w:r>
              <w:rPr>
                <w:sz w:val="24"/>
                <w:szCs w:val="24"/>
              </w:rPr>
            </w:r>
          </w:p>
        </w:tc>
      </w:tr>
      <w:tr>
        <w:tblPrEx/>
        <w:trPr>
          <w:trHeight w:val="555"/>
        </w:trPr>
        <w:tc>
          <w:tcPr>
            <w:tcW w:w="1667" w:type="pct"/>
            <w:vAlign w:val="center"/>
            <w:textDirection w:val="lrTb"/>
            <w:noWrap w:val="false"/>
          </w:tcPr>
          <w:p>
            <w:pPr>
              <w:jc w:val="center"/>
              <w:rPr>
                <w:sz w:val="24"/>
                <w:szCs w:val="24"/>
              </w:rPr>
            </w:pPr>
            <w:r>
              <w:rPr>
                <w:sz w:val="24"/>
                <w:szCs w:val="24"/>
              </w:rPr>
              <w:t xml:space="preserve">2024 - 2033 годы</w:t>
            </w:r>
            <w:r>
              <w:rPr>
                <w:sz w:val="24"/>
                <w:szCs w:val="24"/>
              </w:rPr>
            </w:r>
            <w:r>
              <w:rPr>
                <w:sz w:val="24"/>
                <w:szCs w:val="24"/>
              </w:rPr>
            </w:r>
          </w:p>
        </w:tc>
        <w:tc>
          <w:tcPr>
            <w:tcW w:w="1667" w:type="pct"/>
            <w:vAlign w:val="center"/>
            <w:textDirection w:val="lrTb"/>
            <w:noWrap w:val="false"/>
          </w:tcPr>
          <w:p>
            <w:pPr>
              <w:jc w:val="center"/>
              <w:rPr>
                <w:sz w:val="24"/>
                <w:szCs w:val="24"/>
              </w:rPr>
            </w:pPr>
            <w:r>
              <w:rPr>
                <w:sz w:val="24"/>
                <w:szCs w:val="24"/>
              </w:rPr>
              <w:t xml:space="preserve">32,836</w:t>
            </w:r>
            <w:r>
              <w:rPr>
                <w:sz w:val="24"/>
                <w:szCs w:val="24"/>
              </w:rPr>
            </w:r>
            <w:r>
              <w:rPr>
                <w:sz w:val="24"/>
                <w:szCs w:val="24"/>
              </w:rPr>
            </w:r>
          </w:p>
        </w:tc>
        <w:tc>
          <w:tcPr>
            <w:tcW w:w="1666" w:type="pct"/>
            <w:vAlign w:val="center"/>
            <w:textDirection w:val="lrTb"/>
            <w:noWrap w:val="false"/>
          </w:tcPr>
          <w:p>
            <w:pPr>
              <w:jc w:val="center"/>
              <w:rPr>
                <w:sz w:val="24"/>
                <w:szCs w:val="24"/>
              </w:rPr>
            </w:pPr>
            <w:r>
              <w:rPr>
                <w:sz w:val="24"/>
                <w:szCs w:val="24"/>
              </w:rPr>
              <w:t xml:space="preserve">-</w:t>
            </w:r>
            <w:r>
              <w:rPr>
                <w:sz w:val="24"/>
                <w:szCs w:val="24"/>
              </w:rPr>
            </w:r>
            <w:r>
              <w:rPr>
                <w:sz w:val="24"/>
                <w:szCs w:val="24"/>
              </w:rPr>
            </w:r>
          </w:p>
        </w:tc>
      </w:tr>
    </w:tbl>
    <w:p>
      <w:pPr>
        <w:ind w:firstLine="680"/>
        <w:jc w:val="both"/>
        <w:rPr>
          <w:sz w:val="24"/>
          <w:szCs w:val="24"/>
        </w:rPr>
      </w:pPr>
      <w:r>
        <w:rPr>
          <w:sz w:val="24"/>
          <w:szCs w:val="24"/>
        </w:rPr>
      </w:r>
      <w:r>
        <w:rPr>
          <w:sz w:val="24"/>
          <w:szCs w:val="24"/>
        </w:rPr>
      </w:r>
      <w:r>
        <w:rPr>
          <w:sz w:val="24"/>
          <w:szCs w:val="24"/>
        </w:rPr>
      </w:r>
    </w:p>
    <w:p>
      <w:pPr>
        <w:jc w:val="both"/>
        <w:rPr>
          <w:sz w:val="24"/>
          <w:szCs w:val="24"/>
        </w:rPr>
      </w:pPr>
      <w:r>
        <w:rPr>
          <w:sz w:val="24"/>
          <w:szCs w:val="24"/>
        </w:rPr>
        <w:t xml:space="preserve">Изменение полезного отпуска учитывается при тарифном регулировании в соответствии с действующим законодательством и выбранным методом регулирования, не является основанием для внесения изменений в Соглашение.</w:t>
      </w:r>
      <w:r>
        <w:rPr>
          <w:sz w:val="24"/>
          <w:szCs w:val="24"/>
        </w:rPr>
      </w:r>
      <w:r>
        <w:rPr>
          <w:sz w:val="24"/>
          <w:szCs w:val="24"/>
        </w:rPr>
      </w:r>
    </w:p>
    <w:p>
      <w:pPr>
        <w:ind w:firstLine="680"/>
        <w:jc w:val="both"/>
        <w:rPr>
          <w:sz w:val="24"/>
          <w:szCs w:val="24"/>
        </w:rPr>
      </w:pPr>
      <w:r>
        <w:rPr>
          <w:sz w:val="24"/>
          <w:szCs w:val="24"/>
        </w:rPr>
      </w:r>
      <w:r>
        <w:rPr>
          <w:sz w:val="24"/>
          <w:szCs w:val="24"/>
        </w:rPr>
      </w:r>
      <w:r>
        <w:rPr>
          <w:sz w:val="24"/>
          <w:szCs w:val="24"/>
        </w:rPr>
      </w:r>
    </w:p>
    <w:p>
      <w:pPr>
        <w:ind w:firstLine="680"/>
        <w:jc w:val="both"/>
        <w:rPr>
          <w:sz w:val="24"/>
          <w:szCs w:val="24"/>
        </w:rPr>
      </w:pPr>
      <w:r>
        <w:rPr>
          <w:sz w:val="24"/>
          <w:szCs w:val="24"/>
        </w:rPr>
      </w:r>
      <w:r>
        <w:rPr>
          <w:sz w:val="24"/>
          <w:szCs w:val="24"/>
        </w:rPr>
      </w:r>
      <w:r>
        <w:rPr>
          <w:sz w:val="24"/>
          <w:szCs w:val="24"/>
        </w:rPr>
      </w:r>
    </w:p>
    <w:tbl>
      <w:tblPr>
        <w:tblStyle w:val="937"/>
        <w:tblW w:w="5000" w:type="pc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190"/>
        <w:gridCol w:w="3190"/>
        <w:gridCol w:w="3190"/>
      </w:tblGrid>
      <w:tr>
        <w:tblPrEx/>
        <w:trPr/>
        <w:tc>
          <w:tcPr>
            <w:tcW w:w="1667" w:type="pct"/>
            <w:textDirection w:val="lrTb"/>
            <w:noWrap w:val="false"/>
          </w:tcPr>
          <w:p>
            <w:pPr>
              <w:jc w:val="both"/>
              <w:rPr>
                <w:b/>
                <w:sz w:val="24"/>
                <w:szCs w:val="24"/>
              </w:rPr>
            </w:pPr>
            <w:r>
              <w:rPr>
                <w:b/>
                <w:sz w:val="24"/>
                <w:szCs w:val="24"/>
              </w:rPr>
              <w:t xml:space="preserve">Концедент</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Концессионер</w:t>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t xml:space="preserve">Субъект</w:t>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t xml:space="preserve">Муниципальное образование Печенгский муниципальный округ Мурманской области</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Общество с ограниченной ответственностью «ПромВоенСтрой»</w:t>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t xml:space="preserve">Мурманская область</w:t>
            </w:r>
            <w:r>
              <w:rPr>
                <w:b/>
                <w:sz w:val="24"/>
                <w:szCs w:val="24"/>
              </w:rPr>
            </w:r>
            <w:r>
              <w:rPr>
                <w:b/>
                <w:sz w:val="24"/>
                <w:szCs w:val="24"/>
              </w:rPr>
            </w:r>
          </w:p>
          <w:p>
            <w:pPr>
              <w:jc w:val="both"/>
              <w:rPr>
                <w:b/>
                <w:sz w:val="24"/>
                <w:szCs w:val="24"/>
              </w:rPr>
            </w:pPr>
            <w:r>
              <w:rPr>
                <w:b/>
                <w:sz w:val="24"/>
                <w:szCs w:val="24"/>
              </w:rPr>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t xml:space="preserve">Глава округа</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Генеральный директор</w:t>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t xml:space="preserve">Губернатор</w:t>
            </w:r>
            <w:r>
              <w:rPr>
                <w:b/>
                <w:sz w:val="24"/>
                <w:szCs w:val="24"/>
              </w:rPr>
            </w:r>
            <w:r>
              <w:rPr>
                <w:b/>
                <w:sz w:val="24"/>
                <w:szCs w:val="24"/>
              </w:rPr>
            </w:r>
          </w:p>
        </w:tc>
      </w:tr>
      <w:tr>
        <w:tblPrEx/>
        <w:trPr>
          <w:trHeight w:val="567"/>
        </w:trPr>
        <w:tc>
          <w:tcPr>
            <w:tcW w:w="1667" w:type="pct"/>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c>
          <w:tcPr>
            <w:tcW w:w="1667" w:type="pct"/>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c>
          <w:tcPr>
            <w:tcW w:w="1666" w:type="pct"/>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r>
      <w:tr>
        <w:tblPrEx/>
        <w:trPr/>
        <w:tc>
          <w:tcPr>
            <w:tcW w:w="1667" w:type="pct"/>
            <w:textDirection w:val="lrTb"/>
            <w:noWrap w:val="false"/>
          </w:tcPr>
          <w:p>
            <w:pPr>
              <w:jc w:val="both"/>
              <w:rPr>
                <w:b/>
                <w:sz w:val="24"/>
                <w:szCs w:val="24"/>
              </w:rPr>
            </w:pPr>
            <w:r>
              <w:rPr>
                <w:sz w:val="24"/>
                <w:szCs w:val="24"/>
              </w:rPr>
              <w:t xml:space="preserve">МП      /Кузнецов А.В../</w:t>
            </w:r>
            <w:r>
              <w:rPr>
                <w:b/>
                <w:sz w:val="24"/>
                <w:szCs w:val="24"/>
              </w:rPr>
            </w:r>
            <w:r>
              <w:rPr>
                <w:b/>
                <w:sz w:val="24"/>
                <w:szCs w:val="24"/>
              </w:rPr>
            </w:r>
          </w:p>
        </w:tc>
        <w:tc>
          <w:tcPr>
            <w:tcW w:w="1667" w:type="pct"/>
            <w:textDirection w:val="lrTb"/>
            <w:noWrap w:val="false"/>
          </w:tcPr>
          <w:p>
            <w:pPr>
              <w:jc w:val="both"/>
              <w:rPr>
                <w:b/>
                <w:sz w:val="24"/>
                <w:szCs w:val="24"/>
              </w:rPr>
            </w:pPr>
            <w:r>
              <w:rPr>
                <w:sz w:val="24"/>
                <w:szCs w:val="24"/>
              </w:rPr>
              <w:t xml:space="preserve">МП       /Аршакян А.Р./</w:t>
            </w:r>
            <w:r>
              <w:rPr>
                <w:b/>
                <w:sz w:val="24"/>
                <w:szCs w:val="24"/>
              </w:rPr>
            </w:r>
            <w:r>
              <w:rPr>
                <w:b/>
                <w:sz w:val="24"/>
                <w:szCs w:val="24"/>
              </w:rPr>
            </w:r>
          </w:p>
        </w:tc>
        <w:tc>
          <w:tcPr>
            <w:tcW w:w="1666" w:type="pct"/>
            <w:textDirection w:val="lrTb"/>
            <w:noWrap w:val="false"/>
          </w:tcPr>
          <w:p>
            <w:pPr>
              <w:jc w:val="both"/>
              <w:rPr>
                <w:b/>
                <w:sz w:val="24"/>
                <w:szCs w:val="24"/>
              </w:rPr>
            </w:pPr>
            <w:r>
              <w:rPr>
                <w:sz w:val="24"/>
                <w:szCs w:val="24"/>
              </w:rPr>
              <w:t xml:space="preserve">МП         /Чибис А.В./</w:t>
            </w:r>
            <w:r>
              <w:rPr>
                <w:b/>
                <w:sz w:val="24"/>
                <w:szCs w:val="24"/>
              </w:rPr>
            </w:r>
            <w:r>
              <w:rPr>
                <w:b/>
                <w:sz w:val="24"/>
                <w:szCs w:val="24"/>
              </w:rPr>
            </w:r>
          </w:p>
        </w:tc>
      </w:tr>
      <w:tr>
        <w:tblPrEx/>
        <w:trPr/>
        <w:tc>
          <w:tcPr>
            <w:tcW w:w="1667" w:type="pct"/>
            <w:textDirection w:val="lrTb"/>
            <w:noWrap w:val="false"/>
          </w:tcPr>
          <w:p>
            <w:pPr>
              <w:jc w:val="both"/>
              <w:rPr>
                <w:b/>
                <w:sz w:val="24"/>
                <w:szCs w:val="24"/>
              </w:rPr>
            </w:pPr>
            <w:r>
              <w:rPr>
                <w:sz w:val="24"/>
                <w:szCs w:val="24"/>
              </w:rPr>
              <w:t xml:space="preserve">«___»____________ 20__ г.</w:t>
            </w:r>
            <w:r>
              <w:rPr>
                <w:b/>
                <w:sz w:val="24"/>
                <w:szCs w:val="24"/>
              </w:rPr>
            </w:r>
            <w:r>
              <w:rPr>
                <w:b/>
                <w:sz w:val="24"/>
                <w:szCs w:val="24"/>
              </w:rPr>
            </w:r>
          </w:p>
        </w:tc>
        <w:tc>
          <w:tcPr>
            <w:tcW w:w="1667" w:type="pct"/>
            <w:textDirection w:val="lrTb"/>
            <w:noWrap w:val="false"/>
          </w:tcPr>
          <w:p>
            <w:pPr>
              <w:jc w:val="both"/>
              <w:rPr>
                <w:sz w:val="24"/>
                <w:szCs w:val="24"/>
              </w:rPr>
            </w:pPr>
            <w:r>
              <w:rPr>
                <w:sz w:val="24"/>
                <w:szCs w:val="24"/>
              </w:rPr>
              <w:t xml:space="preserve">«___»____________ 20__ г.</w:t>
            </w:r>
            <w:r>
              <w:rPr>
                <w:sz w:val="24"/>
                <w:szCs w:val="24"/>
              </w:rPr>
            </w:r>
            <w:r>
              <w:rPr>
                <w:sz w:val="24"/>
                <w:szCs w:val="24"/>
              </w:rPr>
            </w:r>
          </w:p>
        </w:tc>
        <w:tc>
          <w:tcPr>
            <w:tcW w:w="1666" w:type="pct"/>
            <w:textDirection w:val="lrTb"/>
            <w:noWrap w:val="false"/>
          </w:tcPr>
          <w:p>
            <w:pPr>
              <w:jc w:val="both"/>
              <w:rPr>
                <w:b/>
                <w:sz w:val="24"/>
                <w:szCs w:val="24"/>
              </w:rPr>
            </w:pPr>
            <w:r>
              <w:rPr>
                <w:sz w:val="24"/>
                <w:szCs w:val="24"/>
              </w:rPr>
              <w:t xml:space="preserve">«___»____________ 20__ г.</w:t>
            </w:r>
            <w:r>
              <w:rPr>
                <w:b/>
                <w:sz w:val="24"/>
                <w:szCs w:val="24"/>
              </w:rPr>
            </w:r>
            <w:r>
              <w:rPr>
                <w:b/>
                <w:sz w:val="24"/>
                <w:szCs w:val="24"/>
              </w:rPr>
            </w:r>
          </w:p>
        </w:tc>
      </w:tr>
    </w:tbl>
    <w:p>
      <w:pPr>
        <w:ind w:firstLine="680"/>
        <w:jc w:val="both"/>
        <w:rPr>
          <w:sz w:val="24"/>
          <w:szCs w:val="24"/>
        </w:rPr>
      </w:pPr>
      <w:r>
        <w:rPr>
          <w:sz w:val="24"/>
          <w:szCs w:val="24"/>
        </w:rPr>
      </w:r>
      <w:r>
        <w:rPr>
          <w:sz w:val="24"/>
          <w:szCs w:val="24"/>
        </w:rPr>
      </w:r>
      <w:r>
        <w:rPr>
          <w:sz w:val="24"/>
          <w:szCs w:val="24"/>
        </w:rPr>
      </w:r>
    </w:p>
    <w:p>
      <w:pPr>
        <w:shd w:val="nil" w:color="auto"/>
        <w:rPr>
          <w:sz w:val="24"/>
          <w:szCs w:val="24"/>
        </w:rPr>
      </w:pPr>
      <w:r>
        <w:rPr>
          <w:sz w:val="24"/>
          <w:szCs w:val="24"/>
        </w:rPr>
        <w:br w:type="page" w:clear="all"/>
      </w:r>
      <w:r>
        <w:rPr>
          <w:sz w:val="24"/>
          <w:szCs w:val="24"/>
        </w:rPr>
      </w:r>
      <w:r>
        <w:rPr>
          <w:sz w:val="24"/>
          <w:szCs w:val="24"/>
        </w:rPr>
      </w:r>
    </w:p>
    <w:p>
      <w:pPr>
        <w:ind w:left="5528" w:right="0" w:firstLine="0"/>
        <w:jc w:val="both"/>
        <w:rPr>
          <w:sz w:val="24"/>
          <w:szCs w:val="24"/>
        </w:rPr>
      </w:pPr>
      <w:r>
        <w:rPr>
          <w:sz w:val="24"/>
          <w:szCs w:val="24"/>
        </w:rPr>
        <w:t xml:space="preserve">Приложение № 9</w:t>
      </w:r>
      <w:r>
        <w:rPr>
          <w:sz w:val="24"/>
          <w:szCs w:val="24"/>
        </w:rPr>
      </w:r>
      <w:r>
        <w:rPr>
          <w:sz w:val="24"/>
          <w:szCs w:val="24"/>
        </w:rPr>
      </w:r>
    </w:p>
    <w:p>
      <w:pPr>
        <w:ind w:left="5528" w:right="0" w:firstLine="0"/>
        <w:jc w:val="both"/>
        <w:rPr>
          <w:sz w:val="24"/>
          <w:szCs w:val="24"/>
        </w:rPr>
      </w:pPr>
      <w:r>
        <w:rPr>
          <w:sz w:val="24"/>
          <w:szCs w:val="24"/>
        </w:rPr>
        <w:t xml:space="preserve">к Концессионному соглашению</w:t>
      </w:r>
      <w:r>
        <w:rPr>
          <w:sz w:val="24"/>
          <w:szCs w:val="24"/>
        </w:rPr>
      </w:r>
      <w:r>
        <w:rPr>
          <w:sz w:val="24"/>
          <w:szCs w:val="24"/>
        </w:rPr>
      </w:r>
    </w:p>
    <w:p>
      <w:pPr>
        <w:ind w:left="5528" w:right="0" w:firstLine="0"/>
        <w:jc w:val="both"/>
        <w:rPr>
          <w:sz w:val="24"/>
          <w:szCs w:val="24"/>
        </w:rPr>
      </w:pPr>
      <w:r>
        <w:rPr>
          <w:sz w:val="24"/>
          <w:szCs w:val="24"/>
        </w:rPr>
        <w:t xml:space="preserve">от «__»______ 2024 года №______</w:t>
      </w:r>
      <w:r>
        <w:rPr>
          <w:sz w:val="24"/>
          <w:szCs w:val="24"/>
        </w:rPr>
      </w:r>
      <w:r>
        <w:rPr>
          <w:sz w:val="24"/>
          <w:szCs w:val="24"/>
        </w:rPr>
      </w:r>
    </w:p>
    <w:p>
      <w:pPr>
        <w:ind w:firstLine="680"/>
        <w:jc w:val="both"/>
        <w:rPr>
          <w:b/>
          <w:sz w:val="24"/>
          <w:szCs w:val="24"/>
        </w:rPr>
      </w:pPr>
      <w:r>
        <w:rPr>
          <w:b/>
          <w:sz w:val="24"/>
          <w:szCs w:val="24"/>
        </w:rPr>
      </w:r>
      <w:r>
        <w:rPr>
          <w:b/>
          <w:sz w:val="24"/>
          <w:szCs w:val="24"/>
        </w:rPr>
      </w:r>
      <w:r>
        <w:rPr>
          <w:b/>
          <w:sz w:val="24"/>
          <w:szCs w:val="24"/>
        </w:rPr>
      </w:r>
    </w:p>
    <w:p>
      <w:pPr>
        <w:jc w:val="center"/>
        <w:rPr>
          <w:b/>
          <w:sz w:val="24"/>
          <w:szCs w:val="24"/>
        </w:rPr>
      </w:pPr>
      <w:r>
        <w:rPr>
          <w:b/>
          <w:sz w:val="24"/>
          <w:szCs w:val="24"/>
        </w:rPr>
        <w:t xml:space="preserve">Порядок возмещения расходов при досрочном расторжении соглашения либо окончании срока действия соглашения</w:t>
      </w:r>
      <w:r>
        <w:rPr>
          <w:b/>
          <w:sz w:val="24"/>
          <w:szCs w:val="24"/>
        </w:rPr>
      </w:r>
      <w:r>
        <w:rPr>
          <w:b/>
          <w:sz w:val="24"/>
          <w:szCs w:val="24"/>
        </w:rPr>
      </w:r>
    </w:p>
    <w:p>
      <w:pPr>
        <w:numPr>
          <w:ilvl w:val="0"/>
          <w:numId w:val="23"/>
        </w:numPr>
        <w:ind w:hanging="720"/>
        <w:jc w:val="both"/>
        <w:spacing w:before="120" w:after="120"/>
        <w:tabs>
          <w:tab w:val="left" w:pos="709" w:leader="none"/>
          <w:tab w:val="left" w:pos="10206" w:leader="none"/>
        </w:tabs>
        <w:rPr>
          <w:b/>
          <w:bCs/>
          <w:sz w:val="24"/>
          <w:szCs w:val="24"/>
        </w:rPr>
        <w:outlineLvl w:val="1"/>
      </w:pPr>
      <w:r/>
      <w:bookmarkStart w:id="109" w:name="_Toc14117005"/>
      <w:r/>
      <w:bookmarkStart w:id="110" w:name="_Toc14173564"/>
      <w:r/>
      <w:bookmarkStart w:id="111" w:name="_Toc14276733"/>
      <w:r/>
      <w:bookmarkStart w:id="112" w:name="_Toc15646588"/>
      <w:r>
        <w:rPr>
          <w:b/>
          <w:bCs/>
          <w:sz w:val="24"/>
          <w:szCs w:val="24"/>
        </w:rPr>
        <w:t xml:space="preserve">Общие положения</w:t>
      </w:r>
      <w:bookmarkEnd w:id="109"/>
      <w:r/>
      <w:bookmarkEnd w:id="110"/>
      <w:r/>
      <w:bookmarkEnd w:id="111"/>
      <w:r/>
      <w:bookmarkEnd w:id="112"/>
      <w:r>
        <w:rPr>
          <w:b/>
          <w:bCs/>
          <w:sz w:val="24"/>
          <w:szCs w:val="24"/>
        </w:rPr>
      </w:r>
      <w:r>
        <w:rPr>
          <w:b/>
          <w:bCs/>
          <w:sz w:val="24"/>
          <w:szCs w:val="24"/>
        </w:rPr>
      </w:r>
    </w:p>
    <w:p>
      <w:pPr>
        <w:numPr>
          <w:ilvl w:val="1"/>
          <w:numId w:val="23"/>
        </w:numPr>
        <w:ind w:left="0" w:firstLine="284"/>
        <w:jc w:val="both"/>
        <w:widowControl w:val="off"/>
        <w:rPr>
          <w:sz w:val="24"/>
          <w:szCs w:val="24"/>
        </w:rPr>
      </w:pPr>
      <w:r/>
      <w:bookmarkStart w:id="113" w:name="heading_839"/>
      <w:r/>
      <w:bookmarkStart w:id="114" w:name="heading_840"/>
      <w:r/>
      <w:bookmarkStart w:id="115" w:name="_Toc14117007"/>
      <w:r/>
      <w:bookmarkStart w:id="116" w:name="_Toc14173566"/>
      <w:r/>
      <w:bookmarkStart w:id="117" w:name="_Toc14276735"/>
      <w:r/>
      <w:bookmarkStart w:id="118" w:name="_Toc15646590"/>
      <w:r/>
      <w:bookmarkEnd w:id="113"/>
      <w:r/>
      <w:bookmarkEnd w:id="114"/>
      <w:r>
        <w:rPr>
          <w:sz w:val="24"/>
          <w:szCs w:val="24"/>
        </w:rPr>
        <w:t xml:space="preserve"> Порядок, устанавливаемый настоящим Приложением, является:</w:t>
      </w:r>
      <w:r>
        <w:rPr>
          <w:sz w:val="24"/>
          <w:szCs w:val="24"/>
        </w:rPr>
      </w:r>
      <w:r>
        <w:rPr>
          <w:sz w:val="24"/>
          <w:szCs w:val="24"/>
        </w:rPr>
      </w:r>
    </w:p>
    <w:p>
      <w:pPr>
        <w:numPr>
          <w:ilvl w:val="2"/>
          <w:numId w:val="23"/>
        </w:numPr>
        <w:ind w:left="0" w:firstLine="284"/>
        <w:jc w:val="both"/>
        <w:widowControl w:val="off"/>
        <w:rPr>
          <w:sz w:val="24"/>
          <w:szCs w:val="24"/>
        </w:rPr>
      </w:pPr>
      <w:r>
        <w:rPr>
          <w:sz w:val="24"/>
          <w:szCs w:val="24"/>
        </w:rPr>
        <w:t xml:space="preserve">порядком расчета возмещения расходов сторон при досрочном прекращении Концессионного соглашения, который предусмотрен подпунктом 16 части 2 статьи 10 Федерального закона от 21.07.2005 № 115-ФЗ «О Концессионных соглашениях»;</w:t>
      </w:r>
      <w:r>
        <w:rPr>
          <w:sz w:val="24"/>
          <w:szCs w:val="24"/>
        </w:rPr>
      </w:r>
      <w:r>
        <w:rPr>
          <w:sz w:val="24"/>
          <w:szCs w:val="24"/>
        </w:rPr>
      </w:r>
    </w:p>
    <w:p>
      <w:pPr>
        <w:numPr>
          <w:ilvl w:val="2"/>
          <w:numId w:val="23"/>
        </w:numPr>
        <w:ind w:left="0" w:firstLine="273"/>
        <w:jc w:val="both"/>
        <w:widowControl w:val="off"/>
        <w:rPr>
          <w:sz w:val="24"/>
          <w:szCs w:val="24"/>
        </w:rPr>
      </w:pPr>
      <w:r>
        <w:rPr>
          <w:sz w:val="24"/>
          <w:szCs w:val="24"/>
        </w:rPr>
        <w:t xml:space="preserve">порядком расчета возмещения фактически понесенных расходов Концессионе</w:t>
      </w:r>
      <w:r>
        <w:rPr>
          <w:sz w:val="24"/>
          <w:szCs w:val="24"/>
        </w:rPr>
        <w:t xml:space="preserve">ра, подлежащих возмещению в соответствии с Законодательством, и не возмещенных ему на Дату прекращения Концессионного соглашения, которая предусмотрена подпунктом 5 части 1 статьи 42 Федерального закона от 21.07.2005 № 115-ФЗ «О Концессионных соглашениях»;</w:t>
      </w:r>
      <w:r>
        <w:rPr>
          <w:sz w:val="24"/>
          <w:szCs w:val="24"/>
        </w:rPr>
      </w:r>
      <w:r>
        <w:rPr>
          <w:sz w:val="24"/>
          <w:szCs w:val="24"/>
        </w:rPr>
      </w:r>
    </w:p>
    <w:p>
      <w:pPr>
        <w:numPr>
          <w:ilvl w:val="2"/>
          <w:numId w:val="23"/>
        </w:numPr>
        <w:ind w:left="0" w:firstLine="284"/>
        <w:jc w:val="both"/>
        <w:widowControl w:val="off"/>
        <w:rPr>
          <w:sz w:val="24"/>
          <w:szCs w:val="24"/>
        </w:rPr>
      </w:pPr>
      <w:r>
        <w:rPr>
          <w:sz w:val="24"/>
          <w:szCs w:val="24"/>
        </w:rPr>
        <w:t xml:space="preserve">порядком возмещения расходов сторон в случае досрочного расторжения, предусмотренный пунктом 6.3 части 1 статьи 10  Федерального закона от 21.07.2005 № 115-ФЗ «О Концессионных соглашениях»;</w:t>
      </w:r>
      <w:bookmarkEnd w:id="115"/>
      <w:r/>
      <w:bookmarkEnd w:id="116"/>
      <w:r/>
      <w:bookmarkEnd w:id="117"/>
      <w:r/>
      <w:bookmarkEnd w:id="118"/>
      <w:r>
        <w:rPr>
          <w:sz w:val="24"/>
          <w:szCs w:val="24"/>
        </w:rPr>
      </w:r>
      <w:r>
        <w:rPr>
          <w:sz w:val="24"/>
          <w:szCs w:val="24"/>
        </w:rPr>
      </w:r>
    </w:p>
    <w:p>
      <w:pPr>
        <w:numPr>
          <w:ilvl w:val="1"/>
          <w:numId w:val="23"/>
        </w:numPr>
        <w:ind w:left="0" w:firstLine="284"/>
        <w:jc w:val="both"/>
        <w:spacing w:before="120"/>
        <w:tabs>
          <w:tab w:val="left" w:pos="709" w:leader="none"/>
          <w:tab w:val="left" w:pos="10206" w:leader="none"/>
        </w:tabs>
        <w:rPr>
          <w:sz w:val="24"/>
          <w:szCs w:val="24"/>
        </w:rPr>
        <w:outlineLvl w:val="1"/>
      </w:pPr>
      <w:r>
        <w:rPr>
          <w:sz w:val="24"/>
          <w:szCs w:val="24"/>
        </w:rPr>
        <w:t xml:space="preserve">Срок д</w:t>
      </w:r>
      <w:r>
        <w:rPr>
          <w:sz w:val="24"/>
          <w:szCs w:val="24"/>
        </w:rPr>
        <w:t xml:space="preserve">ействия Соглашения может быть продлен на период, достаточный для возмещения расходов Концессионера, не возмещенных на момент окончания срока действия Соглашения, на срок более чем один год, но не более чем на пять лет, в порядке, установленном Соглашением.</w:t>
      </w:r>
      <w:r>
        <w:rPr>
          <w:sz w:val="24"/>
          <w:szCs w:val="24"/>
        </w:rPr>
      </w:r>
      <w:r>
        <w:rPr>
          <w:sz w:val="24"/>
          <w:szCs w:val="24"/>
        </w:rPr>
      </w:r>
    </w:p>
    <w:p>
      <w:pPr>
        <w:jc w:val="both"/>
        <w:spacing w:before="120"/>
        <w:tabs>
          <w:tab w:val="left" w:pos="709" w:leader="none"/>
          <w:tab w:val="left" w:pos="10206" w:leader="none"/>
        </w:tabs>
        <w:rPr>
          <w:sz w:val="24"/>
          <w:szCs w:val="24"/>
        </w:rPr>
        <w:outlineLvl w:val="1"/>
      </w:pPr>
      <w:r>
        <w:rPr>
          <w:sz w:val="24"/>
          <w:szCs w:val="24"/>
        </w:rPr>
        <w:t xml:space="preserve">Концессионер предоставляет Концеденту и Субъекту экономически обоснованные расчеты размера не возмещенных на момент окончания срока действия Соглашения расходов </w:t>
      </w:r>
      <w:r>
        <w:rPr>
          <w:sz w:val="24"/>
          <w:szCs w:val="24"/>
        </w:rPr>
        <w:t xml:space="preserve">с приложением подтверждающих бухгалтерских документов, а также расчет периода, на который должен быть продлен срок действия Соглашения и в течение которого будут возмещены расходы Концессионера за счет тарифов и надбавок к тарифам на услуги теплоснабжения.</w:t>
      </w:r>
      <w:r>
        <w:rPr>
          <w:sz w:val="24"/>
          <w:szCs w:val="24"/>
        </w:rPr>
      </w:r>
      <w:r>
        <w:rPr>
          <w:sz w:val="24"/>
          <w:szCs w:val="24"/>
        </w:rPr>
      </w:r>
    </w:p>
    <w:p>
      <w:pPr>
        <w:jc w:val="both"/>
        <w:spacing w:before="120"/>
        <w:tabs>
          <w:tab w:val="left" w:pos="709" w:leader="none"/>
          <w:tab w:val="left" w:pos="10206" w:leader="none"/>
        </w:tabs>
        <w:rPr>
          <w:sz w:val="24"/>
          <w:szCs w:val="24"/>
        </w:rPr>
        <w:outlineLvl w:val="1"/>
      </w:pPr>
      <w:r>
        <w:rPr>
          <w:sz w:val="24"/>
          <w:szCs w:val="24"/>
        </w:rPr>
        <w:t xml:space="preserve">Концедент и Субъект проверяют представленные документы на предмет достоверности и правильности расчетов и согласовывают размер расходов, подлежащих возмещению, в течение 30 (тридцати) дней с момента предоставления документов.</w:t>
      </w:r>
      <w:r>
        <w:rPr>
          <w:sz w:val="24"/>
          <w:szCs w:val="24"/>
        </w:rPr>
      </w:r>
      <w:r>
        <w:rPr>
          <w:sz w:val="24"/>
          <w:szCs w:val="24"/>
        </w:rPr>
      </w:r>
    </w:p>
    <w:p>
      <w:pPr>
        <w:jc w:val="both"/>
        <w:spacing w:before="120"/>
        <w:tabs>
          <w:tab w:val="left" w:pos="709" w:leader="none"/>
          <w:tab w:val="left" w:pos="10206" w:leader="none"/>
        </w:tabs>
        <w:rPr>
          <w:sz w:val="24"/>
          <w:szCs w:val="24"/>
        </w:rPr>
        <w:outlineLvl w:val="1"/>
      </w:pPr>
      <w:r>
        <w:rPr>
          <w:sz w:val="24"/>
          <w:szCs w:val="24"/>
        </w:rPr>
        <w:t xml:space="preserve">Если в процессе проверки документов Концедентом и/или Субъектом будут выявлены факты недостоверности информации, ошибки расчетов и прочие недостатки, документы возвращаются Концессионеру на доработку с указанием причин возврата.</w:t>
      </w:r>
      <w:r>
        <w:rPr>
          <w:sz w:val="24"/>
          <w:szCs w:val="24"/>
        </w:rPr>
      </w:r>
      <w:r>
        <w:rPr>
          <w:sz w:val="24"/>
          <w:szCs w:val="24"/>
        </w:rPr>
      </w:r>
    </w:p>
    <w:p>
      <w:pPr>
        <w:jc w:val="both"/>
        <w:spacing w:before="120"/>
        <w:tabs>
          <w:tab w:val="left" w:pos="709" w:leader="none"/>
          <w:tab w:val="left" w:pos="10206" w:leader="none"/>
        </w:tabs>
        <w:rPr>
          <w:sz w:val="24"/>
          <w:szCs w:val="24"/>
        </w:rPr>
        <w:outlineLvl w:val="1"/>
      </w:pPr>
      <w:r>
        <w:rPr>
          <w:sz w:val="24"/>
          <w:szCs w:val="24"/>
        </w:rPr>
        <w:t xml:space="preserve">После согласования размера не возмещенных </w:t>
      </w:r>
      <w:r>
        <w:rPr>
          <w:sz w:val="24"/>
          <w:szCs w:val="24"/>
        </w:rPr>
        <w:t xml:space="preserve">на момент окончания срока действия Соглашения расходов Сторонами совместно готовятся изменения в Соглашение в части продления срока действия Соглашения, которые подлежат согласованию с антимонопольным органом в соответствие с действующим законодательством.</w:t>
      </w:r>
      <w:r>
        <w:rPr>
          <w:sz w:val="24"/>
          <w:szCs w:val="24"/>
        </w:rPr>
      </w:r>
      <w:r>
        <w:rPr>
          <w:sz w:val="24"/>
          <w:szCs w:val="24"/>
        </w:rPr>
      </w:r>
    </w:p>
    <w:p>
      <w:pPr>
        <w:jc w:val="both"/>
        <w:spacing w:before="120"/>
        <w:tabs>
          <w:tab w:val="left" w:pos="709" w:leader="none"/>
          <w:tab w:val="left" w:pos="10206" w:leader="none"/>
        </w:tabs>
        <w:rPr>
          <w:sz w:val="24"/>
          <w:szCs w:val="24"/>
        </w:rPr>
        <w:outlineLvl w:val="1"/>
      </w:pPr>
      <w:r>
        <w:rPr>
          <w:sz w:val="24"/>
          <w:szCs w:val="24"/>
        </w:rPr>
        <w:t xml:space="preserve">После согласования с антимонопольным органом изменений Стороны подписывают дополнительное соглашение об изменении срока действия Соглашения.</w:t>
      </w:r>
      <w:r>
        <w:rPr>
          <w:sz w:val="24"/>
          <w:szCs w:val="24"/>
        </w:rPr>
      </w:r>
      <w:r>
        <w:rPr>
          <w:sz w:val="24"/>
          <w:szCs w:val="24"/>
        </w:rPr>
      </w:r>
    </w:p>
    <w:p>
      <w:pPr>
        <w:numPr>
          <w:ilvl w:val="1"/>
          <w:numId w:val="23"/>
        </w:numPr>
        <w:ind w:left="0" w:firstLine="284"/>
        <w:jc w:val="both"/>
        <w:spacing w:before="120"/>
        <w:tabs>
          <w:tab w:val="left" w:pos="709" w:leader="none"/>
          <w:tab w:val="left" w:pos="10206" w:leader="none"/>
        </w:tabs>
        <w:rPr>
          <w:sz w:val="24"/>
          <w:szCs w:val="24"/>
        </w:rPr>
        <w:outlineLvl w:val="1"/>
      </w:pPr>
      <w:r>
        <w:rPr>
          <w:sz w:val="24"/>
          <w:szCs w:val="24"/>
        </w:rPr>
        <w:t xml:space="preserve">Концедент и (или) Субъект не в</w:t>
      </w:r>
      <w:r>
        <w:rPr>
          <w:sz w:val="24"/>
          <w:szCs w:val="24"/>
        </w:rPr>
        <w:t xml:space="preserve">праве осуществлять зачет обязательств по уплате компенсации при расторжении и (или) невозмещенных расходов против обязательств по уплате любых сумм, подлежащих уплате в пользу Концедента и (или) Субъекта в соответствии с Соглашением или по иным основаниям.</w:t>
      </w:r>
      <w:r>
        <w:rPr>
          <w:sz w:val="24"/>
          <w:szCs w:val="24"/>
        </w:rPr>
      </w:r>
      <w:r>
        <w:rPr>
          <w:sz w:val="24"/>
          <w:szCs w:val="24"/>
        </w:rPr>
      </w:r>
    </w:p>
    <w:p>
      <w:pPr>
        <w:numPr>
          <w:ilvl w:val="1"/>
          <w:numId w:val="23"/>
        </w:numPr>
        <w:ind w:left="0" w:firstLine="284"/>
        <w:jc w:val="both"/>
        <w:spacing w:before="120"/>
        <w:tabs>
          <w:tab w:val="left" w:pos="709" w:leader="none"/>
          <w:tab w:val="left" w:pos="10206" w:leader="none"/>
        </w:tabs>
        <w:rPr>
          <w:sz w:val="24"/>
          <w:szCs w:val="24"/>
        </w:rPr>
        <w:outlineLvl w:val="1"/>
      </w:pPr>
      <w:r/>
      <w:bookmarkStart w:id="119" w:name="heading_841"/>
      <w:r/>
      <w:bookmarkStart w:id="120" w:name="_Toc14117008"/>
      <w:r/>
      <w:bookmarkStart w:id="121" w:name="_Toc14173567"/>
      <w:r/>
      <w:bookmarkStart w:id="122" w:name="_Toc14276736"/>
      <w:r/>
      <w:bookmarkStart w:id="123" w:name="_Toc15646591"/>
      <w:r/>
      <w:bookmarkEnd w:id="119"/>
      <w:r>
        <w:rPr>
          <w:sz w:val="24"/>
          <w:szCs w:val="24"/>
        </w:rPr>
        <w:t xml:space="preserve">Компенсация при прекращении (расторжении) означает сумму, подлежащую </w:t>
      </w:r>
      <w:r>
        <w:rPr>
          <w:rFonts w:eastAsia="MS Mincho"/>
          <w:sz w:val="24"/>
          <w:szCs w:val="24"/>
        </w:rPr>
        <w:t xml:space="preserve">выплате в пользу Концессионера в случаях, указанных в пункте 1.1 настоящего Приложения, и рассчитываемую в соответствии с настоящим Приложением.</w:t>
      </w:r>
      <w:r>
        <w:rPr>
          <w:sz w:val="24"/>
          <w:szCs w:val="24"/>
        </w:rPr>
      </w:r>
      <w:r>
        <w:rPr>
          <w:sz w:val="24"/>
          <w:szCs w:val="24"/>
        </w:rPr>
      </w:r>
    </w:p>
    <w:p>
      <w:pPr>
        <w:numPr>
          <w:ilvl w:val="1"/>
          <w:numId w:val="23"/>
        </w:numPr>
        <w:ind w:left="0" w:firstLine="284"/>
        <w:jc w:val="both"/>
        <w:spacing w:before="120"/>
        <w:tabs>
          <w:tab w:val="left" w:pos="709" w:leader="none"/>
          <w:tab w:val="left" w:pos="10206" w:leader="none"/>
        </w:tabs>
        <w:rPr>
          <w:sz w:val="24"/>
          <w:szCs w:val="24"/>
        </w:rPr>
        <w:outlineLvl w:val="1"/>
      </w:pPr>
      <w:r>
        <w:rPr>
          <w:sz w:val="24"/>
          <w:szCs w:val="24"/>
        </w:rPr>
        <w:t xml:space="preserve">Стороны настоящим подтверждают, что ни Компенсация при прекращении (р</w:t>
      </w:r>
      <w:r>
        <w:rPr>
          <w:sz w:val="24"/>
          <w:szCs w:val="24"/>
        </w:rPr>
        <w:t xml:space="preserve">асторжении), ни какие-либо иные суммы возмещения, подлежащие возмещению в соответствии с настоящим Приложением, не являются неустойкой и не подлежат какому-либо уменьшению, в том числе в соответствии со статьей 333 Гражданского кодекса Российской Федерации</w:t>
      </w:r>
      <w:bookmarkStart w:id="124" w:name="heading_842"/>
      <w:r/>
      <w:bookmarkStart w:id="125" w:name="heading_843"/>
      <w:r/>
      <w:bookmarkStart w:id="126" w:name="heading_845"/>
      <w:r/>
      <w:bookmarkEnd w:id="120"/>
      <w:r/>
      <w:bookmarkEnd w:id="121"/>
      <w:r/>
      <w:bookmarkEnd w:id="122"/>
      <w:r/>
      <w:bookmarkEnd w:id="123"/>
      <w:r/>
      <w:bookmarkEnd w:id="124"/>
      <w:r/>
      <w:bookmarkEnd w:id="125"/>
      <w:r/>
      <w:bookmarkEnd w:id="126"/>
      <w:r>
        <w:rPr>
          <w:sz w:val="24"/>
          <w:szCs w:val="24"/>
        </w:rPr>
        <w:t xml:space="preserve">.</w:t>
      </w:r>
      <w:r>
        <w:rPr>
          <w:sz w:val="24"/>
          <w:szCs w:val="24"/>
        </w:rPr>
      </w:r>
      <w:r>
        <w:rPr>
          <w:sz w:val="24"/>
          <w:szCs w:val="24"/>
        </w:rPr>
      </w:r>
    </w:p>
    <w:p>
      <w:pPr>
        <w:ind w:firstLine="284"/>
        <w:jc w:val="both"/>
        <w:spacing w:before="120"/>
        <w:tabs>
          <w:tab w:val="left" w:pos="709" w:leader="none"/>
          <w:tab w:val="left" w:pos="10206" w:leader="none"/>
        </w:tabs>
        <w:rPr>
          <w:sz w:val="24"/>
          <w:szCs w:val="24"/>
        </w:rPr>
        <w:outlineLvl w:val="1"/>
      </w:pPr>
      <w:r>
        <w:rPr>
          <w:sz w:val="24"/>
          <w:szCs w:val="24"/>
        </w:rPr>
        <w:t xml:space="preserve">1.5. В размер Компенсации при прекращении не включены и подлежат в случаях, предусмотренных законодательством, уплате Концедентом сверх размера суммы Компенсации при прекращении налог на добавлен</w:t>
      </w:r>
      <w:r>
        <w:rPr>
          <w:sz w:val="24"/>
          <w:szCs w:val="24"/>
        </w:rPr>
        <w:t xml:space="preserve">ную стоимость и (или) иные налоги, объектом которых является реализация товаров, работ или услуг Концессионером в интересах Концедента на основании Концессионного соглашения или сама сумма Компенсации при прекращении, в том числе выплата Компенсации при пр</w:t>
      </w:r>
      <w:r>
        <w:rPr>
          <w:sz w:val="24"/>
          <w:szCs w:val="24"/>
        </w:rPr>
        <w:t xml:space="preserve">екращении (исключая налог на прибыль организаций, подлежащий уплате Концессионером в связи с осуществлением деятельности, предусмотренной Концессионным соглашением и (или) иные аналогичные налоги, объектом которых является прибыль или доход Концессионера).</w:t>
      </w:r>
      <w:r>
        <w:rPr>
          <w:sz w:val="24"/>
          <w:szCs w:val="24"/>
        </w:rPr>
      </w:r>
      <w:r>
        <w:rPr>
          <w:sz w:val="24"/>
          <w:szCs w:val="24"/>
        </w:rPr>
      </w:r>
    </w:p>
    <w:p>
      <w:pPr>
        <w:pStyle w:val="943"/>
        <w:numPr>
          <w:ilvl w:val="0"/>
          <w:numId w:val="23"/>
        </w:numPr>
        <w:ind w:left="284" w:hanging="284"/>
        <w:jc w:val="both"/>
        <w:widowControl w:val="off"/>
        <w:rPr>
          <w:b/>
          <w:sz w:val="24"/>
          <w:szCs w:val="24"/>
          <w:lang w:val="ru-RU"/>
        </w:rPr>
      </w:pPr>
      <w:r>
        <w:rPr>
          <w:b/>
          <w:sz w:val="24"/>
          <w:szCs w:val="24"/>
          <w:lang w:val="ru-RU"/>
        </w:rPr>
        <w:t xml:space="preserve">Размер Компенсации при прекращении (расторжении)</w:t>
      </w:r>
      <w:r>
        <w:rPr>
          <w:b/>
          <w:sz w:val="24"/>
          <w:szCs w:val="24"/>
          <w:lang w:val="ru-RU"/>
        </w:rPr>
      </w:r>
      <w:r>
        <w:rPr>
          <w:b/>
          <w:sz w:val="24"/>
          <w:szCs w:val="24"/>
          <w:lang w:val="ru-RU"/>
        </w:rPr>
      </w:r>
    </w:p>
    <w:p>
      <w:pPr>
        <w:numPr>
          <w:ilvl w:val="1"/>
          <w:numId w:val="23"/>
        </w:numPr>
        <w:ind w:left="851" w:hanging="851"/>
        <w:jc w:val="both"/>
        <w:widowControl w:val="off"/>
        <w:rPr>
          <w:sz w:val="24"/>
          <w:szCs w:val="24"/>
        </w:rPr>
      </w:pPr>
      <w:r/>
      <w:bookmarkStart w:id="127" w:name="_Ref526399536"/>
      <w:r>
        <w:rPr>
          <w:sz w:val="24"/>
          <w:szCs w:val="24"/>
        </w:rPr>
        <w:t xml:space="preserve">Компенсация при прекращении рассчитывается по следующей формуле:</w:t>
      </w:r>
      <w:bookmarkEnd w:id="127"/>
      <w:r>
        <w:rPr>
          <w:sz w:val="24"/>
          <w:szCs w:val="24"/>
        </w:rPr>
      </w:r>
      <w:r>
        <w:rPr>
          <w:sz w:val="24"/>
          <w:szCs w:val="24"/>
        </w:rPr>
      </w:r>
    </w:p>
    <w:p>
      <w:pPr>
        <w:ind w:left="851"/>
        <w:jc w:val="both"/>
        <w:rPr>
          <w:sz w:val="24"/>
          <w:szCs w:val="24"/>
        </w:rPr>
      </w:pPr>
      <w:r/>
      <m:oMathPara>
        <m:oMathParaPr/>
        <m:oMath>
          <m:r>
            <w:rPr>
              <w:rFonts w:ascii="Cambria Math" w:hAnsi="Cambria Math"/>
              <w:sz w:val="24"/>
              <w:szCs w:val="24"/>
            </w:rPr>
            <m:rPr>
              <m:sty m:val="p"/>
            </m:rPr>
            <m:t>КПП=</m:t>
          </m:r>
          <m:d>
            <m:dPr>
              <m:ctrlPr>
                <w:rPr>
                  <w:rFonts w:ascii="Cambria Math" w:hAnsi="Cambria Math"/>
                  <w:sz w:val="24"/>
                  <w:szCs w:val="24"/>
                </w:rPr>
              </m:ctrlPr>
            </m:dPr>
            <m:e>
              <m:r>
                <w:rPr>
                  <w:rFonts w:ascii="Cambria Math" w:hAnsi="Cambria Math"/>
                  <w:sz w:val="24"/>
                  <w:szCs w:val="24"/>
                </w:rPr>
                <m:rPr>
                  <m:sty m:val="p"/>
                </m:rPr>
                <m:t>РК-СС-ПК</m:t>
              </m:r>
            </m:e>
          </m:d>
          <m:r>
            <w:rPr>
              <w:rFonts w:ascii="Cambria Math" w:hAnsi="Cambria Math"/>
              <w:sz w:val="24"/>
              <w:szCs w:val="24"/>
            </w:rPr>
            <m:rPr>
              <m:sty m:val="p"/>
            </m:rPr>
            <m:t>+РСД+НД+ДР+СВ+</m:t>
          </m:r>
          <m:sSub>
            <m:sSubPr>
              <m:ctrlPr>
                <w:rPr>
                  <w:rFonts w:ascii="Cambria Math" w:hAnsi="Cambria Math"/>
                  <w:sz w:val="24"/>
                  <w:szCs w:val="24"/>
                </w:rPr>
              </m:ctrlPr>
            </m:sSubPr>
            <m:e>
              <m:r>
                <w:rPr>
                  <w:rFonts w:ascii="Cambria Math" w:hAnsi="Cambria Math"/>
                  <w:sz w:val="24"/>
                  <w:szCs w:val="24"/>
                </w:rPr>
                <m:rPr>
                  <m:sty m:val="p"/>
                </m:rPr>
                <m:t>ОР</m:t>
              </m:r>
            </m:e>
            <m:sub>
              <m:r>
                <w:rPr>
                  <w:rFonts w:ascii="Cambria Math" w:hAnsi="Cambria Math"/>
                  <w:sz w:val="24"/>
                  <w:szCs w:val="24"/>
                </w:rPr>
                <m:rPr>
                  <m:sty m:val="p"/>
                </m:rPr>
                <m:t>ф</m:t>
              </m:r>
            </m:sub>
          </m:sSub>
        </m:oMath>
      </m:oMathPara>
      <w:r>
        <w:rPr>
          <w:sz w:val="24"/>
          <w:szCs w:val="24"/>
        </w:rPr>
      </w:r>
      <w:r>
        <w:rPr>
          <w:sz w:val="24"/>
          <w:szCs w:val="24"/>
        </w:rPr>
      </w:r>
    </w:p>
    <w:p>
      <w:pPr>
        <w:ind w:left="851"/>
        <w:jc w:val="both"/>
        <w:rPr>
          <w:sz w:val="24"/>
          <w:szCs w:val="24"/>
        </w:rPr>
      </w:pPr>
      <w:r>
        <w:rPr>
          <w:sz w:val="24"/>
          <w:szCs w:val="24"/>
        </w:rPr>
        <w:t xml:space="preserve">где:</w:t>
      </w:r>
      <w:r>
        <w:rPr>
          <w:sz w:val="24"/>
          <w:szCs w:val="24"/>
        </w:rPr>
      </w:r>
      <w:r>
        <w:rPr>
          <w:sz w:val="24"/>
          <w:szCs w:val="24"/>
        </w:rPr>
      </w:r>
    </w:p>
    <w:p>
      <w:pPr>
        <w:ind w:left="851"/>
        <w:jc w:val="both"/>
        <w:rPr>
          <w:sz w:val="24"/>
          <w:szCs w:val="24"/>
        </w:rPr>
      </w:pPr>
      <w:r>
        <w:rPr>
          <w:i/>
          <w:sz w:val="24"/>
          <w:szCs w:val="24"/>
        </w:rPr>
        <w:t xml:space="preserve">КПП</w:t>
      </w:r>
      <w:r>
        <w:rPr>
          <w:sz w:val="24"/>
          <w:szCs w:val="24"/>
        </w:rPr>
        <w:t xml:space="preserve"> – Компенсация при прекращении;</w:t>
      </w:r>
      <w:r>
        <w:rPr>
          <w:sz w:val="24"/>
          <w:szCs w:val="24"/>
        </w:rPr>
      </w:r>
      <w:r>
        <w:rPr>
          <w:sz w:val="24"/>
          <w:szCs w:val="24"/>
        </w:rPr>
      </w:r>
    </w:p>
    <w:p>
      <w:pPr>
        <w:ind w:left="851"/>
        <w:jc w:val="both"/>
        <w:rPr>
          <w:i/>
          <w:sz w:val="24"/>
          <w:szCs w:val="24"/>
        </w:rPr>
      </w:pPr>
      <w:r>
        <w:rPr>
          <w:i/>
          <w:sz w:val="24"/>
          <w:szCs w:val="24"/>
        </w:rPr>
        <w:t xml:space="preserve">РК</w:t>
      </w:r>
      <w:r>
        <w:rPr>
          <w:sz w:val="24"/>
          <w:szCs w:val="24"/>
        </w:rPr>
        <w:t xml:space="preserve"> – означает фактически понесенные Концессионером до даты прекращения концессионного соглашения расходы</w:t>
      </w:r>
      <w:r>
        <w:rPr>
          <w:b/>
          <w:sz w:val="24"/>
          <w:szCs w:val="24"/>
        </w:rPr>
        <w:t xml:space="preserve">, </w:t>
      </w:r>
      <w:r>
        <w:rPr>
          <w:sz w:val="24"/>
          <w:szCs w:val="24"/>
        </w:rPr>
        <w:t xml:space="preserve">подлежащие возмещению в соответствии с Законодательством;</w:t>
      </w:r>
      <w:r>
        <w:rPr>
          <w:i/>
          <w:sz w:val="24"/>
          <w:szCs w:val="24"/>
        </w:rPr>
      </w:r>
      <w:r>
        <w:rPr>
          <w:i/>
          <w:sz w:val="24"/>
          <w:szCs w:val="24"/>
        </w:rPr>
      </w:r>
    </w:p>
    <w:p>
      <w:pPr>
        <w:ind w:left="851"/>
        <w:jc w:val="both"/>
        <w:rPr>
          <w:sz w:val="24"/>
          <w:szCs w:val="24"/>
        </w:rPr>
      </w:pPr>
      <w:r>
        <w:rPr>
          <w:i/>
          <w:sz w:val="24"/>
          <w:szCs w:val="24"/>
        </w:rPr>
        <w:t xml:space="preserve">СС – </w:t>
      </w:r>
      <w:r>
        <w:rPr>
          <w:sz w:val="24"/>
          <w:szCs w:val="24"/>
        </w:rPr>
        <w:t xml:space="preserve">означает собственные средства Концессионера, привлеченные в целях реконструкции  Объекта Соглашения, и возмещенные на дату прекращения концессионного соглашения;</w:t>
      </w:r>
      <w:r>
        <w:rPr>
          <w:sz w:val="24"/>
          <w:szCs w:val="24"/>
        </w:rPr>
      </w:r>
      <w:r>
        <w:rPr>
          <w:sz w:val="24"/>
          <w:szCs w:val="24"/>
        </w:rPr>
      </w:r>
    </w:p>
    <w:p>
      <w:pPr>
        <w:ind w:left="851"/>
        <w:jc w:val="both"/>
        <w:rPr>
          <w:sz w:val="24"/>
          <w:szCs w:val="24"/>
        </w:rPr>
      </w:pPr>
      <w:r>
        <w:rPr>
          <w:i/>
          <w:sz w:val="24"/>
          <w:szCs w:val="24"/>
        </w:rPr>
        <w:t xml:space="preserve">ПК –</w:t>
      </w:r>
      <w:r>
        <w:rPr>
          <w:sz w:val="24"/>
          <w:szCs w:val="24"/>
        </w:rPr>
        <w:t xml:space="preserve"> означает фактически полученные Концессионером, выделяемые Концедентом средства на софинансирование расходов Концессионера на  реконструкцию Объекта соглашения;</w:t>
      </w:r>
      <w:r>
        <w:rPr>
          <w:sz w:val="24"/>
          <w:szCs w:val="24"/>
        </w:rPr>
      </w:r>
      <w:r>
        <w:rPr>
          <w:sz w:val="24"/>
          <w:szCs w:val="24"/>
        </w:rPr>
      </w:r>
    </w:p>
    <w:p>
      <w:pPr>
        <w:pStyle w:val="980"/>
        <w:ind w:left="851"/>
        <w:spacing w:after="0"/>
        <w:tabs>
          <w:tab w:val="left" w:pos="3686" w:leader="none"/>
        </w:tabs>
      </w:pPr>
      <w:r>
        <w:rPr>
          <w:i/>
        </w:rPr>
        <w:t xml:space="preserve">РСД</w:t>
      </w:r>
      <w:r>
        <w:t xml:space="preserve"> – означает сумму резерва по сомнительным долгам, учтенную в тарифе до даты прекращения концессионного соглашения, но не полученную Концессионером ввиду досрочного прекращения Концессионного соглашения;</w:t>
      </w:r>
      <w:r/>
    </w:p>
    <w:p>
      <w:pPr>
        <w:pStyle w:val="980"/>
        <w:ind w:left="851"/>
        <w:spacing w:after="0"/>
      </w:pPr>
      <w:r>
        <w:rPr>
          <w:i/>
        </w:rPr>
        <w:t xml:space="preserve">НД – </w:t>
      </w:r>
      <w:r>
        <w:t xml:space="preserve">означает сумму Недополученных доходов плюс экономически обоснова</w:t>
      </w:r>
      <w:r>
        <w:t xml:space="preserve">нных расходов плюс выпадающих доходов Концессионера, возникших до даты прекращения концессионного соглашения, и не возмещенных Концессионеру в соответствии с Законодательством и (или) Концессионным соглашением до даты прекращения концессионного соглашения;</w:t>
      </w:r>
      <w:r/>
    </w:p>
    <w:p>
      <w:pPr>
        <w:pStyle w:val="980"/>
        <w:ind w:left="851"/>
        <w:spacing w:after="0"/>
      </w:pPr>
      <w:r>
        <w:rPr>
          <w:i/>
        </w:rPr>
        <w:t xml:space="preserve">ДР –</w:t>
      </w:r>
      <w:r>
        <w:t xml:space="preserve"> дополнительные расходы Концессионера, возникшие до даты прекращения концессионного соглашения, и не возмещенные Концессионеру в соответствии с Концессионным соглашением до Даты прекращения концессионного соглашения;</w:t>
      </w:r>
      <w:r/>
    </w:p>
    <w:p>
      <w:pPr>
        <w:pStyle w:val="980"/>
        <w:ind w:left="851"/>
        <w:spacing w:after="0"/>
      </w:pPr>
      <w:r>
        <w:rPr>
          <w:i/>
        </w:rPr>
        <w:t xml:space="preserve">СВ – </w:t>
      </w:r>
      <w:r>
        <w:t xml:space="preserve">Сокращение выручки, возникшее до даты прекращения концессионного соглашения, и не возмещенное Концессионеру в соответствии с Концессионным соглашением до даты прекращения концессионного соглашения;</w:t>
      </w:r>
      <w:r/>
    </w:p>
    <w:p>
      <w:pPr>
        <w:ind w:left="851"/>
        <w:jc w:val="both"/>
        <w:rPr>
          <w:i/>
          <w:sz w:val="24"/>
          <w:szCs w:val="24"/>
        </w:rPr>
      </w:pPr>
      <w:r>
        <w:rPr>
          <w:i/>
          <w:sz w:val="24"/>
          <w:szCs w:val="24"/>
        </w:rPr>
        <w:t xml:space="preserve">ОР</w:t>
      </w:r>
      <w:r>
        <w:rPr>
          <w:i/>
          <w:sz w:val="24"/>
          <w:szCs w:val="24"/>
          <w:vertAlign w:val="subscript"/>
        </w:rPr>
        <w:t xml:space="preserve">ф</w:t>
      </w:r>
      <w:r>
        <w:rPr>
          <w:sz w:val="24"/>
          <w:szCs w:val="24"/>
        </w:rPr>
        <w:t xml:space="preserve"> – расходы, фактически понесенные Концессионером в целях поддержания надлежащего функционирования Объекта соглашения с даты прекращения концессионного соглашения до даты передачи (возврата) Объекта соглашения Концеденту.</w:t>
      </w:r>
      <w:r>
        <w:rPr>
          <w:i/>
          <w:sz w:val="24"/>
          <w:szCs w:val="24"/>
        </w:rPr>
      </w:r>
      <w:r>
        <w:rPr>
          <w:i/>
          <w:sz w:val="24"/>
          <w:szCs w:val="24"/>
        </w:rPr>
      </w:r>
    </w:p>
    <w:p>
      <w:pPr>
        <w:pStyle w:val="943"/>
        <w:numPr>
          <w:ilvl w:val="0"/>
          <w:numId w:val="23"/>
        </w:numPr>
        <w:ind w:left="0" w:firstLine="0"/>
        <w:jc w:val="both"/>
        <w:widowControl w:val="off"/>
        <w:rPr>
          <w:b/>
          <w:sz w:val="24"/>
          <w:szCs w:val="24"/>
          <w:lang w:val="ru-RU"/>
        </w:rPr>
      </w:pPr>
      <w:r/>
      <w:bookmarkStart w:id="128" w:name="_Ref526395531"/>
      <w:r>
        <w:rPr>
          <w:b/>
          <w:sz w:val="24"/>
          <w:szCs w:val="24"/>
          <w:lang w:val="ru-RU"/>
        </w:rPr>
        <w:t xml:space="preserve">Состав фактически понесенных расходов Концессионера, подлежащих возмещению в соответствии с Законодательством</w:t>
      </w:r>
      <w:bookmarkEnd w:id="128"/>
      <w:r>
        <w:rPr>
          <w:b/>
          <w:sz w:val="24"/>
          <w:szCs w:val="24"/>
          <w:lang w:val="ru-RU"/>
        </w:rPr>
      </w:r>
      <w:r>
        <w:rPr>
          <w:b/>
          <w:sz w:val="24"/>
          <w:szCs w:val="24"/>
          <w:lang w:val="ru-RU"/>
        </w:rPr>
      </w:r>
    </w:p>
    <w:p>
      <w:pPr>
        <w:numPr>
          <w:ilvl w:val="1"/>
          <w:numId w:val="23"/>
        </w:numPr>
        <w:ind w:left="851" w:hanging="851"/>
        <w:jc w:val="both"/>
        <w:widowControl w:val="off"/>
        <w:rPr>
          <w:sz w:val="24"/>
          <w:szCs w:val="24"/>
        </w:rPr>
      </w:pPr>
      <w:r/>
      <w:bookmarkStart w:id="129" w:name="_Ref526398918"/>
      <w:r>
        <w:rPr>
          <w:sz w:val="24"/>
          <w:szCs w:val="24"/>
        </w:rPr>
        <w:t xml:space="preserve">В состав фактических понесенных расходов Концессионера на реконструкцию Объекта соглашения включаются в том числе (без двойного счета, с учетом НДС, акцизов и пошлин, предусмотренных Законодательством):</w:t>
      </w:r>
      <w:bookmarkEnd w:id="129"/>
      <w:r>
        <w:rPr>
          <w:sz w:val="24"/>
          <w:szCs w:val="24"/>
        </w:rPr>
        <w:t xml:space="preserve"> </w:t>
      </w:r>
      <w:r>
        <w:rPr>
          <w:sz w:val="24"/>
          <w:szCs w:val="24"/>
        </w:rPr>
      </w:r>
      <w:r>
        <w:rPr>
          <w:sz w:val="24"/>
          <w:szCs w:val="24"/>
        </w:rPr>
      </w:r>
    </w:p>
    <w:p>
      <w:pPr>
        <w:numPr>
          <w:ilvl w:val="2"/>
          <w:numId w:val="23"/>
        </w:numPr>
        <w:ind w:left="1701" w:hanging="850"/>
        <w:jc w:val="both"/>
        <w:spacing w:line="259" w:lineRule="auto"/>
        <w:rPr>
          <w:sz w:val="24"/>
          <w:szCs w:val="24"/>
        </w:rPr>
      </w:pPr>
      <w:r>
        <w:rPr>
          <w:sz w:val="24"/>
          <w:szCs w:val="24"/>
        </w:rPr>
        <w:t xml:space="preserve">фактически понесенные Концессионером расходы на выполнение работ по реконструкции Объекта Соглашения, подтвержденные актами приемки выполненных работ (по форме КС-2, КС-3, утвержденной Постановлением Госкомстата России от 11.11.1999 г. № 100); </w:t>
      </w:r>
      <w:r>
        <w:rPr>
          <w:sz w:val="24"/>
          <w:szCs w:val="24"/>
        </w:rPr>
      </w:r>
      <w:r>
        <w:rPr>
          <w:sz w:val="24"/>
          <w:szCs w:val="24"/>
        </w:rPr>
      </w:r>
    </w:p>
    <w:p>
      <w:pPr>
        <w:numPr>
          <w:ilvl w:val="2"/>
          <w:numId w:val="23"/>
        </w:numPr>
        <w:ind w:left="1701" w:hanging="850"/>
        <w:jc w:val="both"/>
        <w:spacing w:line="259" w:lineRule="auto"/>
        <w:rPr>
          <w:sz w:val="24"/>
          <w:szCs w:val="24"/>
        </w:rPr>
      </w:pPr>
      <w:r>
        <w:rPr>
          <w:sz w:val="24"/>
          <w:szCs w:val="24"/>
        </w:rPr>
        <w:t xml:space="preserve">Фактически понесенные Концессионером расходы на проектирование и экспертизу Проектной документации. </w:t>
      </w:r>
      <w:r>
        <w:rPr>
          <w:sz w:val="24"/>
          <w:szCs w:val="24"/>
        </w:rPr>
      </w:r>
      <w:r>
        <w:rPr>
          <w:sz w:val="24"/>
          <w:szCs w:val="24"/>
        </w:rPr>
      </w:r>
    </w:p>
    <w:p>
      <w:pPr>
        <w:numPr>
          <w:ilvl w:val="1"/>
          <w:numId w:val="23"/>
        </w:numPr>
        <w:ind w:left="851" w:hanging="851"/>
        <w:jc w:val="both"/>
        <w:widowControl w:val="off"/>
        <w:rPr>
          <w:sz w:val="24"/>
          <w:szCs w:val="24"/>
        </w:rPr>
      </w:pPr>
      <w:r>
        <w:rPr>
          <w:sz w:val="24"/>
          <w:szCs w:val="24"/>
        </w:rPr>
        <w:t xml:space="preserve">Указанные в пункте </w:t>
      </w:r>
      <w:r>
        <w:rPr>
          <w:sz w:val="24"/>
          <w:szCs w:val="24"/>
        </w:rPr>
        <w:fldChar w:fldCharType="begin"/>
      </w:r>
      <w:r>
        <w:rPr>
          <w:sz w:val="24"/>
          <w:szCs w:val="24"/>
        </w:rPr>
        <w:instrText xml:space="preserve"> REF _Ref526398918 \r \h  \* MERGEFORMAT </w:instrText>
      </w:r>
      <w:r>
        <w:rPr>
          <w:sz w:val="24"/>
          <w:szCs w:val="24"/>
        </w:rPr>
        <w:fldChar w:fldCharType="separate"/>
      </w:r>
      <w:r>
        <w:rPr>
          <w:sz w:val="24"/>
          <w:szCs w:val="24"/>
        </w:rPr>
        <w:t xml:space="preserve">3.1</w:t>
      </w:r>
      <w:r>
        <w:rPr>
          <w:sz w:val="24"/>
          <w:szCs w:val="24"/>
        </w:rPr>
        <w:fldChar w:fldCharType="end"/>
      </w:r>
      <w:r>
        <w:rPr>
          <w:sz w:val="24"/>
          <w:szCs w:val="24"/>
        </w:rPr>
        <w:t xml:space="preserve"> настоящего Порядка фактические расходы могут подтверждаться следующими документами:</w:t>
      </w:r>
      <w:r>
        <w:rPr>
          <w:sz w:val="24"/>
          <w:szCs w:val="24"/>
        </w:rPr>
      </w:r>
      <w:r>
        <w:rPr>
          <w:sz w:val="24"/>
          <w:szCs w:val="24"/>
        </w:rPr>
      </w:r>
    </w:p>
    <w:p>
      <w:pPr>
        <w:numPr>
          <w:ilvl w:val="2"/>
          <w:numId w:val="23"/>
        </w:numPr>
        <w:ind w:left="1701" w:hanging="850"/>
        <w:jc w:val="both"/>
        <w:spacing w:line="259" w:lineRule="auto"/>
        <w:rPr>
          <w:sz w:val="24"/>
          <w:szCs w:val="24"/>
        </w:rPr>
      </w:pPr>
      <w:r>
        <w:rPr>
          <w:sz w:val="24"/>
          <w:szCs w:val="24"/>
        </w:rPr>
        <w:t xml:space="preserve">актами и иными отчетно-финансовыми документами (оригиналами или заверенными уполномоченными лицом Концессионера копиями), предусмотренными с</w:t>
      </w:r>
      <w:r>
        <w:rPr>
          <w:sz w:val="24"/>
          <w:szCs w:val="24"/>
        </w:rPr>
        <w:t xml:space="preserve">оответствующими договорами и подтверждающими надлежащее исполнение контрагентом соответствующих работ, поставку товаров и (или) оказание услуг, либо получение контрагентом по договору (исполнителем и (или) поставщиком) предусмотренного аванса / предоплаты;</w:t>
      </w:r>
      <w:r>
        <w:rPr>
          <w:sz w:val="24"/>
          <w:szCs w:val="24"/>
        </w:rPr>
      </w:r>
      <w:r>
        <w:rPr>
          <w:sz w:val="24"/>
          <w:szCs w:val="24"/>
        </w:rPr>
      </w:r>
    </w:p>
    <w:p>
      <w:pPr>
        <w:numPr>
          <w:ilvl w:val="2"/>
          <w:numId w:val="23"/>
        </w:numPr>
        <w:ind w:left="1701" w:hanging="850"/>
        <w:jc w:val="both"/>
        <w:spacing w:line="259" w:lineRule="auto"/>
        <w:rPr>
          <w:sz w:val="24"/>
          <w:szCs w:val="24"/>
        </w:rPr>
      </w:pPr>
      <w:r>
        <w:rPr>
          <w:sz w:val="24"/>
          <w:szCs w:val="24"/>
        </w:rPr>
        <w:t xml:space="preserve">сертификатами (оригиналами или заверенными уполномоченными лицом Концессионера копиями) на оборудование;</w:t>
      </w:r>
      <w:r>
        <w:rPr>
          <w:sz w:val="24"/>
          <w:szCs w:val="24"/>
        </w:rPr>
      </w:r>
      <w:r>
        <w:rPr>
          <w:sz w:val="24"/>
          <w:szCs w:val="24"/>
        </w:rPr>
      </w:r>
    </w:p>
    <w:p>
      <w:pPr>
        <w:numPr>
          <w:ilvl w:val="2"/>
          <w:numId w:val="23"/>
        </w:numPr>
        <w:ind w:left="1701" w:hanging="850"/>
        <w:jc w:val="both"/>
        <w:spacing w:line="259" w:lineRule="auto"/>
        <w:rPr>
          <w:sz w:val="24"/>
          <w:szCs w:val="24"/>
        </w:rPr>
      </w:pPr>
      <w:r>
        <w:rPr>
          <w:sz w:val="24"/>
          <w:szCs w:val="24"/>
        </w:rPr>
        <w:t xml:space="preserve">выписками по расчетным счетам Концессионера, подтверждающими оплату Концессионером соответствующих сумм расходов;</w:t>
      </w:r>
      <w:r>
        <w:rPr>
          <w:sz w:val="24"/>
          <w:szCs w:val="24"/>
        </w:rPr>
      </w:r>
      <w:r>
        <w:rPr>
          <w:sz w:val="24"/>
          <w:szCs w:val="24"/>
        </w:rPr>
      </w:r>
    </w:p>
    <w:p>
      <w:pPr>
        <w:numPr>
          <w:ilvl w:val="2"/>
          <w:numId w:val="23"/>
        </w:numPr>
        <w:ind w:left="1701" w:hanging="850"/>
        <w:jc w:val="both"/>
        <w:spacing w:line="259" w:lineRule="auto"/>
        <w:rPr>
          <w:sz w:val="24"/>
          <w:szCs w:val="24"/>
        </w:rPr>
      </w:pPr>
      <w:r>
        <w:rPr>
          <w:sz w:val="24"/>
          <w:szCs w:val="24"/>
        </w:rPr>
        <w:t xml:space="preserve">Актами о выполнении мероприятий по реконструкции Объекта соглашения;</w:t>
      </w:r>
      <w:r>
        <w:rPr>
          <w:sz w:val="24"/>
          <w:szCs w:val="24"/>
        </w:rPr>
      </w:r>
      <w:r>
        <w:rPr>
          <w:sz w:val="24"/>
          <w:szCs w:val="24"/>
        </w:rPr>
      </w:r>
    </w:p>
    <w:p>
      <w:pPr>
        <w:numPr>
          <w:ilvl w:val="2"/>
          <w:numId w:val="23"/>
        </w:numPr>
        <w:ind w:left="1701" w:hanging="850"/>
        <w:jc w:val="both"/>
        <w:spacing w:line="259" w:lineRule="auto"/>
        <w:rPr>
          <w:sz w:val="24"/>
          <w:szCs w:val="24"/>
        </w:rPr>
      </w:pPr>
      <w:r>
        <w:rPr>
          <w:sz w:val="24"/>
          <w:szCs w:val="24"/>
        </w:rPr>
        <w:t xml:space="preserve">Итоговым актом о выполнении мероприятий по реконструкции Объекта соглашения;</w:t>
      </w:r>
      <w:r>
        <w:rPr>
          <w:sz w:val="24"/>
          <w:szCs w:val="24"/>
        </w:rPr>
      </w:r>
      <w:r>
        <w:rPr>
          <w:sz w:val="24"/>
          <w:szCs w:val="24"/>
        </w:rPr>
      </w:r>
    </w:p>
    <w:p>
      <w:pPr>
        <w:numPr>
          <w:ilvl w:val="2"/>
          <w:numId w:val="23"/>
        </w:numPr>
        <w:ind w:left="1701" w:hanging="850"/>
        <w:jc w:val="both"/>
        <w:spacing w:line="259" w:lineRule="auto"/>
        <w:rPr>
          <w:sz w:val="24"/>
          <w:szCs w:val="24"/>
        </w:rPr>
      </w:pPr>
      <w:r>
        <w:rPr>
          <w:sz w:val="24"/>
          <w:szCs w:val="24"/>
        </w:rPr>
        <w:t xml:space="preserve">Любыми иными надлежащими документами (сведениями).</w:t>
      </w:r>
      <w:r>
        <w:rPr>
          <w:sz w:val="24"/>
          <w:szCs w:val="24"/>
        </w:rPr>
      </w:r>
      <w:r>
        <w:rPr>
          <w:sz w:val="24"/>
          <w:szCs w:val="24"/>
        </w:rPr>
      </w:r>
    </w:p>
    <w:p>
      <w:pPr>
        <w:numPr>
          <w:ilvl w:val="1"/>
          <w:numId w:val="23"/>
        </w:numPr>
        <w:ind w:left="851" w:hanging="851"/>
        <w:jc w:val="both"/>
        <w:widowControl w:val="off"/>
        <w:rPr>
          <w:sz w:val="24"/>
          <w:szCs w:val="24"/>
        </w:rPr>
      </w:pPr>
      <w:r/>
      <w:bookmarkStart w:id="130" w:name="_Ref529377788"/>
      <w:r>
        <w:rPr>
          <w:sz w:val="24"/>
          <w:szCs w:val="24"/>
        </w:rPr>
        <w:t xml:space="preserve">В состав возмещенных Концессионеру на дату прекращения концессионного соглашения собственных средств, направленных в виде расходов на реконструкцию Объекта соглашения, включаются:</w:t>
      </w:r>
      <w:bookmarkEnd w:id="130"/>
      <w:r>
        <w:rPr>
          <w:sz w:val="24"/>
          <w:szCs w:val="24"/>
        </w:rPr>
      </w:r>
      <w:r>
        <w:rPr>
          <w:sz w:val="24"/>
          <w:szCs w:val="24"/>
        </w:rPr>
      </w:r>
    </w:p>
    <w:p>
      <w:pPr>
        <w:numPr>
          <w:ilvl w:val="2"/>
          <w:numId w:val="23"/>
        </w:numPr>
        <w:ind w:left="1701" w:hanging="850"/>
        <w:jc w:val="both"/>
        <w:widowControl w:val="off"/>
        <w:rPr>
          <w:sz w:val="24"/>
          <w:szCs w:val="24"/>
        </w:rPr>
      </w:pPr>
      <w:r>
        <w:rPr>
          <w:sz w:val="24"/>
          <w:szCs w:val="24"/>
        </w:rPr>
        <w:t xml:space="preserve">суммы средств на возврат займов и кредитов, привлекаемых на реализацию мероприятий Инвестиционной программы, учтенные в составе нормативной прибыли при утверждении Тарифа за каждый полный год, предшествующей дате прекращения концессионного соглашения;</w:t>
      </w:r>
      <w:r>
        <w:rPr>
          <w:sz w:val="24"/>
          <w:szCs w:val="24"/>
        </w:rPr>
      </w:r>
      <w:r>
        <w:rPr>
          <w:sz w:val="24"/>
          <w:szCs w:val="24"/>
        </w:rPr>
      </w:r>
    </w:p>
    <w:p>
      <w:pPr>
        <w:numPr>
          <w:ilvl w:val="2"/>
          <w:numId w:val="23"/>
        </w:numPr>
        <w:ind w:left="1701" w:hanging="850"/>
        <w:jc w:val="both"/>
        <w:widowControl w:val="off"/>
        <w:rPr>
          <w:sz w:val="24"/>
          <w:szCs w:val="24"/>
        </w:rPr>
      </w:pPr>
      <w:r>
        <w:rPr>
          <w:sz w:val="24"/>
          <w:szCs w:val="24"/>
        </w:rPr>
        <w:t xml:space="preserve">суммы средств на возврат займов и кредитов, привлекаемых на реализацию мероприятий Инвестиционной программы, которые:</w:t>
      </w:r>
      <w:r>
        <w:rPr>
          <w:sz w:val="24"/>
          <w:szCs w:val="24"/>
        </w:rPr>
      </w:r>
      <w:r>
        <w:rPr>
          <w:sz w:val="24"/>
          <w:szCs w:val="24"/>
        </w:rPr>
      </w:r>
    </w:p>
    <w:p>
      <w:pPr>
        <w:pStyle w:val="943"/>
        <w:ind w:left="2268"/>
        <w:jc w:val="both"/>
        <w:rPr>
          <w:sz w:val="24"/>
          <w:szCs w:val="24"/>
          <w:lang w:val="ru-RU"/>
        </w:rPr>
      </w:pPr>
      <w:r>
        <w:rPr>
          <w:sz w:val="24"/>
          <w:szCs w:val="24"/>
          <w:lang w:val="ru-RU"/>
        </w:rPr>
        <w:t xml:space="preserve">1) были учтены в составе нормативной прибыли при утверждении Тарифа в году, в котором наступила дата прекращения концессионного соглашения;</w:t>
      </w:r>
      <w:r>
        <w:rPr>
          <w:sz w:val="24"/>
          <w:szCs w:val="24"/>
          <w:lang w:val="ru-RU"/>
        </w:rPr>
      </w:r>
      <w:r>
        <w:rPr>
          <w:sz w:val="24"/>
          <w:szCs w:val="24"/>
          <w:lang w:val="ru-RU"/>
        </w:rPr>
      </w:r>
    </w:p>
    <w:p>
      <w:pPr>
        <w:pStyle w:val="943"/>
        <w:ind w:left="2268"/>
        <w:jc w:val="both"/>
        <w:rPr>
          <w:sz w:val="24"/>
          <w:szCs w:val="24"/>
          <w:lang w:val="ru-RU"/>
        </w:rPr>
      </w:pPr>
      <w:r>
        <w:rPr>
          <w:sz w:val="24"/>
          <w:szCs w:val="24"/>
          <w:lang w:val="ru-RU"/>
        </w:rPr>
        <w:t xml:space="preserve">2) определяется на основании данных о фактическом объеме оказанных Концессионером услуг по теплоснабжению и горячего водоснабжению.</w:t>
      </w:r>
      <w:r>
        <w:rPr>
          <w:sz w:val="24"/>
          <w:szCs w:val="24"/>
          <w:lang w:val="ru-RU"/>
        </w:rPr>
      </w:r>
      <w:r>
        <w:rPr>
          <w:sz w:val="24"/>
          <w:szCs w:val="24"/>
          <w:lang w:val="ru-RU"/>
        </w:rPr>
      </w:r>
    </w:p>
    <w:p>
      <w:pPr>
        <w:numPr>
          <w:ilvl w:val="0"/>
          <w:numId w:val="23"/>
        </w:numPr>
        <w:ind w:left="851" w:hanging="851"/>
        <w:jc w:val="both"/>
        <w:widowControl w:val="off"/>
        <w:rPr>
          <w:b/>
          <w:sz w:val="24"/>
          <w:szCs w:val="24"/>
        </w:rPr>
      </w:pPr>
      <w:r>
        <w:rPr>
          <w:b/>
          <w:sz w:val="24"/>
          <w:szCs w:val="24"/>
        </w:rPr>
        <w:t xml:space="preserve">Процедура выплаты суммы Компенсации при прекращении</w:t>
      </w:r>
      <w:r>
        <w:rPr>
          <w:b/>
          <w:sz w:val="24"/>
          <w:szCs w:val="24"/>
        </w:rPr>
      </w:r>
      <w:r>
        <w:rPr>
          <w:b/>
          <w:sz w:val="24"/>
          <w:szCs w:val="24"/>
        </w:rPr>
      </w:r>
    </w:p>
    <w:p>
      <w:pPr>
        <w:numPr>
          <w:ilvl w:val="1"/>
          <w:numId w:val="23"/>
        </w:numPr>
        <w:ind w:left="851" w:hanging="851"/>
        <w:jc w:val="both"/>
        <w:widowControl w:val="off"/>
        <w:rPr>
          <w:sz w:val="24"/>
          <w:szCs w:val="24"/>
        </w:rPr>
      </w:pPr>
      <w:r/>
      <w:bookmarkStart w:id="131" w:name="_Ref526398735"/>
      <w:r>
        <w:rPr>
          <w:sz w:val="24"/>
          <w:szCs w:val="24"/>
        </w:rPr>
        <w:t xml:space="preserve">В случае прекращения Концессионного соглашения по основаниям, не зависящим от воли сторон, а также в связи с неисполнением (нарушением) Концессионного Соглашения Концедентом, выплату Компенсации при прекращении осуществляет Концедент.</w:t>
      </w:r>
      <w:r>
        <w:rPr>
          <w:sz w:val="24"/>
          <w:szCs w:val="24"/>
        </w:rPr>
      </w:r>
      <w:r>
        <w:rPr>
          <w:sz w:val="24"/>
          <w:szCs w:val="24"/>
        </w:rPr>
      </w:r>
    </w:p>
    <w:p>
      <w:pPr>
        <w:numPr>
          <w:ilvl w:val="1"/>
          <w:numId w:val="23"/>
        </w:numPr>
        <w:ind w:left="851" w:hanging="851"/>
        <w:jc w:val="both"/>
        <w:widowControl w:val="off"/>
        <w:rPr>
          <w:sz w:val="24"/>
          <w:szCs w:val="24"/>
        </w:rPr>
      </w:pPr>
      <w:r>
        <w:rPr>
          <w:sz w:val="24"/>
          <w:szCs w:val="24"/>
        </w:rPr>
        <w:t xml:space="preserve">Концессионер обязан предоставить Концеденту расчет соответствующей суммы Компенсации при прекращении с приложением документов, подтверждающих этот расчет:</w:t>
      </w:r>
      <w:bookmarkEnd w:id="131"/>
      <w:r>
        <w:rPr>
          <w:sz w:val="24"/>
          <w:szCs w:val="24"/>
        </w:rPr>
      </w:r>
      <w:r>
        <w:rPr>
          <w:sz w:val="24"/>
          <w:szCs w:val="24"/>
        </w:rPr>
      </w:r>
    </w:p>
    <w:p>
      <w:pPr>
        <w:numPr>
          <w:ilvl w:val="2"/>
          <w:numId w:val="23"/>
        </w:numPr>
        <w:ind w:left="1701" w:hanging="850"/>
        <w:jc w:val="both"/>
        <w:widowControl w:val="off"/>
        <w:rPr>
          <w:sz w:val="24"/>
          <w:szCs w:val="24"/>
        </w:rPr>
      </w:pPr>
      <w:r>
        <w:rPr>
          <w:sz w:val="24"/>
          <w:szCs w:val="24"/>
        </w:rPr>
        <w:t xml:space="preserve">одновременно с Заявлением о прекращении, в котором Концессионер выражает намерение расторгнуть Концессионное соглашение; </w:t>
      </w:r>
      <w:r>
        <w:rPr>
          <w:sz w:val="24"/>
          <w:szCs w:val="24"/>
        </w:rPr>
      </w:r>
      <w:r>
        <w:rPr>
          <w:sz w:val="24"/>
          <w:szCs w:val="24"/>
        </w:rPr>
      </w:r>
    </w:p>
    <w:p>
      <w:pPr>
        <w:numPr>
          <w:ilvl w:val="2"/>
          <w:numId w:val="23"/>
        </w:numPr>
        <w:ind w:left="1701" w:hanging="850"/>
        <w:jc w:val="both"/>
        <w:widowControl w:val="off"/>
        <w:rPr>
          <w:sz w:val="24"/>
          <w:szCs w:val="24"/>
        </w:rPr>
      </w:pPr>
      <w:r>
        <w:rPr>
          <w:sz w:val="24"/>
          <w:szCs w:val="24"/>
        </w:rPr>
        <w:t xml:space="preserve">в течение 15 (пятнадцати) Рабочих дней с момента получения Заявления о </w:t>
      </w:r>
      <w:r>
        <w:rPr>
          <w:sz w:val="24"/>
          <w:szCs w:val="24"/>
        </w:rPr>
        <w:t xml:space="preserve">прекращении от Концедента.</w:t>
      </w:r>
      <w:r>
        <w:rPr>
          <w:sz w:val="24"/>
          <w:szCs w:val="24"/>
        </w:rPr>
      </w:r>
      <w:r>
        <w:rPr>
          <w:sz w:val="24"/>
          <w:szCs w:val="24"/>
        </w:rPr>
      </w:r>
    </w:p>
    <w:p>
      <w:pPr>
        <w:numPr>
          <w:ilvl w:val="1"/>
          <w:numId w:val="23"/>
        </w:numPr>
        <w:ind w:left="851" w:hanging="851"/>
        <w:jc w:val="both"/>
        <w:widowControl w:val="off"/>
        <w:rPr>
          <w:sz w:val="24"/>
          <w:szCs w:val="24"/>
        </w:rPr>
      </w:pPr>
      <w:r/>
      <w:bookmarkStart w:id="132" w:name="_Ref526399085"/>
      <w:r>
        <w:rPr>
          <w:sz w:val="24"/>
          <w:szCs w:val="24"/>
        </w:rPr>
        <w:t xml:space="preserve">Концедент  в течение 15 (пятнадцати) Рабочих дней со дня получения сведений, предоставленных согласно пункту </w:t>
      </w:r>
      <w:r>
        <w:rPr>
          <w:sz w:val="24"/>
          <w:szCs w:val="24"/>
        </w:rPr>
        <w:fldChar w:fldCharType="begin"/>
      </w:r>
      <w:r>
        <w:rPr>
          <w:sz w:val="24"/>
          <w:szCs w:val="24"/>
        </w:rPr>
        <w:instrText xml:space="preserve"> REF _Ref526398735 \r \h  \* MERGEFORMAT </w:instrText>
      </w:r>
      <w:r>
        <w:rPr>
          <w:sz w:val="24"/>
          <w:szCs w:val="24"/>
        </w:rPr>
        <w:fldChar w:fldCharType="separate"/>
      </w:r>
      <w:r>
        <w:rPr>
          <w:sz w:val="24"/>
          <w:szCs w:val="24"/>
        </w:rPr>
        <w:t xml:space="preserve">4.1</w:t>
      </w:r>
      <w:r>
        <w:rPr>
          <w:sz w:val="24"/>
          <w:szCs w:val="24"/>
        </w:rPr>
        <w:fldChar w:fldCharType="end"/>
      </w:r>
      <w:r>
        <w:rPr>
          <w:sz w:val="24"/>
          <w:szCs w:val="24"/>
        </w:rPr>
        <w:t xml:space="preserve"> настоящего Приложения, утвердить предоставленный Концессионером расчет суммы Компенсации при прекращении в своей части или представить обоснованные возражения относительно суммы Компенсации при прекращении.</w:t>
      </w:r>
      <w:bookmarkEnd w:id="132"/>
      <w:r>
        <w:rPr>
          <w:sz w:val="24"/>
          <w:szCs w:val="24"/>
        </w:rPr>
      </w:r>
      <w:r>
        <w:rPr>
          <w:sz w:val="24"/>
          <w:szCs w:val="24"/>
        </w:rPr>
      </w:r>
    </w:p>
    <w:p>
      <w:pPr>
        <w:numPr>
          <w:ilvl w:val="1"/>
          <w:numId w:val="23"/>
        </w:numPr>
        <w:ind w:left="851" w:hanging="851"/>
        <w:jc w:val="both"/>
        <w:widowControl w:val="off"/>
        <w:rPr>
          <w:sz w:val="24"/>
          <w:szCs w:val="24"/>
        </w:rPr>
      </w:pPr>
      <w:r>
        <w:rPr>
          <w:sz w:val="24"/>
          <w:szCs w:val="24"/>
        </w:rPr>
        <w:t xml:space="preserve">С целью проверки расчета суммы Компенсации при прекращении, предоставленного Концессионером, а также в случае непредставления Концессионером такого расчета и (или) необходимых документов, обосновывающих такой расчет, Концедент вп</w:t>
      </w:r>
      <w:r>
        <w:rPr>
          <w:sz w:val="24"/>
          <w:szCs w:val="24"/>
        </w:rPr>
        <w:t xml:space="preserve">раве осуществлять любые проверки, требовать предоставления Концессионером необходимых ему документов и сведений, проводить инвентаризацию имущества Концессионера, входящего в состав Объекта соглашения, а также имущества, находящегося на Земельных участках.</w:t>
      </w:r>
      <w:r>
        <w:rPr>
          <w:sz w:val="24"/>
          <w:szCs w:val="24"/>
        </w:rPr>
      </w:r>
      <w:r>
        <w:rPr>
          <w:sz w:val="24"/>
          <w:szCs w:val="24"/>
        </w:rPr>
      </w:r>
    </w:p>
    <w:p>
      <w:pPr>
        <w:numPr>
          <w:ilvl w:val="1"/>
          <w:numId w:val="23"/>
        </w:numPr>
        <w:ind w:left="851" w:hanging="851"/>
        <w:jc w:val="both"/>
        <w:widowControl w:val="off"/>
        <w:rPr>
          <w:sz w:val="24"/>
          <w:szCs w:val="24"/>
        </w:rPr>
      </w:pPr>
      <w:r>
        <w:rPr>
          <w:sz w:val="24"/>
          <w:szCs w:val="24"/>
        </w:rPr>
        <w:t xml:space="preserve">Если Концедент не утверждает расчет суммы Компенсации при прекращении или представляет возражения относительно суммы Компенсации при прекращении в соответствии с пунктом </w:t>
      </w:r>
      <w:r>
        <w:rPr>
          <w:sz w:val="24"/>
          <w:szCs w:val="24"/>
        </w:rPr>
        <w:fldChar w:fldCharType="begin"/>
      </w:r>
      <w:r>
        <w:rPr>
          <w:sz w:val="24"/>
          <w:szCs w:val="24"/>
        </w:rPr>
        <w:instrText xml:space="preserve"> REF _Ref526399085 \r \h  \* MERGEFORMAT </w:instrText>
      </w:r>
      <w:r>
        <w:rPr>
          <w:sz w:val="24"/>
          <w:szCs w:val="24"/>
        </w:rPr>
        <w:fldChar w:fldCharType="separate"/>
      </w:r>
      <w:r>
        <w:rPr>
          <w:sz w:val="24"/>
          <w:szCs w:val="24"/>
        </w:rPr>
        <w:t xml:space="preserve">4.3</w:t>
      </w:r>
      <w:r>
        <w:rPr>
          <w:sz w:val="24"/>
          <w:szCs w:val="24"/>
        </w:rPr>
        <w:fldChar w:fldCharType="end"/>
      </w:r>
      <w:r>
        <w:rPr>
          <w:sz w:val="24"/>
          <w:szCs w:val="24"/>
        </w:rPr>
        <w:t xml:space="preserve"> настоящего Приложения, спор о размере суммы Компенсации при прекращении подлежит разрешению в соответствии с законодательством.</w:t>
      </w:r>
      <w:r>
        <w:rPr>
          <w:sz w:val="24"/>
          <w:szCs w:val="24"/>
        </w:rPr>
      </w:r>
      <w:r>
        <w:rPr>
          <w:sz w:val="24"/>
          <w:szCs w:val="24"/>
        </w:rPr>
      </w:r>
    </w:p>
    <w:p>
      <w:pPr>
        <w:numPr>
          <w:ilvl w:val="1"/>
          <w:numId w:val="23"/>
        </w:numPr>
        <w:ind w:left="851" w:hanging="851"/>
        <w:jc w:val="both"/>
        <w:widowControl w:val="off"/>
        <w:rPr>
          <w:sz w:val="24"/>
          <w:szCs w:val="24"/>
        </w:rPr>
      </w:pPr>
      <w:r/>
      <w:bookmarkStart w:id="133" w:name="_Ref526399131"/>
      <w:r>
        <w:rPr>
          <w:sz w:val="24"/>
          <w:szCs w:val="24"/>
        </w:rPr>
        <w:t xml:space="preserve">Сумма Компенсации при прекращении подлежит выплате в течение 6 (шести) месяцев начиная с 01 января года, следующего за годом, в котором наступило событие:</w:t>
      </w:r>
      <w:bookmarkEnd w:id="133"/>
      <w:r>
        <w:rPr>
          <w:sz w:val="24"/>
          <w:szCs w:val="24"/>
        </w:rPr>
      </w:r>
      <w:r>
        <w:rPr>
          <w:sz w:val="24"/>
          <w:szCs w:val="24"/>
        </w:rPr>
      </w:r>
    </w:p>
    <w:p>
      <w:pPr>
        <w:numPr>
          <w:ilvl w:val="2"/>
          <w:numId w:val="23"/>
        </w:numPr>
        <w:ind w:left="1701" w:hanging="850"/>
        <w:jc w:val="both"/>
        <w:widowControl w:val="off"/>
        <w:rPr>
          <w:sz w:val="24"/>
          <w:szCs w:val="24"/>
        </w:rPr>
      </w:pPr>
      <w:r>
        <w:rPr>
          <w:sz w:val="24"/>
          <w:szCs w:val="24"/>
        </w:rPr>
        <w:t xml:space="preserve">вступление в законную силу решения Арбитражного суда о досрочном расторжении Концессионного соглашения;</w:t>
      </w:r>
      <w:r>
        <w:rPr>
          <w:sz w:val="24"/>
          <w:szCs w:val="24"/>
        </w:rPr>
      </w:r>
      <w:r>
        <w:rPr>
          <w:sz w:val="24"/>
          <w:szCs w:val="24"/>
        </w:rPr>
      </w:r>
    </w:p>
    <w:p>
      <w:pPr>
        <w:numPr>
          <w:ilvl w:val="2"/>
          <w:numId w:val="23"/>
        </w:numPr>
        <w:ind w:left="1701" w:hanging="850"/>
        <w:jc w:val="both"/>
        <w:widowControl w:val="off"/>
        <w:rPr>
          <w:sz w:val="24"/>
          <w:szCs w:val="24"/>
        </w:rPr>
      </w:pPr>
      <w:r>
        <w:rPr>
          <w:sz w:val="24"/>
          <w:szCs w:val="24"/>
        </w:rPr>
        <w:t xml:space="preserve">подписание Сторонами соглашения о прекращении Концессионного соглашения; При этом, Концедент обязуется предусмотреть лимиты бюджетных ассигнований, необходимых для выплаты компенсации, не позднее даты, указанной в первом абзаце настоящего пункта.</w:t>
      </w:r>
      <w:r>
        <w:rPr>
          <w:sz w:val="24"/>
          <w:szCs w:val="24"/>
        </w:rPr>
      </w:r>
      <w:r>
        <w:rPr>
          <w:sz w:val="24"/>
          <w:szCs w:val="24"/>
        </w:rPr>
      </w:r>
    </w:p>
    <w:p>
      <w:pPr>
        <w:numPr>
          <w:ilvl w:val="1"/>
          <w:numId w:val="23"/>
        </w:numPr>
        <w:ind w:left="851" w:hanging="851"/>
        <w:jc w:val="both"/>
        <w:widowControl w:val="off"/>
        <w:rPr>
          <w:sz w:val="24"/>
          <w:szCs w:val="24"/>
        </w:rPr>
      </w:pPr>
      <w:r/>
      <w:bookmarkStart w:id="134" w:name="_Ref526398861"/>
      <w:r>
        <w:rPr>
          <w:sz w:val="24"/>
          <w:szCs w:val="24"/>
        </w:rPr>
        <w:t xml:space="preserve">Расчет суммы Компенсации при прекращении, произведенный в соответствии с пунктом </w:t>
      </w:r>
      <w:r>
        <w:rPr>
          <w:sz w:val="24"/>
          <w:szCs w:val="24"/>
        </w:rPr>
        <w:fldChar w:fldCharType="begin"/>
      </w:r>
      <w:r>
        <w:rPr>
          <w:sz w:val="24"/>
          <w:szCs w:val="24"/>
        </w:rPr>
        <w:instrText xml:space="preserve"> REF _Ref526398735 \r \h  \* MERGEFORMAT </w:instrText>
      </w:r>
      <w:r>
        <w:rPr>
          <w:sz w:val="24"/>
          <w:szCs w:val="24"/>
        </w:rPr>
        <w:fldChar w:fldCharType="separate"/>
      </w:r>
      <w:r>
        <w:rPr>
          <w:sz w:val="24"/>
          <w:szCs w:val="24"/>
        </w:rPr>
        <w:t xml:space="preserve">4.1</w:t>
      </w:r>
      <w:r>
        <w:rPr>
          <w:sz w:val="24"/>
          <w:szCs w:val="24"/>
        </w:rPr>
        <w:fldChar w:fldCharType="end"/>
      </w:r>
      <w:r>
        <w:rPr>
          <w:sz w:val="24"/>
          <w:szCs w:val="24"/>
        </w:rPr>
        <w:t xml:space="preserve"> настоящего Приложения, подлежит корректировке на дату прекращения Концессионного соглашения на основе фактических данных.</w:t>
      </w:r>
      <w:bookmarkEnd w:id="134"/>
      <w:r>
        <w:rPr>
          <w:sz w:val="24"/>
          <w:szCs w:val="24"/>
        </w:rPr>
        <w:t xml:space="preserve"> </w:t>
      </w:r>
      <w:r>
        <w:rPr>
          <w:sz w:val="24"/>
          <w:szCs w:val="24"/>
        </w:rPr>
      </w:r>
      <w:r>
        <w:rPr>
          <w:sz w:val="24"/>
          <w:szCs w:val="24"/>
        </w:rPr>
      </w:r>
    </w:p>
    <w:p>
      <w:pPr>
        <w:numPr>
          <w:ilvl w:val="1"/>
          <w:numId w:val="23"/>
        </w:numPr>
        <w:ind w:left="851" w:hanging="851"/>
        <w:jc w:val="both"/>
        <w:widowControl w:val="off"/>
        <w:rPr>
          <w:sz w:val="24"/>
          <w:szCs w:val="24"/>
        </w:rPr>
      </w:pPr>
      <w:r/>
      <w:bookmarkStart w:id="135" w:name="_Ref526399212"/>
      <w:r>
        <w:rPr>
          <w:sz w:val="24"/>
          <w:szCs w:val="24"/>
        </w:rPr>
        <w:t xml:space="preserve">С даты прекращения концессионного соглашения и до момента уплаты суммы Компенсации при прекращении на невыплаченную часть суммы Компенсации при прекращении, подлежат начислению и уплате проценты, рассчитываемые в следующем порядке:</w:t>
      </w:r>
      <w:bookmarkEnd w:id="135"/>
      <w:r>
        <w:rPr>
          <w:sz w:val="24"/>
          <w:szCs w:val="24"/>
        </w:rPr>
      </w:r>
      <w:r>
        <w:rPr>
          <w:sz w:val="24"/>
          <w:szCs w:val="24"/>
        </w:rPr>
      </w:r>
    </w:p>
    <w:p>
      <w:pPr>
        <w:numPr>
          <w:ilvl w:val="2"/>
          <w:numId w:val="23"/>
        </w:numPr>
        <w:ind w:left="1701" w:hanging="850"/>
        <w:jc w:val="both"/>
        <w:widowControl w:val="off"/>
        <w:rPr>
          <w:sz w:val="24"/>
          <w:szCs w:val="24"/>
        </w:rPr>
      </w:pPr>
      <w:r>
        <w:rPr>
          <w:sz w:val="24"/>
          <w:szCs w:val="24"/>
        </w:rPr>
        <w:t xml:space="preserve">в течение периода, предусмотренного пунктом </w:t>
      </w:r>
      <w:r>
        <w:rPr>
          <w:sz w:val="24"/>
          <w:szCs w:val="24"/>
        </w:rPr>
        <w:fldChar w:fldCharType="begin"/>
      </w:r>
      <w:r>
        <w:rPr>
          <w:sz w:val="24"/>
          <w:szCs w:val="24"/>
        </w:rPr>
        <w:instrText xml:space="preserve"> REF _Ref526399131 \r \h  \* MERGEFORMAT </w:instrText>
      </w:r>
      <w:r>
        <w:rPr>
          <w:sz w:val="24"/>
          <w:szCs w:val="24"/>
        </w:rPr>
        <w:fldChar w:fldCharType="separate"/>
      </w:r>
      <w:r>
        <w:rPr>
          <w:sz w:val="24"/>
          <w:szCs w:val="24"/>
        </w:rPr>
        <w:t xml:space="preserve">4.6</w:t>
      </w:r>
      <w:r>
        <w:rPr>
          <w:sz w:val="24"/>
          <w:szCs w:val="24"/>
        </w:rPr>
        <w:fldChar w:fldCharType="end"/>
      </w:r>
      <w:r>
        <w:rPr>
          <w:sz w:val="24"/>
          <w:szCs w:val="24"/>
        </w:rPr>
        <w:t xml:space="preserve">6 настоящего Приложения (включительно) – 0 %;</w:t>
      </w:r>
      <w:r>
        <w:rPr>
          <w:sz w:val="24"/>
          <w:szCs w:val="24"/>
        </w:rPr>
      </w:r>
      <w:r>
        <w:rPr>
          <w:sz w:val="24"/>
          <w:szCs w:val="24"/>
        </w:rPr>
      </w:r>
    </w:p>
    <w:p>
      <w:pPr>
        <w:numPr>
          <w:ilvl w:val="2"/>
          <w:numId w:val="23"/>
        </w:numPr>
        <w:ind w:left="1701" w:hanging="850"/>
        <w:jc w:val="both"/>
        <w:widowControl w:val="off"/>
        <w:rPr>
          <w:sz w:val="24"/>
          <w:szCs w:val="24"/>
        </w:rPr>
      </w:pPr>
      <w:r>
        <w:rPr>
          <w:sz w:val="24"/>
          <w:szCs w:val="24"/>
        </w:rPr>
        <w:t xml:space="preserve">по истечении периода, предусмотренного пунктом 4.6 настоящего Приложения – 1/360 ключевой ставке Банка России за каждый день просрочки;</w:t>
      </w:r>
      <w:r>
        <w:rPr>
          <w:sz w:val="24"/>
          <w:szCs w:val="24"/>
        </w:rPr>
      </w:r>
      <w:r>
        <w:rPr>
          <w:sz w:val="24"/>
          <w:szCs w:val="24"/>
        </w:rPr>
      </w:r>
    </w:p>
    <w:p>
      <w:pPr>
        <w:numPr>
          <w:ilvl w:val="1"/>
          <w:numId w:val="23"/>
        </w:numPr>
        <w:ind w:left="851" w:hanging="851"/>
        <w:jc w:val="both"/>
        <w:widowControl w:val="off"/>
        <w:rPr>
          <w:sz w:val="24"/>
          <w:szCs w:val="24"/>
        </w:rPr>
      </w:pPr>
      <w:r>
        <w:rPr>
          <w:sz w:val="24"/>
          <w:szCs w:val="24"/>
        </w:rPr>
        <w:t xml:space="preserve">По соглашению Сторон срок выплаты Компенсации может быть увеличен. При эт</w:t>
      </w:r>
      <w:r>
        <w:rPr>
          <w:sz w:val="24"/>
          <w:szCs w:val="24"/>
        </w:rPr>
        <w:t xml:space="preserve">ом существенным условием соглашения об изменении срока выплаты Компенсации является предоставление Концедентом дополнительного обеспечения исполнения обязательства в виде поручительства или банковской гарантии, условия которых согласованы с Концессионером.</w:t>
      </w:r>
      <w:r>
        <w:rPr>
          <w:sz w:val="24"/>
          <w:szCs w:val="24"/>
        </w:rPr>
      </w:r>
      <w:r>
        <w:rPr>
          <w:sz w:val="24"/>
          <w:szCs w:val="24"/>
        </w:rPr>
      </w:r>
    </w:p>
    <w:p>
      <w:pPr>
        <w:numPr>
          <w:ilvl w:val="0"/>
          <w:numId w:val="23"/>
        </w:numPr>
        <w:ind w:left="851" w:hanging="851"/>
        <w:jc w:val="both"/>
        <w:widowControl w:val="off"/>
        <w:rPr>
          <w:b/>
          <w:sz w:val="24"/>
          <w:szCs w:val="24"/>
        </w:rPr>
      </w:pPr>
      <w:r>
        <w:rPr>
          <w:b/>
          <w:sz w:val="24"/>
          <w:szCs w:val="24"/>
        </w:rPr>
        <w:t xml:space="preserve">Состав расходов в целях поддержания надлежащего функционирования Объекта соглашения </w:t>
      </w:r>
      <w:r>
        <w:rPr>
          <w:b/>
          <w:sz w:val="24"/>
          <w:szCs w:val="24"/>
        </w:rPr>
      </w:r>
      <w:r>
        <w:rPr>
          <w:b/>
          <w:sz w:val="24"/>
          <w:szCs w:val="24"/>
        </w:rPr>
      </w:r>
    </w:p>
    <w:p>
      <w:pPr>
        <w:numPr>
          <w:ilvl w:val="1"/>
          <w:numId w:val="23"/>
        </w:numPr>
        <w:ind w:left="851" w:hanging="851"/>
        <w:jc w:val="both"/>
        <w:widowControl w:val="off"/>
        <w:rPr>
          <w:sz w:val="24"/>
          <w:szCs w:val="24"/>
        </w:rPr>
      </w:pPr>
      <w:r/>
      <w:bookmarkStart w:id="136" w:name="_Ref529452121"/>
      <w:r>
        <w:rPr>
          <w:sz w:val="24"/>
          <w:szCs w:val="24"/>
        </w:rPr>
        <w:t xml:space="preserve">Расходы, фактически понесенные Концессионером в целях поддержания надлежащего функционирования Объекта соглашения с даты прекращения концессионного соглашения до даты передачи (возврата) Объекта соглашения Концеденту могут включать:</w:t>
      </w:r>
      <w:bookmarkEnd w:id="136"/>
      <w:r>
        <w:rPr>
          <w:sz w:val="24"/>
          <w:szCs w:val="24"/>
        </w:rPr>
      </w:r>
      <w:r>
        <w:rPr>
          <w:sz w:val="24"/>
          <w:szCs w:val="24"/>
        </w:rPr>
      </w:r>
    </w:p>
    <w:p>
      <w:pPr>
        <w:pStyle w:val="980"/>
        <w:ind w:left="1728"/>
        <w:spacing w:after="0"/>
      </w:pPr>
      <w:r>
        <w:t xml:space="preserve">1) расходы Концессионера на выплату арендной платы по договорам </w:t>
      </w:r>
      <w:r>
        <w:t xml:space="preserve">аренды земельных участков;</w:t>
      </w:r>
      <w:r/>
    </w:p>
    <w:p>
      <w:pPr>
        <w:pStyle w:val="980"/>
        <w:ind w:left="1728"/>
        <w:spacing w:after="0"/>
      </w:pPr>
      <w:r>
        <w:t xml:space="preserve">2) расходы Концессионера в связи с уплатой обязательных в соответствии с законодательством платежей в бюджеты бюджетной системы Российской Федерации;</w:t>
      </w:r>
      <w:r/>
    </w:p>
    <w:p>
      <w:pPr>
        <w:pStyle w:val="980"/>
        <w:ind w:left="1728"/>
        <w:spacing w:after="0"/>
      </w:pPr>
      <w:r>
        <w:t xml:space="preserve">3) расходы на оплату товаров, работ, услуг третьих лиц, необходимых для поддержания функционирования Объекта соглашения;</w:t>
      </w:r>
      <w:r/>
    </w:p>
    <w:p>
      <w:pPr>
        <w:pStyle w:val="980"/>
        <w:ind w:left="1728"/>
        <w:spacing w:after="0"/>
      </w:pPr>
      <w:r>
        <w:t xml:space="preserve">4) Расходы на демобилизацию.</w:t>
      </w:r>
      <w:r/>
    </w:p>
    <w:p>
      <w:pPr>
        <w:pStyle w:val="980"/>
        <w:ind w:left="1728"/>
        <w:spacing w:after="0"/>
      </w:pPr>
      <w:r>
        <w:t xml:space="preserve">5) Расходы на консервацию.</w:t>
      </w:r>
      <w:r/>
    </w:p>
    <w:p>
      <w:pPr>
        <w:ind w:firstLine="680"/>
        <w:jc w:val="both"/>
        <w:rPr>
          <w:sz w:val="24"/>
          <w:szCs w:val="24"/>
        </w:rPr>
      </w:pPr>
      <w:r>
        <w:rPr>
          <w:sz w:val="24"/>
          <w:szCs w:val="24"/>
        </w:rPr>
      </w:r>
      <w:r>
        <w:rPr>
          <w:sz w:val="24"/>
          <w:szCs w:val="24"/>
        </w:rPr>
      </w:r>
      <w:r>
        <w:rPr>
          <w:sz w:val="24"/>
          <w:szCs w:val="24"/>
        </w:rPr>
      </w:r>
    </w:p>
    <w:p>
      <w:pPr>
        <w:ind w:firstLine="680"/>
        <w:jc w:val="both"/>
        <w:rPr>
          <w:sz w:val="24"/>
          <w:szCs w:val="24"/>
        </w:rPr>
      </w:pPr>
      <w:r>
        <w:rPr>
          <w:sz w:val="24"/>
          <w:szCs w:val="24"/>
        </w:rPr>
      </w:r>
      <w:r>
        <w:rPr>
          <w:sz w:val="24"/>
          <w:szCs w:val="24"/>
        </w:rPr>
      </w:r>
      <w:r>
        <w:rPr>
          <w:sz w:val="24"/>
          <w:szCs w:val="24"/>
        </w:rPr>
      </w:r>
    </w:p>
    <w:tbl>
      <w:tblPr>
        <w:tblStyle w:val="937"/>
        <w:tblW w:w="5000" w:type="pc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190"/>
        <w:gridCol w:w="3190"/>
        <w:gridCol w:w="3190"/>
      </w:tblGrid>
      <w:tr>
        <w:tblPrEx/>
        <w:trPr/>
        <w:tc>
          <w:tcPr>
            <w:tcW w:w="1667" w:type="pct"/>
            <w:textDirection w:val="lrTb"/>
            <w:noWrap w:val="false"/>
          </w:tcPr>
          <w:p>
            <w:pPr>
              <w:jc w:val="both"/>
              <w:rPr>
                <w:b/>
                <w:sz w:val="24"/>
                <w:szCs w:val="24"/>
              </w:rPr>
            </w:pPr>
            <w:r>
              <w:rPr>
                <w:b/>
                <w:sz w:val="24"/>
                <w:szCs w:val="24"/>
              </w:rPr>
              <w:t xml:space="preserve">Концедент</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Концессионер</w:t>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t xml:space="preserve">Субъект</w:t>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t xml:space="preserve">Муниципальное образование Печенгский муниципальный округ Мурманской области</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Общество с ограниченной ответственностью «ПромВоенСтрой»</w:t>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t xml:space="preserve">Мурманская область</w:t>
            </w:r>
            <w:r>
              <w:rPr>
                <w:b/>
                <w:sz w:val="24"/>
                <w:szCs w:val="24"/>
              </w:rPr>
            </w:r>
            <w:r>
              <w:rPr>
                <w:b/>
                <w:sz w:val="24"/>
                <w:szCs w:val="24"/>
              </w:rPr>
            </w:r>
          </w:p>
          <w:p>
            <w:pPr>
              <w:jc w:val="both"/>
              <w:rPr>
                <w:b/>
                <w:sz w:val="24"/>
                <w:szCs w:val="24"/>
              </w:rPr>
            </w:pPr>
            <w:r>
              <w:rPr>
                <w:b/>
                <w:sz w:val="24"/>
                <w:szCs w:val="24"/>
              </w:rPr>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t xml:space="preserve">Глава округа</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Генеральный директор</w:t>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t xml:space="preserve">Губернатор</w:t>
            </w:r>
            <w:r>
              <w:rPr>
                <w:b/>
                <w:sz w:val="24"/>
                <w:szCs w:val="24"/>
              </w:rPr>
            </w:r>
            <w:r>
              <w:rPr>
                <w:b/>
                <w:sz w:val="24"/>
                <w:szCs w:val="24"/>
              </w:rPr>
            </w:r>
          </w:p>
        </w:tc>
      </w:tr>
      <w:tr>
        <w:tblPrEx/>
        <w:trPr>
          <w:trHeight w:val="567"/>
        </w:trPr>
        <w:tc>
          <w:tcPr>
            <w:tcW w:w="1667" w:type="pct"/>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c>
          <w:tcPr>
            <w:tcW w:w="1667" w:type="pct"/>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c>
          <w:tcPr>
            <w:tcW w:w="1666" w:type="pct"/>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r>
      <w:tr>
        <w:tblPrEx/>
        <w:trPr/>
        <w:tc>
          <w:tcPr>
            <w:tcW w:w="1667" w:type="pct"/>
            <w:textDirection w:val="lrTb"/>
            <w:noWrap w:val="false"/>
          </w:tcPr>
          <w:p>
            <w:pPr>
              <w:jc w:val="both"/>
              <w:rPr>
                <w:b/>
                <w:sz w:val="24"/>
                <w:szCs w:val="24"/>
              </w:rPr>
            </w:pPr>
            <w:r>
              <w:rPr>
                <w:sz w:val="24"/>
                <w:szCs w:val="24"/>
              </w:rPr>
              <w:t xml:space="preserve">МП      /Кузнецов А.В../</w:t>
            </w:r>
            <w:r>
              <w:rPr>
                <w:b/>
                <w:sz w:val="24"/>
                <w:szCs w:val="24"/>
              </w:rPr>
            </w:r>
            <w:r>
              <w:rPr>
                <w:b/>
                <w:sz w:val="24"/>
                <w:szCs w:val="24"/>
              </w:rPr>
            </w:r>
          </w:p>
        </w:tc>
        <w:tc>
          <w:tcPr>
            <w:tcW w:w="1667" w:type="pct"/>
            <w:textDirection w:val="lrTb"/>
            <w:noWrap w:val="false"/>
          </w:tcPr>
          <w:p>
            <w:pPr>
              <w:jc w:val="both"/>
              <w:rPr>
                <w:b/>
                <w:sz w:val="24"/>
                <w:szCs w:val="24"/>
              </w:rPr>
            </w:pPr>
            <w:r>
              <w:rPr>
                <w:sz w:val="24"/>
                <w:szCs w:val="24"/>
              </w:rPr>
              <w:t xml:space="preserve">МП       /Аршакян А.Р./</w:t>
            </w:r>
            <w:r>
              <w:rPr>
                <w:b/>
                <w:sz w:val="24"/>
                <w:szCs w:val="24"/>
              </w:rPr>
            </w:r>
            <w:r>
              <w:rPr>
                <w:b/>
                <w:sz w:val="24"/>
                <w:szCs w:val="24"/>
              </w:rPr>
            </w:r>
          </w:p>
        </w:tc>
        <w:tc>
          <w:tcPr>
            <w:tcW w:w="1666" w:type="pct"/>
            <w:textDirection w:val="lrTb"/>
            <w:noWrap w:val="false"/>
          </w:tcPr>
          <w:p>
            <w:pPr>
              <w:jc w:val="both"/>
              <w:rPr>
                <w:b/>
                <w:sz w:val="24"/>
                <w:szCs w:val="24"/>
              </w:rPr>
            </w:pPr>
            <w:r>
              <w:rPr>
                <w:sz w:val="24"/>
                <w:szCs w:val="24"/>
              </w:rPr>
              <w:t xml:space="preserve">МП         /Чибис А.В./</w:t>
            </w:r>
            <w:r>
              <w:rPr>
                <w:b/>
                <w:sz w:val="24"/>
                <w:szCs w:val="24"/>
              </w:rPr>
            </w:r>
            <w:r>
              <w:rPr>
                <w:b/>
                <w:sz w:val="24"/>
                <w:szCs w:val="24"/>
              </w:rPr>
            </w:r>
          </w:p>
        </w:tc>
      </w:tr>
      <w:tr>
        <w:tblPrEx/>
        <w:trPr/>
        <w:tc>
          <w:tcPr>
            <w:tcW w:w="1667" w:type="pct"/>
            <w:textDirection w:val="lrTb"/>
            <w:noWrap w:val="false"/>
          </w:tcPr>
          <w:p>
            <w:pPr>
              <w:jc w:val="both"/>
              <w:rPr>
                <w:b/>
                <w:sz w:val="24"/>
                <w:szCs w:val="24"/>
              </w:rPr>
            </w:pPr>
            <w:r>
              <w:rPr>
                <w:sz w:val="24"/>
                <w:szCs w:val="24"/>
              </w:rPr>
              <w:t xml:space="preserve">«___»____________ 20__ г.</w:t>
            </w:r>
            <w:r>
              <w:rPr>
                <w:b/>
                <w:sz w:val="24"/>
                <w:szCs w:val="24"/>
              </w:rPr>
            </w:r>
            <w:r>
              <w:rPr>
                <w:b/>
                <w:sz w:val="24"/>
                <w:szCs w:val="24"/>
              </w:rPr>
            </w:r>
          </w:p>
        </w:tc>
        <w:tc>
          <w:tcPr>
            <w:tcW w:w="1667" w:type="pct"/>
            <w:textDirection w:val="lrTb"/>
            <w:noWrap w:val="false"/>
          </w:tcPr>
          <w:p>
            <w:pPr>
              <w:jc w:val="both"/>
              <w:rPr>
                <w:sz w:val="24"/>
                <w:szCs w:val="24"/>
              </w:rPr>
            </w:pPr>
            <w:r>
              <w:rPr>
                <w:sz w:val="24"/>
                <w:szCs w:val="24"/>
              </w:rPr>
              <w:t xml:space="preserve">«___»____________ 20__ г.</w:t>
            </w:r>
            <w:r>
              <w:rPr>
                <w:sz w:val="24"/>
                <w:szCs w:val="24"/>
              </w:rPr>
            </w:r>
            <w:r>
              <w:rPr>
                <w:sz w:val="24"/>
                <w:szCs w:val="24"/>
              </w:rPr>
            </w:r>
          </w:p>
        </w:tc>
        <w:tc>
          <w:tcPr>
            <w:tcW w:w="1666" w:type="pct"/>
            <w:textDirection w:val="lrTb"/>
            <w:noWrap w:val="false"/>
          </w:tcPr>
          <w:p>
            <w:pPr>
              <w:jc w:val="both"/>
              <w:rPr>
                <w:b/>
                <w:sz w:val="24"/>
                <w:szCs w:val="24"/>
              </w:rPr>
            </w:pPr>
            <w:r>
              <w:rPr>
                <w:sz w:val="24"/>
                <w:szCs w:val="24"/>
              </w:rPr>
              <w:t xml:space="preserve">«___»____________ 20__ г.</w:t>
            </w:r>
            <w:r>
              <w:rPr>
                <w:b/>
                <w:sz w:val="24"/>
                <w:szCs w:val="24"/>
              </w:rPr>
            </w:r>
            <w:r>
              <w:rPr>
                <w:b/>
                <w:sz w:val="24"/>
                <w:szCs w:val="24"/>
              </w:rPr>
            </w:r>
          </w:p>
        </w:tc>
      </w:tr>
    </w:tbl>
    <w:p>
      <w:pPr>
        <w:ind w:firstLine="680"/>
        <w:jc w:val="both"/>
        <w:rPr>
          <w:sz w:val="24"/>
          <w:szCs w:val="24"/>
        </w:rPr>
      </w:pPr>
      <w:r>
        <w:rPr>
          <w:sz w:val="24"/>
          <w:szCs w:val="24"/>
        </w:rPr>
      </w:r>
      <w:r>
        <w:rPr>
          <w:sz w:val="24"/>
          <w:szCs w:val="24"/>
        </w:rPr>
      </w:r>
      <w:r>
        <w:rPr>
          <w:sz w:val="24"/>
          <w:szCs w:val="24"/>
        </w:rPr>
      </w:r>
    </w:p>
    <w:p>
      <w:pPr>
        <w:ind w:firstLine="680"/>
        <w:jc w:val="both"/>
        <w:rPr>
          <w:sz w:val="24"/>
          <w:szCs w:val="24"/>
        </w:rPr>
      </w:pPr>
      <w:r>
        <w:rPr>
          <w:sz w:val="24"/>
          <w:szCs w:val="24"/>
        </w:rPr>
      </w:r>
      <w:r>
        <w:rPr>
          <w:sz w:val="24"/>
          <w:szCs w:val="24"/>
        </w:rPr>
      </w:r>
      <w:r>
        <w:rPr>
          <w:sz w:val="24"/>
          <w:szCs w:val="24"/>
        </w:rPr>
      </w:r>
    </w:p>
    <w:p>
      <w:pPr>
        <w:shd w:val="nil" w:color="auto"/>
        <w:rPr>
          <w:sz w:val="24"/>
          <w:szCs w:val="24"/>
        </w:rPr>
      </w:pPr>
      <w:r>
        <w:rPr>
          <w:sz w:val="24"/>
          <w:szCs w:val="24"/>
        </w:rPr>
        <w:br w:type="page" w:clear="all"/>
      </w:r>
      <w:r>
        <w:rPr>
          <w:sz w:val="24"/>
          <w:szCs w:val="24"/>
        </w:rPr>
      </w:r>
      <w:r>
        <w:rPr>
          <w:sz w:val="24"/>
          <w:szCs w:val="24"/>
        </w:rPr>
      </w:r>
    </w:p>
    <w:p>
      <w:pPr>
        <w:ind w:left="5528" w:right="0" w:firstLine="0"/>
        <w:jc w:val="both"/>
        <w:rPr>
          <w:sz w:val="24"/>
          <w:szCs w:val="24"/>
        </w:rPr>
      </w:pPr>
      <w:r>
        <w:rPr>
          <w:sz w:val="24"/>
          <w:szCs w:val="24"/>
        </w:rPr>
        <w:t xml:space="preserve">Приложение № 10</w:t>
      </w:r>
      <w:r>
        <w:rPr>
          <w:sz w:val="24"/>
          <w:szCs w:val="24"/>
        </w:rPr>
      </w:r>
      <w:r>
        <w:rPr>
          <w:sz w:val="24"/>
          <w:szCs w:val="24"/>
        </w:rPr>
      </w:r>
    </w:p>
    <w:p>
      <w:pPr>
        <w:ind w:left="5528" w:right="0" w:firstLine="0"/>
        <w:jc w:val="both"/>
        <w:rPr>
          <w:sz w:val="24"/>
          <w:szCs w:val="24"/>
        </w:rPr>
      </w:pPr>
      <w:r>
        <w:rPr>
          <w:sz w:val="24"/>
          <w:szCs w:val="24"/>
        </w:rPr>
        <w:t xml:space="preserve">к Концессионному соглашению</w:t>
      </w:r>
      <w:r>
        <w:rPr>
          <w:sz w:val="24"/>
          <w:szCs w:val="24"/>
        </w:rPr>
      </w:r>
      <w:r>
        <w:rPr>
          <w:sz w:val="24"/>
          <w:szCs w:val="24"/>
        </w:rPr>
      </w:r>
    </w:p>
    <w:p>
      <w:pPr>
        <w:ind w:left="5528" w:right="0" w:firstLine="0"/>
        <w:jc w:val="both"/>
        <w:rPr>
          <w:sz w:val="24"/>
          <w:szCs w:val="24"/>
        </w:rPr>
      </w:pPr>
      <w:r>
        <w:rPr>
          <w:sz w:val="24"/>
          <w:szCs w:val="24"/>
        </w:rPr>
        <w:t xml:space="preserve">от «__»______ 2024 года №______</w:t>
      </w:r>
      <w:r>
        <w:rPr>
          <w:sz w:val="24"/>
          <w:szCs w:val="24"/>
        </w:rPr>
      </w:r>
      <w:r>
        <w:rPr>
          <w:sz w:val="24"/>
          <w:szCs w:val="24"/>
        </w:rPr>
      </w:r>
    </w:p>
    <w:p>
      <w:pPr>
        <w:ind w:firstLine="680"/>
        <w:jc w:val="both"/>
        <w:rPr>
          <w:sz w:val="24"/>
          <w:szCs w:val="24"/>
        </w:rPr>
      </w:pPr>
      <w:r>
        <w:rPr>
          <w:sz w:val="24"/>
          <w:szCs w:val="24"/>
        </w:rPr>
      </w:r>
      <w:r>
        <w:rPr>
          <w:sz w:val="24"/>
          <w:szCs w:val="24"/>
        </w:rPr>
      </w:r>
      <w:r>
        <w:rPr>
          <w:sz w:val="24"/>
          <w:szCs w:val="24"/>
        </w:rPr>
      </w:r>
    </w:p>
    <w:p>
      <w:pPr>
        <w:ind w:firstLine="680"/>
        <w:jc w:val="both"/>
        <w:rPr>
          <w:b/>
          <w:sz w:val="24"/>
          <w:szCs w:val="24"/>
        </w:rPr>
      </w:pPr>
      <w:r>
        <w:rPr>
          <w:b/>
          <w:sz w:val="24"/>
          <w:szCs w:val="24"/>
        </w:rPr>
      </w:r>
      <w:r>
        <w:rPr>
          <w:b/>
          <w:sz w:val="24"/>
          <w:szCs w:val="24"/>
        </w:rPr>
      </w:r>
      <w:r>
        <w:rPr>
          <w:b/>
          <w:sz w:val="24"/>
          <w:szCs w:val="24"/>
        </w:rPr>
      </w:r>
    </w:p>
    <w:p>
      <w:pPr>
        <w:ind w:firstLine="680"/>
        <w:jc w:val="center"/>
        <w:rPr>
          <w:b/>
          <w:sz w:val="24"/>
          <w:szCs w:val="24"/>
        </w:rPr>
      </w:pPr>
      <w:r>
        <w:rPr>
          <w:b/>
          <w:sz w:val="24"/>
          <w:szCs w:val="24"/>
        </w:rPr>
        <w:t xml:space="preserve">Форма акта о реализации концессионного соглашения</w:t>
      </w:r>
      <w:r>
        <w:rPr>
          <w:b/>
          <w:sz w:val="24"/>
          <w:szCs w:val="24"/>
        </w:rPr>
      </w:r>
      <w:r>
        <w:rPr>
          <w:b/>
          <w:sz w:val="24"/>
          <w:szCs w:val="24"/>
        </w:rPr>
      </w:r>
    </w:p>
    <w:p>
      <w:pPr>
        <w:ind w:firstLine="680"/>
        <w:jc w:val="both"/>
        <w:rPr>
          <w:sz w:val="24"/>
          <w:szCs w:val="24"/>
        </w:rPr>
      </w:pPr>
      <w:r>
        <w:rPr>
          <w:sz w:val="24"/>
          <w:szCs w:val="24"/>
        </w:rPr>
      </w:r>
      <w:r>
        <w:rPr>
          <w:sz w:val="24"/>
          <w:szCs w:val="24"/>
        </w:rPr>
      </w:r>
      <w:r>
        <w:rPr>
          <w:sz w:val="24"/>
          <w:szCs w:val="24"/>
        </w:rPr>
      </w:r>
    </w:p>
    <w:p>
      <w:pPr>
        <w:ind w:firstLine="680"/>
        <w:jc w:val="both"/>
        <w:rPr>
          <w:sz w:val="24"/>
          <w:szCs w:val="24"/>
        </w:rPr>
      </w:pPr>
      <w:r>
        <w:rPr>
          <w:b/>
          <w:sz w:val="24"/>
          <w:szCs w:val="24"/>
        </w:rPr>
        <w:t xml:space="preserve">Муниципальное образование Печенгский муниципальный округ  Мурманской области</w:t>
      </w:r>
      <w:r>
        <w:rPr>
          <w:sz w:val="24"/>
          <w:szCs w:val="24"/>
        </w:rPr>
        <w:t xml:space="preserve">, именуемое в дальнейшем </w:t>
      </w:r>
      <w:r>
        <w:rPr>
          <w:b/>
          <w:sz w:val="24"/>
          <w:szCs w:val="24"/>
        </w:rPr>
        <w:t xml:space="preserve">«Концедент»</w:t>
      </w:r>
      <w:r>
        <w:rPr>
          <w:sz w:val="24"/>
          <w:szCs w:val="24"/>
        </w:rPr>
        <w:t xml:space="preserve">, от имени которого выступает </w:t>
      </w:r>
      <w:r>
        <w:rPr>
          <w:b/>
          <w:sz w:val="24"/>
          <w:szCs w:val="24"/>
        </w:rPr>
        <w:t xml:space="preserve">Глава Печенгского муниципального округа Мурманской области Кузнецов Андрей Валентинович</w:t>
      </w:r>
      <w:r>
        <w:rPr>
          <w:sz w:val="24"/>
          <w:szCs w:val="24"/>
        </w:rPr>
        <w:t xml:space="preserve">, действующей на основании  Устава с одной стороны, </w:t>
      </w:r>
      <w:r>
        <w:rPr>
          <w:sz w:val="24"/>
          <w:szCs w:val="24"/>
        </w:rPr>
      </w:r>
      <w:r>
        <w:rPr>
          <w:sz w:val="24"/>
          <w:szCs w:val="24"/>
        </w:rPr>
      </w:r>
    </w:p>
    <w:p>
      <w:pPr>
        <w:ind w:firstLine="680"/>
        <w:jc w:val="both"/>
        <w:rPr>
          <w:sz w:val="24"/>
          <w:szCs w:val="24"/>
        </w:rPr>
      </w:pPr>
      <w:r>
        <w:rPr>
          <w:sz w:val="24"/>
          <w:szCs w:val="24"/>
        </w:rPr>
        <w:tab/>
      </w:r>
      <w:r>
        <w:rPr>
          <w:b/>
          <w:sz w:val="24"/>
          <w:szCs w:val="24"/>
        </w:rPr>
        <w:t xml:space="preserve">Общество с ограниченной ответственностью «ПромВоенСтрой</w:t>
      </w:r>
      <w:r>
        <w:rPr>
          <w:sz w:val="24"/>
          <w:szCs w:val="24"/>
        </w:rPr>
        <w:t xml:space="preserve">», именуемое в дальнейшем </w:t>
      </w:r>
      <w:r>
        <w:rPr>
          <w:b/>
          <w:sz w:val="24"/>
          <w:szCs w:val="24"/>
        </w:rPr>
        <w:t xml:space="preserve">«Концессионер»</w:t>
      </w:r>
      <w:r>
        <w:rPr>
          <w:sz w:val="24"/>
          <w:szCs w:val="24"/>
        </w:rPr>
        <w:t xml:space="preserve">, в лице Генерального директора </w:t>
      </w:r>
      <w:r>
        <w:rPr>
          <w:b/>
          <w:sz w:val="24"/>
          <w:szCs w:val="24"/>
        </w:rPr>
        <w:t xml:space="preserve">Аршакяна Армена Рубеновича</w:t>
      </w:r>
      <w:r>
        <w:rPr>
          <w:sz w:val="24"/>
          <w:szCs w:val="24"/>
        </w:rPr>
        <w:t xml:space="preserve">, действующего на основании Устава, с другой стороны, составили настоящий Акт приемки выполненных работ о нижеследующем:</w:t>
      </w:r>
      <w:r>
        <w:rPr>
          <w:sz w:val="24"/>
          <w:szCs w:val="24"/>
        </w:rPr>
      </w:r>
      <w:r>
        <w:rPr>
          <w:sz w:val="24"/>
          <w:szCs w:val="24"/>
        </w:rPr>
      </w:r>
    </w:p>
    <w:p>
      <w:pPr>
        <w:pStyle w:val="943"/>
        <w:numPr>
          <w:ilvl w:val="0"/>
          <w:numId w:val="16"/>
        </w:numPr>
        <w:contextualSpacing w:val="0"/>
        <w:ind w:left="0" w:firstLine="680"/>
        <w:jc w:val="both"/>
        <w:widowControl w:val="off"/>
        <w:rPr>
          <w:sz w:val="24"/>
          <w:szCs w:val="24"/>
          <w:lang w:val="ru-RU"/>
        </w:rPr>
      </w:pPr>
      <w:r>
        <w:rPr>
          <w:sz w:val="24"/>
          <w:szCs w:val="24"/>
          <w:lang w:val="ru-RU"/>
        </w:rPr>
        <w:t xml:space="preserve">В соответствии с Концессионным соглашением в отношении объекта соглашения Концессионер выполнил, а Концедент принял следующие виды работ по реконструкции объекта соглашения:</w:t>
      </w:r>
      <w:r>
        <w:rPr>
          <w:sz w:val="24"/>
          <w:szCs w:val="24"/>
          <w:lang w:val="ru-RU"/>
        </w:rPr>
      </w:r>
      <w:r>
        <w:rPr>
          <w:sz w:val="24"/>
          <w:szCs w:val="24"/>
          <w:lang w:val="ru-RU"/>
        </w:rPr>
      </w:r>
    </w:p>
    <w:tbl>
      <w:tblPr>
        <w:tblStyle w:val="937"/>
        <w:tblW w:w="5000" w:type="pct"/>
        <w:tblLook w:val="04A0" w:firstRow="1" w:lastRow="0" w:firstColumn="1" w:lastColumn="0" w:noHBand="0" w:noVBand="1"/>
      </w:tblPr>
      <w:tblGrid>
        <w:gridCol w:w="646"/>
        <w:gridCol w:w="2365"/>
        <w:gridCol w:w="1749"/>
        <w:gridCol w:w="1586"/>
        <w:gridCol w:w="1638"/>
        <w:gridCol w:w="1586"/>
      </w:tblGrid>
      <w:tr>
        <w:tblPrEx/>
        <w:trPr/>
        <w:tc>
          <w:tcPr>
            <w:tcW w:w="342" w:type="pct"/>
            <w:textDirection w:val="lrTb"/>
            <w:noWrap w:val="false"/>
          </w:tcPr>
          <w:p>
            <w:pPr>
              <w:jc w:val="both"/>
              <w:rPr>
                <w:sz w:val="24"/>
                <w:szCs w:val="24"/>
              </w:rPr>
            </w:pPr>
            <w:r>
              <w:rPr>
                <w:sz w:val="24"/>
                <w:szCs w:val="24"/>
              </w:rPr>
              <w:t xml:space="preserve">№ п/п</w:t>
            </w:r>
            <w:r>
              <w:rPr>
                <w:sz w:val="24"/>
                <w:szCs w:val="24"/>
              </w:rPr>
            </w:r>
            <w:r>
              <w:rPr>
                <w:sz w:val="24"/>
                <w:szCs w:val="24"/>
              </w:rPr>
            </w:r>
          </w:p>
        </w:tc>
        <w:tc>
          <w:tcPr>
            <w:tcW w:w="1240" w:type="pct"/>
            <w:textDirection w:val="lrTb"/>
            <w:noWrap w:val="false"/>
          </w:tcPr>
          <w:p>
            <w:pPr>
              <w:jc w:val="both"/>
              <w:rPr>
                <w:sz w:val="24"/>
                <w:szCs w:val="24"/>
              </w:rPr>
            </w:pPr>
            <w:r>
              <w:rPr>
                <w:sz w:val="24"/>
                <w:szCs w:val="24"/>
              </w:rPr>
              <w:t xml:space="preserve">Наименование объекта</w:t>
            </w:r>
            <w:r>
              <w:rPr>
                <w:sz w:val="24"/>
                <w:szCs w:val="24"/>
              </w:rPr>
            </w:r>
            <w:r>
              <w:rPr>
                <w:sz w:val="24"/>
                <w:szCs w:val="24"/>
              </w:rPr>
            </w:r>
          </w:p>
        </w:tc>
        <w:tc>
          <w:tcPr>
            <w:tcW w:w="918" w:type="pct"/>
            <w:textDirection w:val="lrTb"/>
            <w:noWrap w:val="false"/>
          </w:tcPr>
          <w:p>
            <w:pPr>
              <w:jc w:val="both"/>
              <w:rPr>
                <w:sz w:val="24"/>
                <w:szCs w:val="24"/>
              </w:rPr>
            </w:pPr>
            <w:r>
              <w:rPr>
                <w:sz w:val="24"/>
                <w:szCs w:val="24"/>
              </w:rPr>
              <w:t xml:space="preserve">Наименование работ</w:t>
            </w:r>
            <w:r>
              <w:rPr>
                <w:sz w:val="24"/>
                <w:szCs w:val="24"/>
              </w:rPr>
            </w:r>
            <w:r>
              <w:rPr>
                <w:sz w:val="24"/>
                <w:szCs w:val="24"/>
              </w:rPr>
            </w:r>
          </w:p>
        </w:tc>
        <w:tc>
          <w:tcPr>
            <w:tcW w:w="833" w:type="pct"/>
            <w:textDirection w:val="lrTb"/>
            <w:noWrap w:val="false"/>
          </w:tcPr>
          <w:p>
            <w:pPr>
              <w:jc w:val="both"/>
              <w:rPr>
                <w:sz w:val="24"/>
                <w:szCs w:val="24"/>
              </w:rPr>
            </w:pPr>
            <w:r>
              <w:rPr>
                <w:sz w:val="24"/>
                <w:szCs w:val="24"/>
              </w:rPr>
              <w:t xml:space="preserve">Ед. измерения</w:t>
            </w:r>
            <w:r>
              <w:rPr>
                <w:sz w:val="24"/>
                <w:szCs w:val="24"/>
              </w:rPr>
            </w:r>
            <w:r>
              <w:rPr>
                <w:sz w:val="24"/>
                <w:szCs w:val="24"/>
              </w:rPr>
            </w:r>
          </w:p>
        </w:tc>
        <w:tc>
          <w:tcPr>
            <w:tcW w:w="833" w:type="pct"/>
            <w:textDirection w:val="lrTb"/>
            <w:noWrap w:val="false"/>
          </w:tcPr>
          <w:p>
            <w:pPr>
              <w:jc w:val="both"/>
              <w:rPr>
                <w:sz w:val="24"/>
                <w:szCs w:val="24"/>
              </w:rPr>
            </w:pPr>
            <w:r>
              <w:rPr>
                <w:sz w:val="24"/>
                <w:szCs w:val="24"/>
              </w:rPr>
              <w:t xml:space="preserve">Объем выполняемых работ</w:t>
            </w:r>
            <w:r>
              <w:rPr>
                <w:sz w:val="24"/>
                <w:szCs w:val="24"/>
              </w:rPr>
            </w:r>
            <w:r>
              <w:rPr>
                <w:sz w:val="24"/>
                <w:szCs w:val="24"/>
              </w:rPr>
            </w:r>
          </w:p>
        </w:tc>
        <w:tc>
          <w:tcPr>
            <w:tcW w:w="833" w:type="pct"/>
            <w:textDirection w:val="lrTb"/>
            <w:noWrap w:val="false"/>
          </w:tcPr>
          <w:p>
            <w:pPr>
              <w:jc w:val="both"/>
              <w:rPr>
                <w:sz w:val="24"/>
                <w:szCs w:val="24"/>
              </w:rPr>
            </w:pPr>
            <w:r>
              <w:rPr>
                <w:sz w:val="24"/>
                <w:szCs w:val="24"/>
              </w:rPr>
              <w:t xml:space="preserve">Стоимость работ (руб.)</w:t>
            </w:r>
            <w:r>
              <w:rPr>
                <w:sz w:val="24"/>
                <w:szCs w:val="24"/>
              </w:rPr>
            </w:r>
            <w:r>
              <w:rPr>
                <w:sz w:val="24"/>
                <w:szCs w:val="24"/>
              </w:rPr>
            </w:r>
          </w:p>
        </w:tc>
      </w:tr>
      <w:tr>
        <w:tblPrEx/>
        <w:trPr/>
        <w:tc>
          <w:tcPr>
            <w:tcW w:w="342" w:type="pct"/>
            <w:textDirection w:val="lrTb"/>
            <w:noWrap w:val="false"/>
          </w:tcPr>
          <w:p>
            <w:pPr>
              <w:jc w:val="both"/>
              <w:rPr>
                <w:sz w:val="24"/>
                <w:szCs w:val="24"/>
              </w:rPr>
            </w:pPr>
            <w:r>
              <w:rPr>
                <w:sz w:val="24"/>
                <w:szCs w:val="24"/>
              </w:rPr>
            </w:r>
            <w:r>
              <w:rPr>
                <w:sz w:val="24"/>
                <w:szCs w:val="24"/>
              </w:rPr>
            </w:r>
            <w:r>
              <w:rPr>
                <w:sz w:val="24"/>
                <w:szCs w:val="24"/>
              </w:rPr>
            </w:r>
          </w:p>
        </w:tc>
        <w:tc>
          <w:tcPr>
            <w:tcW w:w="1240" w:type="pct"/>
            <w:textDirection w:val="lrTb"/>
            <w:noWrap w:val="false"/>
          </w:tcPr>
          <w:p>
            <w:pPr>
              <w:jc w:val="both"/>
              <w:rPr>
                <w:sz w:val="24"/>
                <w:szCs w:val="24"/>
              </w:rPr>
            </w:pPr>
            <w:r>
              <w:rPr>
                <w:sz w:val="24"/>
                <w:szCs w:val="24"/>
              </w:rPr>
            </w:r>
            <w:r>
              <w:rPr>
                <w:sz w:val="24"/>
                <w:szCs w:val="24"/>
              </w:rPr>
            </w:r>
            <w:r>
              <w:rPr>
                <w:sz w:val="24"/>
                <w:szCs w:val="24"/>
              </w:rPr>
            </w:r>
          </w:p>
        </w:tc>
        <w:tc>
          <w:tcPr>
            <w:tcW w:w="918" w:type="pct"/>
            <w:textDirection w:val="lrTb"/>
            <w:noWrap w:val="false"/>
          </w:tcPr>
          <w:p>
            <w:pPr>
              <w:jc w:val="both"/>
              <w:rPr>
                <w:sz w:val="24"/>
                <w:szCs w:val="24"/>
              </w:rPr>
            </w:pPr>
            <w:r>
              <w:rPr>
                <w:sz w:val="24"/>
                <w:szCs w:val="24"/>
              </w:rPr>
            </w:r>
            <w:r>
              <w:rPr>
                <w:sz w:val="24"/>
                <w:szCs w:val="24"/>
              </w:rPr>
            </w:r>
            <w:r>
              <w:rPr>
                <w:sz w:val="24"/>
                <w:szCs w:val="24"/>
              </w:rPr>
            </w:r>
          </w:p>
        </w:tc>
        <w:tc>
          <w:tcPr>
            <w:tcW w:w="833" w:type="pct"/>
            <w:textDirection w:val="lrTb"/>
            <w:noWrap w:val="false"/>
          </w:tcPr>
          <w:p>
            <w:pPr>
              <w:jc w:val="both"/>
              <w:rPr>
                <w:sz w:val="24"/>
                <w:szCs w:val="24"/>
              </w:rPr>
            </w:pPr>
            <w:r>
              <w:rPr>
                <w:sz w:val="24"/>
                <w:szCs w:val="24"/>
              </w:rPr>
            </w:r>
            <w:r>
              <w:rPr>
                <w:sz w:val="24"/>
                <w:szCs w:val="24"/>
              </w:rPr>
            </w:r>
            <w:r>
              <w:rPr>
                <w:sz w:val="24"/>
                <w:szCs w:val="24"/>
              </w:rPr>
            </w:r>
          </w:p>
        </w:tc>
        <w:tc>
          <w:tcPr>
            <w:tcW w:w="833" w:type="pct"/>
            <w:textDirection w:val="lrTb"/>
            <w:noWrap w:val="false"/>
          </w:tcPr>
          <w:p>
            <w:pPr>
              <w:jc w:val="both"/>
              <w:rPr>
                <w:sz w:val="24"/>
                <w:szCs w:val="24"/>
              </w:rPr>
            </w:pPr>
            <w:r>
              <w:rPr>
                <w:sz w:val="24"/>
                <w:szCs w:val="24"/>
              </w:rPr>
            </w:r>
            <w:r>
              <w:rPr>
                <w:sz w:val="24"/>
                <w:szCs w:val="24"/>
              </w:rPr>
            </w:r>
            <w:r>
              <w:rPr>
                <w:sz w:val="24"/>
                <w:szCs w:val="24"/>
              </w:rPr>
            </w:r>
          </w:p>
        </w:tc>
        <w:tc>
          <w:tcPr>
            <w:tcW w:w="833" w:type="pct"/>
            <w:textDirection w:val="lrTb"/>
            <w:noWrap w:val="false"/>
          </w:tcPr>
          <w:p>
            <w:pPr>
              <w:jc w:val="both"/>
              <w:rPr>
                <w:sz w:val="24"/>
                <w:szCs w:val="24"/>
              </w:rPr>
            </w:pPr>
            <w:r>
              <w:rPr>
                <w:sz w:val="24"/>
                <w:szCs w:val="24"/>
              </w:rPr>
            </w:r>
            <w:r>
              <w:rPr>
                <w:sz w:val="24"/>
                <w:szCs w:val="24"/>
              </w:rPr>
            </w:r>
            <w:r>
              <w:rPr>
                <w:sz w:val="24"/>
                <w:szCs w:val="24"/>
              </w:rPr>
            </w:r>
          </w:p>
        </w:tc>
      </w:tr>
      <w:tr>
        <w:tblPrEx/>
        <w:trPr/>
        <w:tc>
          <w:tcPr>
            <w:tcW w:w="342" w:type="pct"/>
            <w:textDirection w:val="lrTb"/>
            <w:noWrap w:val="false"/>
          </w:tcPr>
          <w:p>
            <w:pPr>
              <w:jc w:val="both"/>
              <w:rPr>
                <w:sz w:val="24"/>
                <w:szCs w:val="24"/>
              </w:rPr>
            </w:pPr>
            <w:r>
              <w:rPr>
                <w:sz w:val="24"/>
                <w:szCs w:val="24"/>
              </w:rPr>
            </w:r>
            <w:r>
              <w:rPr>
                <w:sz w:val="24"/>
                <w:szCs w:val="24"/>
              </w:rPr>
            </w:r>
            <w:r>
              <w:rPr>
                <w:sz w:val="24"/>
                <w:szCs w:val="24"/>
              </w:rPr>
            </w:r>
          </w:p>
        </w:tc>
        <w:tc>
          <w:tcPr>
            <w:tcW w:w="1240" w:type="pct"/>
            <w:textDirection w:val="lrTb"/>
            <w:noWrap w:val="false"/>
          </w:tcPr>
          <w:p>
            <w:pPr>
              <w:jc w:val="both"/>
              <w:rPr>
                <w:sz w:val="24"/>
                <w:szCs w:val="24"/>
              </w:rPr>
            </w:pPr>
            <w:r>
              <w:rPr>
                <w:sz w:val="24"/>
                <w:szCs w:val="24"/>
              </w:rPr>
            </w:r>
            <w:r>
              <w:rPr>
                <w:sz w:val="24"/>
                <w:szCs w:val="24"/>
              </w:rPr>
            </w:r>
            <w:r>
              <w:rPr>
                <w:sz w:val="24"/>
                <w:szCs w:val="24"/>
              </w:rPr>
            </w:r>
          </w:p>
        </w:tc>
        <w:tc>
          <w:tcPr>
            <w:tcW w:w="918" w:type="pct"/>
            <w:textDirection w:val="lrTb"/>
            <w:noWrap w:val="false"/>
          </w:tcPr>
          <w:p>
            <w:pPr>
              <w:jc w:val="both"/>
              <w:rPr>
                <w:sz w:val="24"/>
                <w:szCs w:val="24"/>
              </w:rPr>
            </w:pPr>
            <w:r>
              <w:rPr>
                <w:sz w:val="24"/>
                <w:szCs w:val="24"/>
              </w:rPr>
            </w:r>
            <w:r>
              <w:rPr>
                <w:sz w:val="24"/>
                <w:szCs w:val="24"/>
              </w:rPr>
            </w:r>
            <w:r>
              <w:rPr>
                <w:sz w:val="24"/>
                <w:szCs w:val="24"/>
              </w:rPr>
            </w:r>
          </w:p>
        </w:tc>
        <w:tc>
          <w:tcPr>
            <w:tcW w:w="833" w:type="pct"/>
            <w:textDirection w:val="lrTb"/>
            <w:noWrap w:val="false"/>
          </w:tcPr>
          <w:p>
            <w:pPr>
              <w:jc w:val="both"/>
              <w:rPr>
                <w:sz w:val="24"/>
                <w:szCs w:val="24"/>
              </w:rPr>
            </w:pPr>
            <w:r>
              <w:rPr>
                <w:sz w:val="24"/>
                <w:szCs w:val="24"/>
              </w:rPr>
            </w:r>
            <w:r>
              <w:rPr>
                <w:sz w:val="24"/>
                <w:szCs w:val="24"/>
              </w:rPr>
            </w:r>
            <w:r>
              <w:rPr>
                <w:sz w:val="24"/>
                <w:szCs w:val="24"/>
              </w:rPr>
            </w:r>
          </w:p>
        </w:tc>
        <w:tc>
          <w:tcPr>
            <w:tcW w:w="833" w:type="pct"/>
            <w:textDirection w:val="lrTb"/>
            <w:noWrap w:val="false"/>
          </w:tcPr>
          <w:p>
            <w:pPr>
              <w:jc w:val="both"/>
              <w:rPr>
                <w:sz w:val="24"/>
                <w:szCs w:val="24"/>
              </w:rPr>
            </w:pPr>
            <w:r>
              <w:rPr>
                <w:sz w:val="24"/>
                <w:szCs w:val="24"/>
              </w:rPr>
            </w:r>
            <w:r>
              <w:rPr>
                <w:sz w:val="24"/>
                <w:szCs w:val="24"/>
              </w:rPr>
            </w:r>
            <w:r>
              <w:rPr>
                <w:sz w:val="24"/>
                <w:szCs w:val="24"/>
              </w:rPr>
            </w:r>
          </w:p>
        </w:tc>
        <w:tc>
          <w:tcPr>
            <w:tcW w:w="833" w:type="pct"/>
            <w:textDirection w:val="lrTb"/>
            <w:noWrap w:val="false"/>
          </w:tcPr>
          <w:p>
            <w:pPr>
              <w:jc w:val="both"/>
              <w:rPr>
                <w:sz w:val="24"/>
                <w:szCs w:val="24"/>
              </w:rPr>
            </w:pPr>
            <w:r>
              <w:rPr>
                <w:sz w:val="24"/>
                <w:szCs w:val="24"/>
              </w:rPr>
            </w:r>
            <w:r>
              <w:rPr>
                <w:sz w:val="24"/>
                <w:szCs w:val="24"/>
              </w:rPr>
            </w:r>
            <w:r>
              <w:rPr>
                <w:sz w:val="24"/>
                <w:szCs w:val="24"/>
              </w:rPr>
            </w:r>
          </w:p>
        </w:tc>
      </w:tr>
      <w:tr>
        <w:tblPrEx/>
        <w:trPr/>
        <w:tc>
          <w:tcPr>
            <w:tcW w:w="342" w:type="pct"/>
            <w:textDirection w:val="lrTb"/>
            <w:noWrap w:val="false"/>
          </w:tcPr>
          <w:p>
            <w:pPr>
              <w:jc w:val="both"/>
              <w:rPr>
                <w:sz w:val="24"/>
                <w:szCs w:val="24"/>
              </w:rPr>
            </w:pPr>
            <w:r>
              <w:rPr>
                <w:sz w:val="24"/>
                <w:szCs w:val="24"/>
              </w:rPr>
            </w:r>
            <w:r>
              <w:rPr>
                <w:sz w:val="24"/>
                <w:szCs w:val="24"/>
              </w:rPr>
            </w:r>
            <w:r>
              <w:rPr>
                <w:sz w:val="24"/>
                <w:szCs w:val="24"/>
              </w:rPr>
            </w:r>
          </w:p>
        </w:tc>
        <w:tc>
          <w:tcPr>
            <w:tcW w:w="1240" w:type="pct"/>
            <w:textDirection w:val="lrTb"/>
            <w:noWrap w:val="false"/>
          </w:tcPr>
          <w:p>
            <w:pPr>
              <w:jc w:val="both"/>
              <w:rPr>
                <w:sz w:val="24"/>
                <w:szCs w:val="24"/>
              </w:rPr>
            </w:pPr>
            <w:r>
              <w:rPr>
                <w:sz w:val="24"/>
                <w:szCs w:val="24"/>
              </w:rPr>
            </w:r>
            <w:r>
              <w:rPr>
                <w:sz w:val="24"/>
                <w:szCs w:val="24"/>
              </w:rPr>
            </w:r>
            <w:r>
              <w:rPr>
                <w:sz w:val="24"/>
                <w:szCs w:val="24"/>
              </w:rPr>
            </w:r>
          </w:p>
        </w:tc>
        <w:tc>
          <w:tcPr>
            <w:tcW w:w="918" w:type="pct"/>
            <w:textDirection w:val="lrTb"/>
            <w:noWrap w:val="false"/>
          </w:tcPr>
          <w:p>
            <w:pPr>
              <w:jc w:val="both"/>
              <w:rPr>
                <w:sz w:val="24"/>
                <w:szCs w:val="24"/>
              </w:rPr>
            </w:pPr>
            <w:r>
              <w:rPr>
                <w:sz w:val="24"/>
                <w:szCs w:val="24"/>
              </w:rPr>
            </w:r>
            <w:r>
              <w:rPr>
                <w:sz w:val="24"/>
                <w:szCs w:val="24"/>
              </w:rPr>
            </w:r>
            <w:r>
              <w:rPr>
                <w:sz w:val="24"/>
                <w:szCs w:val="24"/>
              </w:rPr>
            </w:r>
          </w:p>
        </w:tc>
        <w:tc>
          <w:tcPr>
            <w:tcW w:w="833" w:type="pct"/>
            <w:textDirection w:val="lrTb"/>
            <w:noWrap w:val="false"/>
          </w:tcPr>
          <w:p>
            <w:pPr>
              <w:jc w:val="both"/>
              <w:rPr>
                <w:sz w:val="24"/>
                <w:szCs w:val="24"/>
              </w:rPr>
            </w:pPr>
            <w:r>
              <w:rPr>
                <w:sz w:val="24"/>
                <w:szCs w:val="24"/>
              </w:rPr>
            </w:r>
            <w:r>
              <w:rPr>
                <w:sz w:val="24"/>
                <w:szCs w:val="24"/>
              </w:rPr>
            </w:r>
            <w:r>
              <w:rPr>
                <w:sz w:val="24"/>
                <w:szCs w:val="24"/>
              </w:rPr>
            </w:r>
          </w:p>
        </w:tc>
        <w:tc>
          <w:tcPr>
            <w:tcW w:w="833" w:type="pct"/>
            <w:textDirection w:val="lrTb"/>
            <w:noWrap w:val="false"/>
          </w:tcPr>
          <w:p>
            <w:pPr>
              <w:jc w:val="both"/>
              <w:rPr>
                <w:sz w:val="24"/>
                <w:szCs w:val="24"/>
              </w:rPr>
            </w:pPr>
            <w:r>
              <w:rPr>
                <w:sz w:val="24"/>
                <w:szCs w:val="24"/>
              </w:rPr>
              <w:t xml:space="preserve">Итого:</w:t>
            </w:r>
            <w:r>
              <w:rPr>
                <w:sz w:val="24"/>
                <w:szCs w:val="24"/>
              </w:rPr>
            </w:r>
            <w:r>
              <w:rPr>
                <w:sz w:val="24"/>
                <w:szCs w:val="24"/>
              </w:rPr>
            </w:r>
          </w:p>
        </w:tc>
        <w:tc>
          <w:tcPr>
            <w:tcW w:w="833" w:type="pct"/>
            <w:textDirection w:val="lrTb"/>
            <w:noWrap w:val="false"/>
          </w:tcPr>
          <w:p>
            <w:pPr>
              <w:jc w:val="both"/>
              <w:rPr>
                <w:sz w:val="24"/>
                <w:szCs w:val="24"/>
              </w:rPr>
            </w:pPr>
            <w:r>
              <w:rPr>
                <w:sz w:val="24"/>
                <w:szCs w:val="24"/>
              </w:rPr>
            </w:r>
            <w:r>
              <w:rPr>
                <w:sz w:val="24"/>
                <w:szCs w:val="24"/>
              </w:rPr>
            </w:r>
            <w:r>
              <w:rPr>
                <w:sz w:val="24"/>
                <w:szCs w:val="24"/>
              </w:rPr>
            </w:r>
          </w:p>
        </w:tc>
      </w:tr>
    </w:tbl>
    <w:p>
      <w:pPr>
        <w:ind w:firstLine="680"/>
        <w:jc w:val="both"/>
        <w:rPr>
          <w:sz w:val="24"/>
          <w:szCs w:val="24"/>
        </w:rPr>
      </w:pPr>
      <w:r>
        <w:rPr>
          <w:sz w:val="24"/>
          <w:szCs w:val="24"/>
        </w:rPr>
      </w:r>
      <w:r>
        <w:rPr>
          <w:sz w:val="24"/>
          <w:szCs w:val="24"/>
        </w:rPr>
      </w:r>
      <w:r>
        <w:rPr>
          <w:sz w:val="24"/>
          <w:szCs w:val="24"/>
        </w:rPr>
      </w:r>
    </w:p>
    <w:p>
      <w:pPr>
        <w:pStyle w:val="943"/>
        <w:numPr>
          <w:ilvl w:val="0"/>
          <w:numId w:val="16"/>
        </w:numPr>
        <w:contextualSpacing w:val="0"/>
        <w:ind w:left="0" w:firstLine="680"/>
        <w:jc w:val="both"/>
        <w:widowControl w:val="off"/>
        <w:rPr>
          <w:sz w:val="24"/>
          <w:szCs w:val="24"/>
          <w:lang w:val="ru-RU"/>
        </w:rPr>
      </w:pPr>
      <w:r>
        <w:rPr>
          <w:sz w:val="24"/>
          <w:szCs w:val="24"/>
          <w:lang w:val="ru-RU"/>
        </w:rPr>
        <w:t xml:space="preserve">Работы выполнены в полном объеме и в установленный срок. Концедент к объему, качеству и срокам выполнения работ претензия не имеет.</w:t>
      </w:r>
      <w:r>
        <w:rPr>
          <w:sz w:val="24"/>
          <w:szCs w:val="24"/>
          <w:lang w:val="ru-RU"/>
        </w:rPr>
      </w:r>
      <w:r>
        <w:rPr>
          <w:sz w:val="24"/>
          <w:szCs w:val="24"/>
          <w:lang w:val="ru-RU"/>
        </w:rPr>
      </w:r>
    </w:p>
    <w:p>
      <w:pPr>
        <w:pStyle w:val="943"/>
        <w:numPr>
          <w:ilvl w:val="0"/>
          <w:numId w:val="16"/>
        </w:numPr>
        <w:contextualSpacing w:val="0"/>
        <w:ind w:left="0" w:firstLine="680"/>
        <w:jc w:val="both"/>
        <w:widowControl w:val="off"/>
        <w:rPr>
          <w:sz w:val="24"/>
          <w:szCs w:val="24"/>
          <w:lang w:val="ru-RU"/>
        </w:rPr>
      </w:pPr>
      <w:r>
        <w:rPr>
          <w:sz w:val="24"/>
          <w:szCs w:val="24"/>
          <w:lang w:val="ru-RU"/>
        </w:rPr>
        <w:t xml:space="preserve">Настоящий Акт составлен в трех экземплярах, по одному для Концессионера, Концедента, Субъекта.</w:t>
      </w:r>
      <w:r>
        <w:rPr>
          <w:sz w:val="24"/>
          <w:szCs w:val="24"/>
          <w:lang w:val="ru-RU"/>
        </w:rPr>
      </w:r>
      <w:r>
        <w:rPr>
          <w:sz w:val="24"/>
          <w:szCs w:val="24"/>
          <w:lang w:val="ru-RU"/>
        </w:rPr>
      </w:r>
    </w:p>
    <w:p>
      <w:pPr>
        <w:ind w:firstLine="680"/>
        <w:jc w:val="both"/>
        <w:rPr>
          <w:sz w:val="24"/>
          <w:szCs w:val="24"/>
        </w:rPr>
      </w:pPr>
      <w:r>
        <w:rPr>
          <w:sz w:val="24"/>
          <w:szCs w:val="24"/>
        </w:rPr>
      </w:r>
      <w:r>
        <w:rPr>
          <w:sz w:val="24"/>
          <w:szCs w:val="24"/>
        </w:rPr>
      </w:r>
      <w:r>
        <w:rPr>
          <w:sz w:val="24"/>
          <w:szCs w:val="24"/>
        </w:rPr>
      </w:r>
    </w:p>
    <w:p>
      <w:pPr>
        <w:ind w:firstLine="680"/>
        <w:jc w:val="both"/>
        <w:rPr>
          <w:sz w:val="24"/>
          <w:szCs w:val="24"/>
        </w:rPr>
      </w:pPr>
      <w:r>
        <w:rPr>
          <w:sz w:val="24"/>
          <w:szCs w:val="24"/>
        </w:rPr>
      </w:r>
      <w:r>
        <w:rPr>
          <w:sz w:val="24"/>
          <w:szCs w:val="24"/>
        </w:rPr>
      </w:r>
      <w:r>
        <w:rPr>
          <w:sz w:val="24"/>
          <w:szCs w:val="24"/>
        </w:rPr>
      </w:r>
    </w:p>
    <w:p>
      <w:pPr>
        <w:ind w:firstLine="680"/>
        <w:jc w:val="both"/>
        <w:rPr>
          <w:sz w:val="24"/>
          <w:szCs w:val="24"/>
        </w:rPr>
      </w:pPr>
      <w:r>
        <w:rPr>
          <w:sz w:val="24"/>
          <w:szCs w:val="24"/>
        </w:rPr>
      </w:r>
      <w:r>
        <w:rPr>
          <w:sz w:val="24"/>
          <w:szCs w:val="24"/>
        </w:rPr>
      </w:r>
      <w:r>
        <w:rPr>
          <w:sz w:val="24"/>
          <w:szCs w:val="24"/>
        </w:rPr>
      </w:r>
    </w:p>
    <w:p>
      <w:pPr>
        <w:ind w:firstLine="680"/>
        <w:jc w:val="both"/>
        <w:rPr>
          <w:sz w:val="24"/>
          <w:szCs w:val="24"/>
        </w:rPr>
      </w:pPr>
      <w:r>
        <w:rPr>
          <w:sz w:val="24"/>
          <w:szCs w:val="24"/>
        </w:rPr>
      </w:r>
      <w:r>
        <w:rPr>
          <w:sz w:val="24"/>
          <w:szCs w:val="24"/>
        </w:rPr>
      </w:r>
      <w:r>
        <w:rPr>
          <w:sz w:val="24"/>
          <w:szCs w:val="24"/>
        </w:rPr>
      </w:r>
    </w:p>
    <w:tbl>
      <w:tblPr>
        <w:tblStyle w:val="937"/>
        <w:tblW w:w="5000" w:type="pc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190"/>
        <w:gridCol w:w="3190"/>
        <w:gridCol w:w="3190"/>
      </w:tblGrid>
      <w:tr>
        <w:tblPrEx/>
        <w:trPr/>
        <w:tc>
          <w:tcPr>
            <w:tcW w:w="1667" w:type="pct"/>
            <w:textDirection w:val="lrTb"/>
            <w:noWrap w:val="false"/>
          </w:tcPr>
          <w:p>
            <w:pPr>
              <w:jc w:val="both"/>
              <w:rPr>
                <w:b/>
                <w:sz w:val="24"/>
                <w:szCs w:val="24"/>
              </w:rPr>
            </w:pPr>
            <w:r>
              <w:rPr>
                <w:b/>
                <w:sz w:val="24"/>
                <w:szCs w:val="24"/>
              </w:rPr>
              <w:t xml:space="preserve">Концедент</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Концессионер</w:t>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t xml:space="preserve">Субъект</w:t>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t xml:space="preserve">Муниципальное образование Печенгский муниципальный округ Мурманской области</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Общество с ограниченной ответственностью «ПромВоенСтрой»</w:t>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t xml:space="preserve">Мурманская область</w:t>
            </w:r>
            <w:r>
              <w:rPr>
                <w:b/>
                <w:sz w:val="24"/>
                <w:szCs w:val="24"/>
              </w:rPr>
            </w:r>
            <w:r>
              <w:rPr>
                <w:b/>
                <w:sz w:val="24"/>
                <w:szCs w:val="24"/>
              </w:rPr>
            </w:r>
          </w:p>
          <w:p>
            <w:pPr>
              <w:jc w:val="both"/>
              <w:rPr>
                <w:b/>
                <w:sz w:val="24"/>
                <w:szCs w:val="24"/>
              </w:rPr>
            </w:pPr>
            <w:r>
              <w:rPr>
                <w:b/>
                <w:sz w:val="24"/>
                <w:szCs w:val="24"/>
              </w:rPr>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t xml:space="preserve">Глава округа</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Генеральный директор</w:t>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t xml:space="preserve">Губернатор</w:t>
            </w:r>
            <w:r>
              <w:rPr>
                <w:b/>
                <w:sz w:val="24"/>
                <w:szCs w:val="24"/>
              </w:rPr>
            </w:r>
            <w:r>
              <w:rPr>
                <w:b/>
                <w:sz w:val="24"/>
                <w:szCs w:val="24"/>
              </w:rPr>
            </w:r>
          </w:p>
        </w:tc>
      </w:tr>
      <w:tr>
        <w:tblPrEx/>
        <w:trPr>
          <w:trHeight w:val="567"/>
        </w:trPr>
        <w:tc>
          <w:tcPr>
            <w:tcW w:w="1667" w:type="pct"/>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c>
          <w:tcPr>
            <w:tcW w:w="1667" w:type="pct"/>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c>
          <w:tcPr>
            <w:tcW w:w="1666" w:type="pct"/>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r>
      <w:tr>
        <w:tblPrEx/>
        <w:trPr/>
        <w:tc>
          <w:tcPr>
            <w:tcW w:w="1667" w:type="pct"/>
            <w:textDirection w:val="lrTb"/>
            <w:noWrap w:val="false"/>
          </w:tcPr>
          <w:p>
            <w:pPr>
              <w:jc w:val="both"/>
              <w:rPr>
                <w:b/>
                <w:sz w:val="24"/>
                <w:szCs w:val="24"/>
              </w:rPr>
            </w:pPr>
            <w:r>
              <w:rPr>
                <w:sz w:val="24"/>
                <w:szCs w:val="24"/>
              </w:rPr>
              <w:t xml:space="preserve">МП      /Кузнецов А.В../</w:t>
            </w:r>
            <w:r>
              <w:rPr>
                <w:b/>
                <w:sz w:val="24"/>
                <w:szCs w:val="24"/>
              </w:rPr>
            </w:r>
            <w:r>
              <w:rPr>
                <w:b/>
                <w:sz w:val="24"/>
                <w:szCs w:val="24"/>
              </w:rPr>
            </w:r>
          </w:p>
        </w:tc>
        <w:tc>
          <w:tcPr>
            <w:tcW w:w="1667" w:type="pct"/>
            <w:textDirection w:val="lrTb"/>
            <w:noWrap w:val="false"/>
          </w:tcPr>
          <w:p>
            <w:pPr>
              <w:jc w:val="both"/>
              <w:rPr>
                <w:b/>
                <w:sz w:val="24"/>
                <w:szCs w:val="24"/>
              </w:rPr>
            </w:pPr>
            <w:r>
              <w:rPr>
                <w:sz w:val="24"/>
                <w:szCs w:val="24"/>
              </w:rPr>
              <w:t xml:space="preserve">МП       /Аршакян А.Р./</w:t>
            </w:r>
            <w:r>
              <w:rPr>
                <w:b/>
                <w:sz w:val="24"/>
                <w:szCs w:val="24"/>
              </w:rPr>
            </w:r>
            <w:r>
              <w:rPr>
                <w:b/>
                <w:sz w:val="24"/>
                <w:szCs w:val="24"/>
              </w:rPr>
            </w:r>
          </w:p>
        </w:tc>
        <w:tc>
          <w:tcPr>
            <w:tcW w:w="1666" w:type="pct"/>
            <w:textDirection w:val="lrTb"/>
            <w:noWrap w:val="false"/>
          </w:tcPr>
          <w:p>
            <w:pPr>
              <w:jc w:val="both"/>
              <w:rPr>
                <w:b/>
                <w:sz w:val="24"/>
                <w:szCs w:val="24"/>
              </w:rPr>
            </w:pPr>
            <w:r>
              <w:rPr>
                <w:sz w:val="24"/>
                <w:szCs w:val="24"/>
              </w:rPr>
              <w:t xml:space="preserve">МП         /Чибис А.В./</w:t>
            </w:r>
            <w:r>
              <w:rPr>
                <w:b/>
                <w:sz w:val="24"/>
                <w:szCs w:val="24"/>
              </w:rPr>
            </w:r>
            <w:r>
              <w:rPr>
                <w:b/>
                <w:sz w:val="24"/>
                <w:szCs w:val="24"/>
              </w:rPr>
            </w:r>
          </w:p>
        </w:tc>
      </w:tr>
      <w:tr>
        <w:tblPrEx/>
        <w:trPr/>
        <w:tc>
          <w:tcPr>
            <w:tcW w:w="1667" w:type="pct"/>
            <w:textDirection w:val="lrTb"/>
            <w:noWrap w:val="false"/>
          </w:tcPr>
          <w:p>
            <w:pPr>
              <w:jc w:val="both"/>
              <w:rPr>
                <w:b/>
                <w:sz w:val="24"/>
                <w:szCs w:val="24"/>
              </w:rPr>
            </w:pPr>
            <w:r>
              <w:rPr>
                <w:sz w:val="24"/>
                <w:szCs w:val="24"/>
              </w:rPr>
              <w:t xml:space="preserve">«___»____________ 20__ г.</w:t>
            </w:r>
            <w:r>
              <w:rPr>
                <w:b/>
                <w:sz w:val="24"/>
                <w:szCs w:val="24"/>
              </w:rPr>
            </w:r>
            <w:r>
              <w:rPr>
                <w:b/>
                <w:sz w:val="24"/>
                <w:szCs w:val="24"/>
              </w:rPr>
            </w:r>
          </w:p>
        </w:tc>
        <w:tc>
          <w:tcPr>
            <w:tcW w:w="1667" w:type="pct"/>
            <w:textDirection w:val="lrTb"/>
            <w:noWrap w:val="false"/>
          </w:tcPr>
          <w:p>
            <w:pPr>
              <w:jc w:val="both"/>
              <w:rPr>
                <w:sz w:val="24"/>
                <w:szCs w:val="24"/>
              </w:rPr>
            </w:pPr>
            <w:r>
              <w:rPr>
                <w:sz w:val="24"/>
                <w:szCs w:val="24"/>
              </w:rPr>
              <w:t xml:space="preserve">«___»____________ 20__ г.</w:t>
            </w:r>
            <w:r>
              <w:rPr>
                <w:sz w:val="24"/>
                <w:szCs w:val="24"/>
              </w:rPr>
            </w:r>
            <w:r>
              <w:rPr>
                <w:sz w:val="24"/>
                <w:szCs w:val="24"/>
              </w:rPr>
            </w:r>
          </w:p>
        </w:tc>
        <w:tc>
          <w:tcPr>
            <w:tcW w:w="1666" w:type="pct"/>
            <w:textDirection w:val="lrTb"/>
            <w:noWrap w:val="false"/>
          </w:tcPr>
          <w:p>
            <w:pPr>
              <w:jc w:val="both"/>
              <w:rPr>
                <w:b/>
                <w:sz w:val="24"/>
                <w:szCs w:val="24"/>
              </w:rPr>
            </w:pPr>
            <w:r>
              <w:rPr>
                <w:sz w:val="24"/>
                <w:szCs w:val="24"/>
              </w:rPr>
              <w:t xml:space="preserve">«___»____________ 20__ г.</w:t>
            </w:r>
            <w:r>
              <w:rPr>
                <w:b/>
                <w:sz w:val="24"/>
                <w:szCs w:val="24"/>
              </w:rPr>
            </w:r>
            <w:r>
              <w:rPr>
                <w:b/>
                <w:sz w:val="24"/>
                <w:szCs w:val="24"/>
              </w:rPr>
            </w:r>
          </w:p>
        </w:tc>
      </w:tr>
    </w:tbl>
    <w:p>
      <w:pPr>
        <w:shd w:val="nil" w:color="auto"/>
        <w:rPr>
          <w:sz w:val="24"/>
          <w:szCs w:val="24"/>
        </w:rPr>
      </w:pPr>
      <w:r>
        <w:rPr>
          <w:sz w:val="24"/>
          <w:szCs w:val="24"/>
        </w:rPr>
        <w:br w:type="page" w:clear="all"/>
      </w:r>
      <w:r>
        <w:rPr>
          <w:sz w:val="24"/>
          <w:szCs w:val="24"/>
        </w:rPr>
      </w:r>
      <w:r>
        <w:rPr>
          <w:sz w:val="24"/>
          <w:szCs w:val="24"/>
        </w:rPr>
      </w:r>
    </w:p>
    <w:p>
      <w:pPr>
        <w:ind w:left="5528" w:right="0" w:firstLine="0"/>
        <w:jc w:val="both"/>
        <w:rPr>
          <w:sz w:val="24"/>
          <w:szCs w:val="24"/>
        </w:rPr>
      </w:pPr>
      <w:r>
        <w:rPr>
          <w:sz w:val="24"/>
          <w:szCs w:val="24"/>
        </w:rPr>
        <w:t xml:space="preserve">Приложение № 11</w:t>
      </w:r>
      <w:r>
        <w:rPr>
          <w:sz w:val="24"/>
          <w:szCs w:val="24"/>
        </w:rPr>
      </w:r>
      <w:r>
        <w:rPr>
          <w:sz w:val="24"/>
          <w:szCs w:val="24"/>
        </w:rPr>
      </w:r>
    </w:p>
    <w:p>
      <w:pPr>
        <w:ind w:left="5528" w:right="0" w:firstLine="0"/>
        <w:jc w:val="both"/>
        <w:rPr>
          <w:sz w:val="24"/>
          <w:szCs w:val="24"/>
        </w:rPr>
      </w:pPr>
      <w:r>
        <w:rPr>
          <w:sz w:val="24"/>
          <w:szCs w:val="24"/>
        </w:rPr>
        <w:t xml:space="preserve">к Концессионному соглашению</w:t>
      </w:r>
      <w:r>
        <w:rPr>
          <w:sz w:val="24"/>
          <w:szCs w:val="24"/>
        </w:rPr>
      </w:r>
      <w:r>
        <w:rPr>
          <w:sz w:val="24"/>
          <w:szCs w:val="24"/>
        </w:rPr>
      </w:r>
    </w:p>
    <w:p>
      <w:pPr>
        <w:ind w:left="5528" w:right="0" w:firstLine="0"/>
        <w:jc w:val="both"/>
        <w:rPr>
          <w:sz w:val="24"/>
          <w:szCs w:val="24"/>
        </w:rPr>
      </w:pPr>
      <w:r>
        <w:rPr>
          <w:sz w:val="24"/>
          <w:szCs w:val="24"/>
        </w:rPr>
        <w:t xml:space="preserve">от «__»______ 2024 года №______</w:t>
      </w:r>
      <w:r>
        <w:rPr>
          <w:sz w:val="24"/>
          <w:szCs w:val="24"/>
        </w:rPr>
      </w:r>
      <w:r>
        <w:rPr>
          <w:sz w:val="24"/>
          <w:szCs w:val="24"/>
        </w:rPr>
      </w:r>
    </w:p>
    <w:p>
      <w:pPr>
        <w:ind w:firstLine="680"/>
        <w:jc w:val="both"/>
        <w:rPr>
          <w:b/>
          <w:sz w:val="24"/>
          <w:szCs w:val="24"/>
        </w:rPr>
      </w:pPr>
      <w:r>
        <w:rPr>
          <w:b/>
          <w:sz w:val="24"/>
          <w:szCs w:val="24"/>
        </w:rPr>
      </w:r>
      <w:r>
        <w:rPr>
          <w:b/>
          <w:sz w:val="24"/>
          <w:szCs w:val="24"/>
        </w:rPr>
      </w:r>
      <w:r>
        <w:rPr>
          <w:b/>
          <w:sz w:val="24"/>
          <w:szCs w:val="24"/>
        </w:rPr>
      </w:r>
    </w:p>
    <w:p>
      <w:pPr>
        <w:ind w:firstLine="680"/>
        <w:jc w:val="center"/>
        <w:rPr>
          <w:b/>
          <w:sz w:val="24"/>
          <w:szCs w:val="24"/>
        </w:rPr>
      </w:pPr>
      <w:r>
        <w:rPr>
          <w:b/>
          <w:sz w:val="24"/>
          <w:szCs w:val="24"/>
        </w:rPr>
        <w:t xml:space="preserve">Акт приема – передачи имущества</w:t>
      </w:r>
      <w:r>
        <w:rPr>
          <w:b/>
          <w:sz w:val="24"/>
          <w:szCs w:val="24"/>
        </w:rPr>
      </w:r>
      <w:r>
        <w:rPr>
          <w:b/>
          <w:sz w:val="24"/>
          <w:szCs w:val="24"/>
        </w:rPr>
      </w:r>
    </w:p>
    <w:p>
      <w:pPr>
        <w:ind w:firstLine="680"/>
        <w:jc w:val="center"/>
        <w:rPr>
          <w:b/>
          <w:sz w:val="24"/>
          <w:szCs w:val="24"/>
        </w:rPr>
      </w:pPr>
      <w:r>
        <w:rPr>
          <w:b/>
          <w:sz w:val="24"/>
          <w:szCs w:val="24"/>
        </w:rPr>
        <w:t xml:space="preserve">В рамках реализации концессионного соглашения</w:t>
      </w:r>
      <w:r>
        <w:rPr>
          <w:b/>
          <w:sz w:val="24"/>
          <w:szCs w:val="24"/>
        </w:rPr>
      </w:r>
      <w:r>
        <w:rPr>
          <w:b/>
          <w:sz w:val="24"/>
          <w:szCs w:val="24"/>
        </w:rPr>
      </w:r>
    </w:p>
    <w:p>
      <w:pPr>
        <w:ind w:firstLine="680"/>
        <w:jc w:val="both"/>
        <w:rPr>
          <w:sz w:val="24"/>
          <w:szCs w:val="24"/>
        </w:rPr>
      </w:pPr>
      <w:r>
        <w:rPr>
          <w:sz w:val="24"/>
          <w:szCs w:val="24"/>
        </w:rPr>
      </w:r>
      <w:r>
        <w:rPr>
          <w:sz w:val="24"/>
          <w:szCs w:val="24"/>
        </w:rPr>
      </w:r>
      <w:r>
        <w:rPr>
          <w:sz w:val="24"/>
          <w:szCs w:val="24"/>
        </w:rPr>
      </w:r>
    </w:p>
    <w:p>
      <w:pPr>
        <w:ind w:firstLine="680"/>
        <w:jc w:val="both"/>
        <w:rPr>
          <w:sz w:val="24"/>
          <w:szCs w:val="24"/>
        </w:rPr>
      </w:pPr>
      <w:r>
        <w:rPr>
          <w:b/>
          <w:sz w:val="24"/>
          <w:szCs w:val="24"/>
        </w:rPr>
        <w:t xml:space="preserve">Муниципальное образование Печенгский муниципальный округ  Мурманской области</w:t>
      </w:r>
      <w:r>
        <w:rPr>
          <w:sz w:val="24"/>
          <w:szCs w:val="24"/>
        </w:rPr>
        <w:t xml:space="preserve">, именуемое в дальнейшем </w:t>
      </w:r>
      <w:r>
        <w:rPr>
          <w:b/>
          <w:sz w:val="24"/>
          <w:szCs w:val="24"/>
        </w:rPr>
        <w:t xml:space="preserve">«Концедент»</w:t>
      </w:r>
      <w:r>
        <w:rPr>
          <w:sz w:val="24"/>
          <w:szCs w:val="24"/>
        </w:rPr>
        <w:t xml:space="preserve">, от имени которого выступает </w:t>
      </w:r>
      <w:r>
        <w:rPr>
          <w:b/>
          <w:sz w:val="24"/>
          <w:szCs w:val="24"/>
        </w:rPr>
        <w:t xml:space="preserve">Глава Печенгского муниципального округа Мурманской области Кузнецов Андрей Валентинович</w:t>
      </w:r>
      <w:r>
        <w:rPr>
          <w:sz w:val="24"/>
          <w:szCs w:val="24"/>
        </w:rPr>
        <w:t xml:space="preserve">, действующей на основании  Устава с одной стороны,  </w:t>
      </w:r>
      <w:r>
        <w:rPr>
          <w:sz w:val="24"/>
          <w:szCs w:val="24"/>
        </w:rPr>
      </w:r>
      <w:r>
        <w:rPr>
          <w:sz w:val="24"/>
          <w:szCs w:val="24"/>
        </w:rPr>
      </w:r>
    </w:p>
    <w:p>
      <w:pPr>
        <w:pStyle w:val="959"/>
        <w:ind w:firstLine="680"/>
        <w:jc w:val="both"/>
        <w:rPr>
          <w:rFonts w:ascii="Times New Roman" w:hAnsi="Times New Roman" w:cs="Times New Roman"/>
        </w:rPr>
      </w:pPr>
      <w:r>
        <w:rPr>
          <w:rFonts w:ascii="Times New Roman" w:hAnsi="Times New Roman" w:cs="Times New Roman"/>
        </w:rPr>
        <w:tab/>
      </w:r>
      <w:r>
        <w:rPr>
          <w:rFonts w:ascii="Times New Roman" w:hAnsi="Times New Roman" w:cs="Times New Roman"/>
          <w:b/>
        </w:rPr>
        <w:t xml:space="preserve">Общество с ограниченной ответственностью «ПромВоенСтрой</w:t>
      </w:r>
      <w:r>
        <w:rPr>
          <w:rFonts w:ascii="Times New Roman" w:hAnsi="Times New Roman" w:cs="Times New Roman"/>
        </w:rPr>
        <w:t xml:space="preserve">», именуемое в дальнейшем </w:t>
      </w:r>
      <w:r>
        <w:rPr>
          <w:rFonts w:ascii="Times New Roman" w:hAnsi="Times New Roman" w:cs="Times New Roman"/>
          <w:b/>
        </w:rPr>
        <w:t xml:space="preserve">«Концессионер»</w:t>
      </w:r>
      <w:r>
        <w:rPr>
          <w:rFonts w:ascii="Times New Roman" w:hAnsi="Times New Roman" w:cs="Times New Roman"/>
        </w:rPr>
        <w:t xml:space="preserve">, в лице Генерального директора </w:t>
      </w:r>
      <w:r>
        <w:rPr>
          <w:rFonts w:ascii="Times New Roman" w:hAnsi="Times New Roman" w:cs="Times New Roman"/>
          <w:b/>
        </w:rPr>
        <w:t xml:space="preserve">Аршакяна Армена Рубеновича</w:t>
      </w:r>
      <w:r>
        <w:rPr>
          <w:rFonts w:ascii="Times New Roman" w:hAnsi="Times New Roman" w:cs="Times New Roman"/>
        </w:rPr>
        <w:t xml:space="preserve">, действующего на основании Устава, </w:t>
      </w:r>
      <w:r>
        <w:rPr>
          <w:rFonts w:ascii="Times New Roman" w:hAnsi="Times New Roman" w:cs="Times New Roman"/>
          <w:b/>
        </w:rPr>
        <w:t xml:space="preserve">Муниципальное образование Печенгский муниципальный округ  Мурманской области</w:t>
      </w:r>
      <w:r>
        <w:rPr>
          <w:rFonts w:ascii="Times New Roman" w:hAnsi="Times New Roman" w:cs="Times New Roman"/>
        </w:rPr>
        <w:t xml:space="preserve">, именуемое в дальнейшем </w:t>
      </w:r>
      <w:r>
        <w:rPr>
          <w:rFonts w:ascii="Times New Roman" w:hAnsi="Times New Roman" w:cs="Times New Roman"/>
          <w:b/>
        </w:rPr>
        <w:t xml:space="preserve">«Концедент»</w:t>
      </w:r>
      <w:r>
        <w:rPr>
          <w:rFonts w:ascii="Times New Roman" w:hAnsi="Times New Roman" w:cs="Times New Roman"/>
        </w:rPr>
        <w:t xml:space="preserve">, от имени которого выступает </w:t>
      </w:r>
      <w:r>
        <w:rPr>
          <w:rFonts w:ascii="Times New Roman" w:hAnsi="Times New Roman" w:cs="Times New Roman"/>
          <w:b/>
        </w:rPr>
        <w:t xml:space="preserve">Глава Печенгского муниципального округа Мурманской области Кузнецов Андрей Валентинович</w:t>
      </w:r>
      <w:r>
        <w:rPr>
          <w:rFonts w:ascii="Times New Roman" w:hAnsi="Times New Roman" w:cs="Times New Roman"/>
        </w:rPr>
        <w:t xml:space="preserve">, действующей на основании  Устава с другой стороны, составили настоящий Акт о нижеследующем:</w:t>
      </w:r>
      <w:r>
        <w:rPr>
          <w:rFonts w:ascii="Times New Roman" w:hAnsi="Times New Roman" w:cs="Times New Roman"/>
        </w:rPr>
      </w:r>
      <w:r>
        <w:rPr>
          <w:rFonts w:ascii="Times New Roman" w:hAnsi="Times New Roman" w:cs="Times New Roman"/>
        </w:rPr>
      </w:r>
    </w:p>
    <w:p>
      <w:pPr>
        <w:ind w:firstLine="680"/>
        <w:jc w:val="both"/>
        <w:rPr>
          <w:sz w:val="24"/>
          <w:szCs w:val="24"/>
        </w:rPr>
      </w:pPr>
      <w:r>
        <w:rPr>
          <w:sz w:val="24"/>
          <w:szCs w:val="24"/>
        </w:rPr>
        <w:t xml:space="preserve">Концедент передал, а Концессионер принял (Концессионер передал, а Концедент принял) следующее имущество:</w:t>
      </w:r>
      <w:r>
        <w:rPr>
          <w:sz w:val="24"/>
          <w:szCs w:val="24"/>
        </w:rPr>
      </w:r>
      <w:r>
        <w:rPr>
          <w:sz w:val="24"/>
          <w:szCs w:val="24"/>
        </w:rP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4"/>
        <w:gridCol w:w="2360"/>
        <w:gridCol w:w="1191"/>
        <w:gridCol w:w="1765"/>
        <w:gridCol w:w="1659"/>
        <w:gridCol w:w="2061"/>
      </w:tblGrid>
      <w:tr>
        <w:tblPrEx/>
        <w:trPr/>
        <w:tc>
          <w:tcPr>
            <w:tcW w:w="279" w:type="pct"/>
            <w:vAlign w:val="center"/>
            <w:textDirection w:val="lrTb"/>
            <w:noWrap w:val="false"/>
          </w:tcPr>
          <w:p>
            <w:pPr>
              <w:jc w:val="center"/>
              <w:rPr>
                <w:sz w:val="24"/>
                <w:szCs w:val="24"/>
              </w:rPr>
            </w:pPr>
            <w:r>
              <w:rPr>
                <w:sz w:val="24"/>
                <w:szCs w:val="24"/>
              </w:rPr>
              <w:t xml:space="preserve">№ п.п.</w:t>
            </w:r>
            <w:r>
              <w:rPr>
                <w:sz w:val="24"/>
                <w:szCs w:val="24"/>
              </w:rPr>
            </w:r>
            <w:r>
              <w:rPr>
                <w:sz w:val="24"/>
                <w:szCs w:val="24"/>
              </w:rPr>
            </w:r>
          </w:p>
        </w:tc>
        <w:tc>
          <w:tcPr>
            <w:tcW w:w="1233" w:type="pct"/>
            <w:vAlign w:val="center"/>
            <w:textDirection w:val="lrTb"/>
            <w:noWrap w:val="false"/>
          </w:tcPr>
          <w:p>
            <w:pPr>
              <w:jc w:val="center"/>
              <w:rPr>
                <w:sz w:val="24"/>
                <w:szCs w:val="24"/>
              </w:rPr>
            </w:pPr>
            <w:r>
              <w:rPr>
                <w:sz w:val="24"/>
                <w:szCs w:val="24"/>
              </w:rPr>
              <w:t xml:space="preserve">Наименование объекта</w:t>
            </w:r>
            <w:r>
              <w:rPr>
                <w:sz w:val="24"/>
                <w:szCs w:val="24"/>
              </w:rPr>
            </w:r>
            <w:r>
              <w:rPr>
                <w:sz w:val="24"/>
                <w:szCs w:val="24"/>
              </w:rPr>
            </w:r>
          </w:p>
        </w:tc>
        <w:tc>
          <w:tcPr>
            <w:tcW w:w="622" w:type="pct"/>
            <w:vAlign w:val="center"/>
            <w:textDirection w:val="lrTb"/>
            <w:noWrap w:val="false"/>
          </w:tcPr>
          <w:p>
            <w:pPr>
              <w:jc w:val="center"/>
              <w:rPr>
                <w:sz w:val="24"/>
                <w:szCs w:val="24"/>
              </w:rPr>
            </w:pPr>
            <w:r>
              <w:rPr>
                <w:sz w:val="24"/>
                <w:szCs w:val="24"/>
              </w:rPr>
              <w:t xml:space="preserve">Срок ввода в эксплуатацию</w:t>
            </w:r>
            <w:r>
              <w:rPr>
                <w:sz w:val="24"/>
                <w:szCs w:val="24"/>
              </w:rPr>
            </w:r>
            <w:r>
              <w:rPr>
                <w:sz w:val="24"/>
                <w:szCs w:val="24"/>
              </w:rPr>
            </w:r>
          </w:p>
        </w:tc>
        <w:tc>
          <w:tcPr>
            <w:tcW w:w="922" w:type="pct"/>
            <w:vAlign w:val="center"/>
            <w:textDirection w:val="lrTb"/>
            <w:noWrap w:val="false"/>
          </w:tcPr>
          <w:p>
            <w:pPr>
              <w:jc w:val="center"/>
              <w:rPr>
                <w:sz w:val="24"/>
                <w:szCs w:val="24"/>
              </w:rPr>
            </w:pPr>
            <w:r>
              <w:rPr>
                <w:sz w:val="24"/>
                <w:szCs w:val="24"/>
              </w:rPr>
              <w:t xml:space="preserve">Балансовая</w:t>
            </w:r>
            <w:r>
              <w:rPr>
                <w:sz w:val="24"/>
                <w:szCs w:val="24"/>
              </w:rPr>
            </w:r>
            <w:r>
              <w:rPr>
                <w:sz w:val="24"/>
                <w:szCs w:val="24"/>
              </w:rPr>
            </w:r>
          </w:p>
          <w:p>
            <w:pPr>
              <w:jc w:val="center"/>
              <w:rPr>
                <w:sz w:val="24"/>
                <w:szCs w:val="24"/>
              </w:rPr>
            </w:pPr>
            <w:r>
              <w:rPr>
                <w:sz w:val="24"/>
                <w:szCs w:val="24"/>
              </w:rPr>
              <w:t xml:space="preserve">стоимость, руб.</w:t>
            </w:r>
            <w:r>
              <w:rPr>
                <w:sz w:val="24"/>
                <w:szCs w:val="24"/>
              </w:rPr>
            </w:r>
            <w:r>
              <w:rPr>
                <w:sz w:val="24"/>
                <w:szCs w:val="24"/>
              </w:rPr>
            </w:r>
          </w:p>
        </w:tc>
        <w:tc>
          <w:tcPr>
            <w:tcW w:w="867" w:type="pct"/>
            <w:vAlign w:val="center"/>
            <w:textDirection w:val="lrTb"/>
            <w:noWrap w:val="false"/>
          </w:tcPr>
          <w:p>
            <w:pPr>
              <w:jc w:val="center"/>
              <w:rPr>
                <w:sz w:val="24"/>
                <w:szCs w:val="24"/>
              </w:rPr>
            </w:pPr>
            <w:r>
              <w:rPr>
                <w:sz w:val="24"/>
                <w:szCs w:val="24"/>
              </w:rPr>
              <w:t xml:space="preserve">Остаточная стоимость,  Руб.</w:t>
            </w:r>
            <w:r>
              <w:rPr>
                <w:sz w:val="24"/>
                <w:szCs w:val="24"/>
              </w:rPr>
            </w:r>
            <w:r>
              <w:rPr>
                <w:sz w:val="24"/>
                <w:szCs w:val="24"/>
              </w:rPr>
            </w:r>
          </w:p>
        </w:tc>
        <w:tc>
          <w:tcPr>
            <w:tcW w:w="1077" w:type="pct"/>
            <w:vAlign w:val="center"/>
            <w:textDirection w:val="lrTb"/>
            <w:noWrap w:val="false"/>
          </w:tcPr>
          <w:p>
            <w:pPr>
              <w:jc w:val="center"/>
              <w:rPr>
                <w:sz w:val="24"/>
                <w:szCs w:val="24"/>
              </w:rPr>
            </w:pPr>
            <w:r>
              <w:rPr>
                <w:sz w:val="24"/>
                <w:szCs w:val="24"/>
              </w:rPr>
              <w:t xml:space="preserve">Техническое состояние</w:t>
            </w:r>
            <w:r>
              <w:rPr>
                <w:sz w:val="24"/>
                <w:szCs w:val="24"/>
              </w:rPr>
            </w:r>
            <w:r>
              <w:rPr>
                <w:sz w:val="24"/>
                <w:szCs w:val="24"/>
              </w:rPr>
            </w:r>
          </w:p>
        </w:tc>
      </w:tr>
      <w:tr>
        <w:tblPrEx/>
        <w:trPr/>
        <w:tc>
          <w:tcPr>
            <w:tcW w:w="279" w:type="pct"/>
            <w:textDirection w:val="lrTb"/>
            <w:noWrap w:val="false"/>
          </w:tcPr>
          <w:p>
            <w:pPr>
              <w:jc w:val="center"/>
              <w:rPr>
                <w:sz w:val="24"/>
                <w:szCs w:val="24"/>
                <w:lang w:eastAsia="en-US"/>
              </w:rPr>
            </w:pPr>
            <w:r>
              <w:rPr>
                <w:sz w:val="24"/>
                <w:szCs w:val="24"/>
                <w:lang w:eastAsia="en-US"/>
              </w:rPr>
              <w:t xml:space="preserve">1.</w:t>
            </w:r>
            <w:r>
              <w:rPr>
                <w:sz w:val="24"/>
                <w:szCs w:val="24"/>
                <w:lang w:eastAsia="en-US"/>
              </w:rPr>
            </w:r>
            <w:r>
              <w:rPr>
                <w:sz w:val="24"/>
                <w:szCs w:val="24"/>
                <w:lang w:eastAsia="en-US"/>
              </w:rPr>
            </w:r>
          </w:p>
        </w:tc>
        <w:tc>
          <w:tcPr>
            <w:tcW w:w="1233" w:type="pct"/>
            <w:textDirection w:val="lrTb"/>
            <w:noWrap w:val="false"/>
          </w:tcPr>
          <w:p>
            <w:pPr>
              <w:jc w:val="center"/>
              <w:rPr>
                <w:sz w:val="24"/>
                <w:szCs w:val="24"/>
              </w:rPr>
            </w:pPr>
            <w:r>
              <w:rPr>
                <w:sz w:val="24"/>
                <w:szCs w:val="24"/>
              </w:rPr>
              <w:t xml:space="preserve">Здание (нежилое здание, котельная № 13/73).</w:t>
            </w:r>
            <w:r>
              <w:rPr>
                <w:sz w:val="24"/>
                <w:szCs w:val="24"/>
              </w:rPr>
            </w:r>
            <w:r>
              <w:rPr>
                <w:sz w:val="24"/>
                <w:szCs w:val="24"/>
              </w:rPr>
            </w:r>
          </w:p>
        </w:tc>
        <w:tc>
          <w:tcPr>
            <w:tcW w:w="622" w:type="pct"/>
            <w:vAlign w:val="center"/>
            <w:textDirection w:val="lrTb"/>
            <w:noWrap w:val="false"/>
          </w:tcPr>
          <w:p>
            <w:pPr>
              <w:jc w:val="center"/>
              <w:rPr>
                <w:sz w:val="24"/>
                <w:szCs w:val="24"/>
              </w:rPr>
            </w:pPr>
            <w:r>
              <w:rPr>
                <w:sz w:val="24"/>
                <w:szCs w:val="24"/>
              </w:rPr>
              <w:t xml:space="preserve">1972 г.</w:t>
            </w:r>
            <w:r>
              <w:rPr>
                <w:sz w:val="24"/>
                <w:szCs w:val="24"/>
              </w:rPr>
            </w:r>
            <w:r>
              <w:rPr>
                <w:sz w:val="24"/>
                <w:szCs w:val="24"/>
              </w:rPr>
            </w:r>
          </w:p>
        </w:tc>
        <w:tc>
          <w:tcPr>
            <w:tcW w:w="922" w:type="pct"/>
            <w:vAlign w:val="center"/>
            <w:textDirection w:val="lrTb"/>
            <w:noWrap w:val="false"/>
          </w:tcPr>
          <w:p>
            <w:pPr>
              <w:jc w:val="center"/>
              <w:rPr>
                <w:sz w:val="24"/>
                <w:szCs w:val="24"/>
              </w:rPr>
            </w:pPr>
            <w:r>
              <w:rPr>
                <w:sz w:val="24"/>
                <w:szCs w:val="24"/>
              </w:rPr>
              <w:t xml:space="preserve">7 984 251,00</w:t>
            </w:r>
            <w:r>
              <w:rPr>
                <w:sz w:val="24"/>
                <w:szCs w:val="24"/>
              </w:rPr>
            </w:r>
            <w:r>
              <w:rPr>
                <w:sz w:val="24"/>
                <w:szCs w:val="24"/>
              </w:rPr>
            </w:r>
          </w:p>
        </w:tc>
        <w:tc>
          <w:tcPr>
            <w:tcW w:w="867" w:type="pct"/>
            <w:vAlign w:val="center"/>
            <w:textDirection w:val="lrTb"/>
            <w:noWrap w:val="false"/>
          </w:tcPr>
          <w:p>
            <w:pPr>
              <w:jc w:val="center"/>
              <w:rPr>
                <w:sz w:val="24"/>
                <w:szCs w:val="24"/>
              </w:rPr>
            </w:pPr>
            <w:r>
              <w:rPr>
                <w:sz w:val="24"/>
                <w:szCs w:val="24"/>
              </w:rPr>
              <w:t xml:space="preserve">4 371 005,19</w:t>
            </w:r>
            <w:r>
              <w:rPr>
                <w:sz w:val="24"/>
                <w:szCs w:val="24"/>
              </w:rPr>
            </w:r>
            <w:r>
              <w:rPr>
                <w:sz w:val="24"/>
                <w:szCs w:val="24"/>
              </w:rPr>
            </w:r>
          </w:p>
        </w:tc>
        <w:tc>
          <w:tcPr>
            <w:tcW w:w="1077" w:type="pct"/>
            <w:vAlign w:val="center"/>
            <w:textDirection w:val="lrTb"/>
            <w:noWrap w:val="false"/>
          </w:tcPr>
          <w:p>
            <w:pPr>
              <w:jc w:val="center"/>
              <w:rPr>
                <w:sz w:val="24"/>
                <w:szCs w:val="24"/>
              </w:rPr>
            </w:pPr>
            <w:r>
              <w:rPr>
                <w:sz w:val="24"/>
                <w:szCs w:val="24"/>
              </w:rPr>
              <w:t xml:space="preserve">удовлетворительное</w:t>
            </w:r>
            <w:r>
              <w:rPr>
                <w:sz w:val="24"/>
                <w:szCs w:val="24"/>
              </w:rPr>
            </w:r>
            <w:r>
              <w:rPr>
                <w:sz w:val="24"/>
                <w:szCs w:val="24"/>
              </w:rPr>
            </w:r>
          </w:p>
        </w:tc>
      </w:tr>
      <w:tr>
        <w:tblPrEx/>
        <w:trPr>
          <w:trHeight w:val="1093"/>
        </w:trPr>
        <w:tc>
          <w:tcPr>
            <w:tcW w:w="279" w:type="pct"/>
            <w:textDirection w:val="lrTb"/>
            <w:noWrap w:val="false"/>
          </w:tcPr>
          <w:p>
            <w:pPr>
              <w:jc w:val="center"/>
              <w:rPr>
                <w:sz w:val="24"/>
                <w:szCs w:val="24"/>
                <w:lang w:eastAsia="en-US"/>
              </w:rPr>
            </w:pPr>
            <w:r>
              <w:rPr>
                <w:sz w:val="24"/>
                <w:szCs w:val="24"/>
                <w:lang w:eastAsia="en-US"/>
              </w:rPr>
              <w:t xml:space="preserve">2.</w:t>
            </w:r>
            <w:r>
              <w:rPr>
                <w:sz w:val="24"/>
                <w:szCs w:val="24"/>
                <w:lang w:eastAsia="en-US"/>
              </w:rPr>
            </w:r>
            <w:r>
              <w:rPr>
                <w:sz w:val="24"/>
                <w:szCs w:val="24"/>
                <w:lang w:eastAsia="en-US"/>
              </w:rPr>
            </w:r>
          </w:p>
        </w:tc>
        <w:tc>
          <w:tcPr>
            <w:tcW w:w="1233" w:type="pct"/>
            <w:textDirection w:val="lrTb"/>
            <w:noWrap w:val="false"/>
          </w:tcPr>
          <w:p>
            <w:pPr>
              <w:jc w:val="center"/>
              <w:rPr>
                <w:sz w:val="24"/>
                <w:szCs w:val="24"/>
              </w:rPr>
            </w:pPr>
            <w:r>
              <w:rPr>
                <w:sz w:val="24"/>
                <w:szCs w:val="24"/>
              </w:rPr>
              <w:t xml:space="preserve">Тепловые сети котельной № 13/73.</w:t>
            </w:r>
            <w:r>
              <w:rPr>
                <w:sz w:val="24"/>
                <w:szCs w:val="24"/>
              </w:rPr>
            </w:r>
            <w:r>
              <w:rPr>
                <w:sz w:val="24"/>
                <w:szCs w:val="24"/>
              </w:rPr>
            </w:r>
          </w:p>
        </w:tc>
        <w:tc>
          <w:tcPr>
            <w:tcW w:w="622" w:type="pct"/>
            <w:vAlign w:val="center"/>
            <w:textDirection w:val="lrTb"/>
            <w:noWrap w:val="false"/>
          </w:tcPr>
          <w:p>
            <w:pPr>
              <w:jc w:val="center"/>
              <w:rPr>
                <w:sz w:val="24"/>
                <w:szCs w:val="24"/>
              </w:rPr>
            </w:pPr>
            <w:r>
              <w:rPr>
                <w:sz w:val="24"/>
                <w:szCs w:val="24"/>
              </w:rPr>
              <w:t xml:space="preserve">1972 г.</w:t>
            </w:r>
            <w:r>
              <w:rPr>
                <w:sz w:val="24"/>
                <w:szCs w:val="24"/>
              </w:rPr>
            </w:r>
            <w:r>
              <w:rPr>
                <w:sz w:val="24"/>
                <w:szCs w:val="24"/>
              </w:rPr>
            </w:r>
          </w:p>
        </w:tc>
        <w:tc>
          <w:tcPr>
            <w:tcW w:w="922" w:type="pct"/>
            <w:vAlign w:val="center"/>
            <w:textDirection w:val="lrTb"/>
            <w:noWrap w:val="false"/>
          </w:tcPr>
          <w:p>
            <w:pPr>
              <w:jc w:val="center"/>
              <w:rPr>
                <w:sz w:val="24"/>
                <w:szCs w:val="24"/>
              </w:rPr>
            </w:pPr>
            <w:r>
              <w:rPr>
                <w:sz w:val="24"/>
                <w:szCs w:val="24"/>
              </w:rPr>
              <w:t xml:space="preserve">7 869 702,00</w:t>
            </w:r>
            <w:r>
              <w:rPr>
                <w:sz w:val="24"/>
                <w:szCs w:val="24"/>
              </w:rPr>
            </w:r>
            <w:r>
              <w:rPr>
                <w:sz w:val="24"/>
                <w:szCs w:val="24"/>
              </w:rPr>
            </w:r>
          </w:p>
        </w:tc>
        <w:tc>
          <w:tcPr>
            <w:tcW w:w="867" w:type="pct"/>
            <w:vAlign w:val="center"/>
            <w:textDirection w:val="lrTb"/>
            <w:noWrap w:val="false"/>
          </w:tcPr>
          <w:p>
            <w:pPr>
              <w:jc w:val="center"/>
              <w:rPr>
                <w:sz w:val="24"/>
                <w:szCs w:val="24"/>
              </w:rPr>
            </w:pPr>
            <w:r>
              <w:rPr>
                <w:sz w:val="24"/>
                <w:szCs w:val="24"/>
              </w:rPr>
              <w:t xml:space="preserve">7 869 702,00</w:t>
            </w:r>
            <w:r>
              <w:rPr>
                <w:sz w:val="24"/>
                <w:szCs w:val="24"/>
              </w:rPr>
            </w:r>
            <w:r>
              <w:rPr>
                <w:sz w:val="24"/>
                <w:szCs w:val="24"/>
              </w:rPr>
            </w:r>
          </w:p>
        </w:tc>
        <w:tc>
          <w:tcPr>
            <w:tcW w:w="1077" w:type="pct"/>
            <w:vAlign w:val="center"/>
            <w:textDirection w:val="lrTb"/>
            <w:noWrap w:val="false"/>
          </w:tcPr>
          <w:p>
            <w:pPr>
              <w:jc w:val="center"/>
              <w:rPr>
                <w:sz w:val="24"/>
                <w:szCs w:val="24"/>
              </w:rPr>
            </w:pPr>
            <w:r>
              <w:rPr>
                <w:sz w:val="24"/>
                <w:szCs w:val="24"/>
              </w:rPr>
              <w:t xml:space="preserve">удовлетворительное</w:t>
            </w:r>
            <w:r>
              <w:rPr>
                <w:sz w:val="24"/>
                <w:szCs w:val="24"/>
              </w:rPr>
            </w:r>
            <w:r>
              <w:rPr>
                <w:sz w:val="24"/>
                <w:szCs w:val="24"/>
              </w:rPr>
            </w:r>
          </w:p>
        </w:tc>
      </w:tr>
      <w:tr>
        <w:tblPrEx/>
        <w:trPr>
          <w:trHeight w:val="1093"/>
        </w:trPr>
        <w:tc>
          <w:tcPr>
            <w:tcW w:w="279" w:type="pct"/>
            <w:textDirection w:val="lrTb"/>
            <w:noWrap w:val="false"/>
          </w:tcPr>
          <w:p>
            <w:pPr>
              <w:jc w:val="center"/>
              <w:rPr>
                <w:sz w:val="24"/>
                <w:szCs w:val="24"/>
                <w:lang w:eastAsia="en-US"/>
              </w:rPr>
            </w:pPr>
            <w:r>
              <w:rPr>
                <w:sz w:val="24"/>
                <w:szCs w:val="24"/>
                <w:lang w:eastAsia="en-US"/>
              </w:rPr>
            </w:r>
            <w:r>
              <w:rPr>
                <w:sz w:val="24"/>
                <w:szCs w:val="24"/>
                <w:lang w:eastAsia="en-US"/>
              </w:rPr>
            </w:r>
            <w:r>
              <w:rPr>
                <w:sz w:val="24"/>
                <w:szCs w:val="24"/>
                <w:lang w:eastAsia="en-US"/>
              </w:rPr>
            </w:r>
          </w:p>
        </w:tc>
        <w:tc>
          <w:tcPr>
            <w:tcW w:w="1233" w:type="pct"/>
            <w:textDirection w:val="lrTb"/>
            <w:noWrap w:val="false"/>
          </w:tcPr>
          <w:p>
            <w:pPr>
              <w:jc w:val="center"/>
              <w:rPr>
                <w:sz w:val="24"/>
                <w:szCs w:val="24"/>
              </w:rPr>
            </w:pPr>
            <w:r>
              <w:rPr>
                <w:sz w:val="24"/>
                <w:szCs w:val="24"/>
              </w:rPr>
              <w:t xml:space="preserve">Сети горячего водоснабжения  от котельной № 13/73.</w:t>
            </w:r>
            <w:r>
              <w:rPr>
                <w:sz w:val="24"/>
                <w:szCs w:val="24"/>
              </w:rPr>
            </w:r>
            <w:r>
              <w:rPr>
                <w:sz w:val="24"/>
                <w:szCs w:val="24"/>
              </w:rPr>
            </w:r>
          </w:p>
        </w:tc>
        <w:tc>
          <w:tcPr>
            <w:tcW w:w="622" w:type="pct"/>
            <w:vAlign w:val="center"/>
            <w:textDirection w:val="lrTb"/>
            <w:noWrap w:val="false"/>
          </w:tcPr>
          <w:p>
            <w:pPr>
              <w:jc w:val="center"/>
              <w:rPr>
                <w:sz w:val="24"/>
                <w:szCs w:val="24"/>
              </w:rPr>
            </w:pPr>
            <w:r>
              <w:rPr>
                <w:sz w:val="24"/>
                <w:szCs w:val="24"/>
              </w:rPr>
              <w:t xml:space="preserve">1972 г.</w:t>
            </w:r>
            <w:r>
              <w:rPr>
                <w:sz w:val="24"/>
                <w:szCs w:val="24"/>
              </w:rPr>
            </w:r>
            <w:r>
              <w:rPr>
                <w:sz w:val="24"/>
                <w:szCs w:val="24"/>
              </w:rPr>
            </w:r>
          </w:p>
        </w:tc>
        <w:tc>
          <w:tcPr>
            <w:tcW w:w="922" w:type="pct"/>
            <w:vAlign w:val="center"/>
            <w:textDirection w:val="lrTb"/>
            <w:noWrap w:val="false"/>
          </w:tcPr>
          <w:p>
            <w:pPr>
              <w:jc w:val="center"/>
              <w:rPr>
                <w:sz w:val="24"/>
                <w:szCs w:val="24"/>
              </w:rPr>
            </w:pPr>
            <w:r>
              <w:rPr>
                <w:sz w:val="24"/>
                <w:szCs w:val="24"/>
              </w:rPr>
              <w:t xml:space="preserve">23 175 912,00</w:t>
            </w:r>
            <w:r>
              <w:rPr>
                <w:sz w:val="24"/>
                <w:szCs w:val="24"/>
              </w:rPr>
            </w:r>
            <w:r>
              <w:rPr>
                <w:sz w:val="24"/>
                <w:szCs w:val="24"/>
              </w:rPr>
            </w:r>
          </w:p>
        </w:tc>
        <w:tc>
          <w:tcPr>
            <w:tcW w:w="867" w:type="pct"/>
            <w:vAlign w:val="center"/>
            <w:textDirection w:val="lrTb"/>
            <w:noWrap w:val="false"/>
          </w:tcPr>
          <w:p>
            <w:pPr>
              <w:jc w:val="center"/>
              <w:rPr>
                <w:sz w:val="24"/>
                <w:szCs w:val="24"/>
              </w:rPr>
            </w:pPr>
            <w:r>
              <w:rPr>
                <w:sz w:val="24"/>
                <w:szCs w:val="24"/>
              </w:rPr>
              <w:t xml:space="preserve">23 175 912,00</w:t>
            </w:r>
            <w:r>
              <w:rPr>
                <w:sz w:val="24"/>
                <w:szCs w:val="24"/>
              </w:rPr>
            </w:r>
            <w:r>
              <w:rPr>
                <w:sz w:val="24"/>
                <w:szCs w:val="24"/>
              </w:rPr>
            </w:r>
          </w:p>
        </w:tc>
        <w:tc>
          <w:tcPr>
            <w:tcW w:w="1077" w:type="pct"/>
            <w:vAlign w:val="center"/>
            <w:textDirection w:val="lrTb"/>
            <w:noWrap w:val="false"/>
          </w:tcPr>
          <w:p>
            <w:pPr>
              <w:jc w:val="center"/>
              <w:rPr>
                <w:sz w:val="24"/>
                <w:szCs w:val="24"/>
              </w:rPr>
            </w:pPr>
            <w:r>
              <w:rPr>
                <w:sz w:val="24"/>
                <w:szCs w:val="24"/>
              </w:rPr>
              <w:t xml:space="preserve">удовлетворительное</w:t>
            </w:r>
            <w:r>
              <w:rPr>
                <w:sz w:val="24"/>
                <w:szCs w:val="24"/>
              </w:rPr>
            </w:r>
            <w:r>
              <w:rPr>
                <w:sz w:val="24"/>
                <w:szCs w:val="24"/>
              </w:rPr>
            </w:r>
          </w:p>
        </w:tc>
      </w:tr>
      <w:tr>
        <w:tblPrEx/>
        <w:trPr>
          <w:trHeight w:val="70"/>
        </w:trPr>
        <w:tc>
          <w:tcPr>
            <w:tcW w:w="279" w:type="pct"/>
            <w:textDirection w:val="lrTb"/>
            <w:noWrap w:val="false"/>
          </w:tcPr>
          <w:p>
            <w:pPr>
              <w:jc w:val="center"/>
              <w:rPr>
                <w:sz w:val="24"/>
                <w:szCs w:val="24"/>
                <w:lang w:eastAsia="en-US"/>
              </w:rPr>
            </w:pPr>
            <w:r>
              <w:rPr>
                <w:sz w:val="24"/>
                <w:szCs w:val="24"/>
                <w:lang w:eastAsia="en-US"/>
              </w:rPr>
              <w:t xml:space="preserve">3.</w:t>
            </w:r>
            <w:r>
              <w:rPr>
                <w:sz w:val="24"/>
                <w:szCs w:val="24"/>
                <w:lang w:eastAsia="en-US"/>
              </w:rPr>
            </w:r>
            <w:r>
              <w:rPr>
                <w:sz w:val="24"/>
                <w:szCs w:val="24"/>
                <w:lang w:eastAsia="en-US"/>
              </w:rPr>
            </w:r>
          </w:p>
        </w:tc>
        <w:tc>
          <w:tcPr>
            <w:tcW w:w="1233" w:type="pct"/>
            <w:textDirection w:val="lrTb"/>
            <w:noWrap w:val="false"/>
          </w:tcPr>
          <w:p>
            <w:pPr>
              <w:jc w:val="center"/>
              <w:rPr>
                <w:sz w:val="24"/>
                <w:szCs w:val="24"/>
              </w:rPr>
            </w:pPr>
            <w:r>
              <w:rPr>
                <w:sz w:val="24"/>
                <w:szCs w:val="24"/>
              </w:rPr>
              <w:t xml:space="preserve">Здание (нежилое здание, котельная № 13/55).</w:t>
            </w:r>
            <w:r>
              <w:rPr>
                <w:sz w:val="24"/>
                <w:szCs w:val="24"/>
              </w:rPr>
            </w:r>
            <w:r>
              <w:rPr>
                <w:sz w:val="24"/>
                <w:szCs w:val="24"/>
              </w:rPr>
            </w:r>
          </w:p>
        </w:tc>
        <w:tc>
          <w:tcPr>
            <w:tcW w:w="622" w:type="pct"/>
            <w:vAlign w:val="center"/>
            <w:textDirection w:val="lrTb"/>
            <w:noWrap w:val="false"/>
          </w:tcPr>
          <w:p>
            <w:pPr>
              <w:jc w:val="center"/>
              <w:rPr>
                <w:sz w:val="24"/>
                <w:szCs w:val="24"/>
              </w:rPr>
            </w:pPr>
            <w:r>
              <w:rPr>
                <w:sz w:val="24"/>
                <w:szCs w:val="24"/>
              </w:rPr>
              <w:t xml:space="preserve">1961 г.</w:t>
            </w:r>
            <w:r>
              <w:rPr>
                <w:sz w:val="24"/>
                <w:szCs w:val="24"/>
              </w:rPr>
            </w:r>
            <w:r>
              <w:rPr>
                <w:sz w:val="24"/>
                <w:szCs w:val="24"/>
              </w:rPr>
            </w:r>
          </w:p>
        </w:tc>
        <w:tc>
          <w:tcPr>
            <w:tcW w:w="922" w:type="pct"/>
            <w:vAlign w:val="center"/>
            <w:textDirection w:val="lrTb"/>
            <w:noWrap w:val="false"/>
          </w:tcPr>
          <w:p>
            <w:pPr>
              <w:jc w:val="center"/>
              <w:rPr>
                <w:sz w:val="24"/>
                <w:szCs w:val="24"/>
              </w:rPr>
            </w:pPr>
            <w:r>
              <w:rPr>
                <w:sz w:val="24"/>
                <w:szCs w:val="24"/>
              </w:rPr>
              <w:t xml:space="preserve">1 040 663,59</w:t>
            </w:r>
            <w:r>
              <w:rPr>
                <w:sz w:val="24"/>
                <w:szCs w:val="24"/>
              </w:rPr>
            </w:r>
            <w:r>
              <w:rPr>
                <w:sz w:val="24"/>
                <w:szCs w:val="24"/>
              </w:rPr>
            </w:r>
          </w:p>
        </w:tc>
        <w:tc>
          <w:tcPr>
            <w:tcW w:w="867" w:type="pct"/>
            <w:vAlign w:val="center"/>
            <w:textDirection w:val="lrTb"/>
            <w:noWrap w:val="false"/>
          </w:tcPr>
          <w:p>
            <w:pPr>
              <w:jc w:val="center"/>
              <w:rPr>
                <w:sz w:val="24"/>
                <w:szCs w:val="24"/>
              </w:rPr>
            </w:pPr>
            <w:r>
              <w:rPr>
                <w:sz w:val="24"/>
                <w:szCs w:val="24"/>
              </w:rPr>
              <w:t xml:space="preserve">529 448,86</w:t>
            </w:r>
            <w:r>
              <w:rPr>
                <w:sz w:val="24"/>
                <w:szCs w:val="24"/>
              </w:rPr>
            </w:r>
            <w:r>
              <w:rPr>
                <w:sz w:val="24"/>
                <w:szCs w:val="24"/>
              </w:rPr>
            </w:r>
          </w:p>
        </w:tc>
        <w:tc>
          <w:tcPr>
            <w:tcW w:w="1077" w:type="pct"/>
            <w:vAlign w:val="center"/>
            <w:textDirection w:val="lrTb"/>
            <w:noWrap w:val="false"/>
          </w:tcPr>
          <w:p>
            <w:pPr>
              <w:jc w:val="center"/>
              <w:rPr>
                <w:sz w:val="24"/>
                <w:szCs w:val="24"/>
              </w:rPr>
            </w:pPr>
            <w:r>
              <w:rPr>
                <w:sz w:val="24"/>
                <w:szCs w:val="24"/>
              </w:rPr>
              <w:t xml:space="preserve">удовлетворительное</w:t>
            </w:r>
            <w:r>
              <w:rPr>
                <w:sz w:val="24"/>
                <w:szCs w:val="24"/>
              </w:rPr>
            </w:r>
            <w:r>
              <w:rPr>
                <w:sz w:val="24"/>
                <w:szCs w:val="24"/>
              </w:rPr>
            </w:r>
          </w:p>
        </w:tc>
      </w:tr>
      <w:tr>
        <w:tblPrEx/>
        <w:trPr>
          <w:trHeight w:val="456"/>
        </w:trPr>
        <w:tc>
          <w:tcPr>
            <w:tcW w:w="279" w:type="pct"/>
            <w:textDirection w:val="lrTb"/>
            <w:noWrap w:val="false"/>
          </w:tcPr>
          <w:p>
            <w:pPr>
              <w:jc w:val="center"/>
              <w:rPr>
                <w:sz w:val="24"/>
                <w:szCs w:val="24"/>
                <w:lang w:eastAsia="en-US"/>
              </w:rPr>
            </w:pPr>
            <w:r>
              <w:rPr>
                <w:sz w:val="24"/>
                <w:szCs w:val="24"/>
                <w:lang w:eastAsia="en-US"/>
              </w:rPr>
              <w:t xml:space="preserve">4.</w:t>
            </w:r>
            <w:r>
              <w:rPr>
                <w:sz w:val="24"/>
                <w:szCs w:val="24"/>
                <w:lang w:eastAsia="en-US"/>
              </w:rPr>
            </w:r>
            <w:r>
              <w:rPr>
                <w:sz w:val="24"/>
                <w:szCs w:val="24"/>
                <w:lang w:eastAsia="en-US"/>
              </w:rPr>
            </w:r>
          </w:p>
        </w:tc>
        <w:tc>
          <w:tcPr>
            <w:tcW w:w="1233" w:type="pct"/>
            <w:textDirection w:val="lrTb"/>
            <w:noWrap w:val="false"/>
          </w:tcPr>
          <w:p>
            <w:pPr>
              <w:jc w:val="center"/>
              <w:rPr>
                <w:sz w:val="24"/>
                <w:szCs w:val="24"/>
              </w:rPr>
            </w:pPr>
            <w:r>
              <w:rPr>
                <w:sz w:val="24"/>
                <w:szCs w:val="24"/>
              </w:rPr>
              <w:t xml:space="preserve">Тепловые сети от котельной № 13/55.</w:t>
            </w:r>
            <w:r>
              <w:rPr>
                <w:sz w:val="24"/>
                <w:szCs w:val="24"/>
              </w:rPr>
            </w:r>
            <w:r>
              <w:rPr>
                <w:sz w:val="24"/>
                <w:szCs w:val="24"/>
              </w:rPr>
            </w:r>
          </w:p>
        </w:tc>
        <w:tc>
          <w:tcPr>
            <w:tcW w:w="622" w:type="pct"/>
            <w:vAlign w:val="center"/>
            <w:textDirection w:val="lrTb"/>
            <w:noWrap w:val="false"/>
          </w:tcPr>
          <w:p>
            <w:pPr>
              <w:jc w:val="center"/>
              <w:rPr>
                <w:sz w:val="24"/>
                <w:szCs w:val="24"/>
              </w:rPr>
            </w:pPr>
            <w:r>
              <w:rPr>
                <w:sz w:val="24"/>
                <w:szCs w:val="24"/>
              </w:rPr>
              <w:t xml:space="preserve">1962 г.</w:t>
            </w:r>
            <w:r>
              <w:rPr>
                <w:sz w:val="24"/>
                <w:szCs w:val="24"/>
              </w:rPr>
            </w:r>
            <w:r>
              <w:rPr>
                <w:sz w:val="24"/>
                <w:szCs w:val="24"/>
              </w:rPr>
            </w:r>
          </w:p>
        </w:tc>
        <w:tc>
          <w:tcPr>
            <w:tcW w:w="922" w:type="pct"/>
            <w:vAlign w:val="center"/>
            <w:textDirection w:val="lrTb"/>
            <w:noWrap w:val="false"/>
          </w:tcPr>
          <w:p>
            <w:pPr>
              <w:jc w:val="center"/>
              <w:rPr>
                <w:sz w:val="24"/>
                <w:szCs w:val="24"/>
              </w:rPr>
            </w:pPr>
            <w:r>
              <w:rPr>
                <w:sz w:val="24"/>
                <w:szCs w:val="24"/>
              </w:rPr>
              <w:t xml:space="preserve">8 183 075,00</w:t>
            </w:r>
            <w:r>
              <w:rPr>
                <w:sz w:val="24"/>
                <w:szCs w:val="24"/>
              </w:rPr>
            </w:r>
            <w:r>
              <w:rPr>
                <w:sz w:val="24"/>
                <w:szCs w:val="24"/>
              </w:rPr>
            </w:r>
          </w:p>
        </w:tc>
        <w:tc>
          <w:tcPr>
            <w:tcW w:w="867" w:type="pct"/>
            <w:vAlign w:val="center"/>
            <w:textDirection w:val="lrTb"/>
            <w:noWrap w:val="false"/>
          </w:tcPr>
          <w:p>
            <w:pPr>
              <w:jc w:val="center"/>
              <w:rPr>
                <w:sz w:val="24"/>
                <w:szCs w:val="24"/>
              </w:rPr>
            </w:pPr>
            <w:r>
              <w:rPr>
                <w:sz w:val="24"/>
                <w:szCs w:val="24"/>
              </w:rPr>
              <w:t xml:space="preserve">8 183 075,00</w:t>
            </w:r>
            <w:r>
              <w:rPr>
                <w:sz w:val="24"/>
                <w:szCs w:val="24"/>
              </w:rPr>
            </w:r>
            <w:r>
              <w:rPr>
                <w:sz w:val="24"/>
                <w:szCs w:val="24"/>
              </w:rPr>
            </w:r>
          </w:p>
        </w:tc>
        <w:tc>
          <w:tcPr>
            <w:tcW w:w="1077" w:type="pct"/>
            <w:vAlign w:val="center"/>
            <w:textDirection w:val="lrTb"/>
            <w:noWrap w:val="false"/>
          </w:tcPr>
          <w:p>
            <w:pPr>
              <w:jc w:val="center"/>
              <w:rPr>
                <w:sz w:val="24"/>
                <w:szCs w:val="24"/>
              </w:rPr>
            </w:pPr>
            <w:r>
              <w:rPr>
                <w:sz w:val="24"/>
                <w:szCs w:val="24"/>
              </w:rPr>
              <w:t xml:space="preserve">удовлетворительное</w:t>
            </w:r>
            <w:r>
              <w:rPr>
                <w:sz w:val="24"/>
                <w:szCs w:val="24"/>
              </w:rPr>
            </w:r>
            <w:r>
              <w:rPr>
                <w:sz w:val="24"/>
                <w:szCs w:val="24"/>
              </w:rPr>
            </w:r>
          </w:p>
        </w:tc>
      </w:tr>
      <w:tr>
        <w:tblPrEx/>
        <w:trPr>
          <w:trHeight w:val="615"/>
        </w:trPr>
        <w:tc>
          <w:tcPr>
            <w:tcW w:w="279" w:type="pct"/>
            <w:textDirection w:val="lrTb"/>
            <w:noWrap w:val="false"/>
          </w:tcPr>
          <w:p>
            <w:pPr>
              <w:ind w:left="1080"/>
              <w:jc w:val="center"/>
              <w:rPr>
                <w:sz w:val="24"/>
                <w:szCs w:val="24"/>
                <w:lang w:eastAsia="en-US"/>
              </w:rPr>
            </w:pPr>
            <w:r>
              <w:rPr>
                <w:sz w:val="24"/>
                <w:szCs w:val="24"/>
                <w:lang w:eastAsia="en-US"/>
              </w:rPr>
            </w:r>
            <w:r>
              <w:rPr>
                <w:sz w:val="24"/>
                <w:szCs w:val="24"/>
                <w:lang w:eastAsia="en-US"/>
              </w:rPr>
            </w:r>
            <w:r>
              <w:rPr>
                <w:sz w:val="24"/>
                <w:szCs w:val="24"/>
                <w:lang w:eastAsia="en-US"/>
              </w:rPr>
            </w:r>
          </w:p>
        </w:tc>
        <w:tc>
          <w:tcPr>
            <w:tcW w:w="1233" w:type="pct"/>
            <w:textDirection w:val="lrTb"/>
            <w:noWrap w:val="false"/>
          </w:tcPr>
          <w:p>
            <w:pPr>
              <w:jc w:val="center"/>
              <w:rPr>
                <w:sz w:val="24"/>
                <w:szCs w:val="24"/>
              </w:rPr>
            </w:pPr>
            <w:r>
              <w:rPr>
                <w:sz w:val="24"/>
                <w:szCs w:val="24"/>
              </w:rPr>
              <w:t xml:space="preserve">Здание (нежилое здание, котельная № 4/152).</w:t>
            </w:r>
            <w:r>
              <w:rPr>
                <w:sz w:val="24"/>
                <w:szCs w:val="24"/>
              </w:rPr>
            </w:r>
            <w:r>
              <w:rPr>
                <w:sz w:val="24"/>
                <w:szCs w:val="24"/>
              </w:rPr>
            </w:r>
          </w:p>
        </w:tc>
        <w:tc>
          <w:tcPr>
            <w:tcW w:w="622" w:type="pct"/>
            <w:vAlign w:val="center"/>
            <w:textDirection w:val="lrTb"/>
            <w:noWrap w:val="false"/>
          </w:tcPr>
          <w:p>
            <w:pPr>
              <w:jc w:val="center"/>
              <w:rPr>
                <w:sz w:val="24"/>
                <w:szCs w:val="24"/>
              </w:rPr>
            </w:pPr>
            <w:r>
              <w:rPr>
                <w:sz w:val="24"/>
                <w:szCs w:val="24"/>
              </w:rPr>
              <w:t xml:space="preserve">1969 г.</w:t>
            </w:r>
            <w:r>
              <w:rPr>
                <w:sz w:val="24"/>
                <w:szCs w:val="24"/>
              </w:rPr>
            </w:r>
            <w:r>
              <w:rPr>
                <w:sz w:val="24"/>
                <w:szCs w:val="24"/>
              </w:rPr>
            </w:r>
          </w:p>
        </w:tc>
        <w:tc>
          <w:tcPr>
            <w:tcW w:w="922" w:type="pct"/>
            <w:vAlign w:val="center"/>
            <w:textDirection w:val="lrTb"/>
            <w:noWrap w:val="false"/>
          </w:tcPr>
          <w:p>
            <w:pPr>
              <w:jc w:val="center"/>
              <w:rPr>
                <w:sz w:val="24"/>
                <w:szCs w:val="24"/>
              </w:rPr>
            </w:pPr>
            <w:r>
              <w:rPr>
                <w:sz w:val="24"/>
                <w:szCs w:val="24"/>
              </w:rPr>
              <w:t xml:space="preserve">37 844 443,34</w:t>
            </w:r>
            <w:r>
              <w:rPr>
                <w:sz w:val="24"/>
                <w:szCs w:val="24"/>
              </w:rPr>
            </w:r>
            <w:r>
              <w:rPr>
                <w:sz w:val="24"/>
                <w:szCs w:val="24"/>
              </w:rPr>
            </w:r>
          </w:p>
        </w:tc>
        <w:tc>
          <w:tcPr>
            <w:tcW w:w="867" w:type="pct"/>
            <w:vAlign w:val="center"/>
            <w:textDirection w:val="lrTb"/>
            <w:noWrap w:val="false"/>
          </w:tcPr>
          <w:p>
            <w:pPr>
              <w:jc w:val="center"/>
              <w:rPr>
                <w:sz w:val="24"/>
                <w:szCs w:val="24"/>
              </w:rPr>
            </w:pPr>
            <w:r>
              <w:rPr>
                <w:sz w:val="24"/>
                <w:szCs w:val="24"/>
              </w:rPr>
              <w:t xml:space="preserve">18 476 32,43</w:t>
            </w:r>
            <w:r>
              <w:rPr>
                <w:sz w:val="24"/>
                <w:szCs w:val="24"/>
              </w:rPr>
            </w:r>
            <w:r>
              <w:rPr>
                <w:sz w:val="24"/>
                <w:szCs w:val="24"/>
              </w:rPr>
            </w:r>
          </w:p>
        </w:tc>
        <w:tc>
          <w:tcPr>
            <w:tcW w:w="1077" w:type="pct"/>
            <w:vAlign w:val="center"/>
            <w:textDirection w:val="lrTb"/>
            <w:noWrap w:val="false"/>
          </w:tcPr>
          <w:p>
            <w:pPr>
              <w:jc w:val="center"/>
              <w:rPr>
                <w:sz w:val="24"/>
                <w:szCs w:val="24"/>
              </w:rPr>
            </w:pPr>
            <w:r>
              <w:rPr>
                <w:sz w:val="24"/>
                <w:szCs w:val="24"/>
              </w:rPr>
              <w:t xml:space="preserve">удовлетворительное</w:t>
            </w:r>
            <w:r>
              <w:rPr>
                <w:sz w:val="24"/>
                <w:szCs w:val="24"/>
              </w:rPr>
            </w:r>
            <w:r>
              <w:rPr>
                <w:sz w:val="24"/>
                <w:szCs w:val="24"/>
              </w:rPr>
            </w:r>
          </w:p>
        </w:tc>
      </w:tr>
      <w:tr>
        <w:tblPrEx/>
        <w:trPr>
          <w:trHeight w:val="615"/>
        </w:trPr>
        <w:tc>
          <w:tcPr>
            <w:tcW w:w="279" w:type="pct"/>
            <w:textDirection w:val="lrTb"/>
            <w:noWrap w:val="false"/>
          </w:tcPr>
          <w:p>
            <w:pPr>
              <w:ind w:left="1080"/>
              <w:jc w:val="center"/>
              <w:rPr>
                <w:sz w:val="24"/>
                <w:szCs w:val="24"/>
                <w:lang w:eastAsia="en-US"/>
              </w:rPr>
            </w:pPr>
            <w:r>
              <w:rPr>
                <w:sz w:val="24"/>
                <w:szCs w:val="24"/>
                <w:lang w:eastAsia="en-US"/>
              </w:rPr>
            </w:r>
            <w:r>
              <w:rPr>
                <w:sz w:val="24"/>
                <w:szCs w:val="24"/>
                <w:lang w:eastAsia="en-US"/>
              </w:rPr>
            </w:r>
            <w:r>
              <w:rPr>
                <w:sz w:val="24"/>
                <w:szCs w:val="24"/>
                <w:lang w:eastAsia="en-US"/>
              </w:rPr>
            </w:r>
          </w:p>
        </w:tc>
        <w:tc>
          <w:tcPr>
            <w:tcW w:w="1233" w:type="pct"/>
            <w:textDirection w:val="lrTb"/>
            <w:noWrap w:val="false"/>
          </w:tcPr>
          <w:p>
            <w:pPr>
              <w:jc w:val="center"/>
              <w:rPr>
                <w:sz w:val="24"/>
                <w:szCs w:val="24"/>
              </w:rPr>
            </w:pPr>
            <w:r>
              <w:rPr>
                <w:sz w:val="24"/>
                <w:szCs w:val="24"/>
              </w:rPr>
              <w:t xml:space="preserve">Тепловые сети котельной № 4/152.</w:t>
            </w:r>
            <w:r>
              <w:rPr>
                <w:sz w:val="24"/>
                <w:szCs w:val="24"/>
              </w:rPr>
            </w:r>
            <w:r>
              <w:rPr>
                <w:sz w:val="24"/>
                <w:szCs w:val="24"/>
              </w:rPr>
            </w:r>
          </w:p>
        </w:tc>
        <w:tc>
          <w:tcPr>
            <w:tcW w:w="622" w:type="pct"/>
            <w:vAlign w:val="center"/>
            <w:textDirection w:val="lrTb"/>
            <w:noWrap w:val="false"/>
          </w:tcPr>
          <w:p>
            <w:pPr>
              <w:jc w:val="center"/>
              <w:rPr>
                <w:sz w:val="24"/>
                <w:szCs w:val="24"/>
              </w:rPr>
            </w:pPr>
            <w:r>
              <w:rPr>
                <w:sz w:val="24"/>
                <w:szCs w:val="24"/>
              </w:rPr>
              <w:t xml:space="preserve">2008 г.</w:t>
            </w:r>
            <w:r>
              <w:rPr>
                <w:sz w:val="24"/>
                <w:szCs w:val="24"/>
              </w:rPr>
            </w:r>
            <w:r>
              <w:rPr>
                <w:sz w:val="24"/>
                <w:szCs w:val="24"/>
              </w:rPr>
            </w:r>
          </w:p>
        </w:tc>
        <w:tc>
          <w:tcPr>
            <w:tcW w:w="922" w:type="pct"/>
            <w:vAlign w:val="center"/>
            <w:textDirection w:val="lrTb"/>
            <w:noWrap w:val="false"/>
          </w:tcPr>
          <w:p>
            <w:pPr>
              <w:jc w:val="center"/>
              <w:rPr>
                <w:sz w:val="24"/>
                <w:szCs w:val="24"/>
              </w:rPr>
            </w:pPr>
            <w:r>
              <w:rPr>
                <w:sz w:val="24"/>
                <w:szCs w:val="24"/>
              </w:rPr>
              <w:t xml:space="preserve">17 529 970,00</w:t>
            </w:r>
            <w:r>
              <w:rPr>
                <w:sz w:val="24"/>
                <w:szCs w:val="24"/>
              </w:rPr>
            </w:r>
            <w:r>
              <w:rPr>
                <w:sz w:val="24"/>
                <w:szCs w:val="24"/>
              </w:rPr>
            </w:r>
          </w:p>
        </w:tc>
        <w:tc>
          <w:tcPr>
            <w:tcW w:w="867" w:type="pct"/>
            <w:vAlign w:val="center"/>
            <w:textDirection w:val="lrTb"/>
            <w:noWrap w:val="false"/>
          </w:tcPr>
          <w:p>
            <w:pPr>
              <w:jc w:val="center"/>
              <w:rPr>
                <w:sz w:val="24"/>
                <w:szCs w:val="24"/>
              </w:rPr>
            </w:pPr>
            <w:r>
              <w:rPr>
                <w:sz w:val="24"/>
                <w:szCs w:val="24"/>
              </w:rPr>
              <w:t xml:space="preserve">17 529 970,00</w:t>
            </w:r>
            <w:r>
              <w:rPr>
                <w:sz w:val="24"/>
                <w:szCs w:val="24"/>
              </w:rPr>
            </w:r>
            <w:r>
              <w:rPr>
                <w:sz w:val="24"/>
                <w:szCs w:val="24"/>
              </w:rPr>
            </w:r>
          </w:p>
        </w:tc>
        <w:tc>
          <w:tcPr>
            <w:tcW w:w="1077" w:type="pct"/>
            <w:vAlign w:val="center"/>
            <w:textDirection w:val="lrTb"/>
            <w:noWrap w:val="false"/>
          </w:tcPr>
          <w:p>
            <w:pPr>
              <w:jc w:val="center"/>
              <w:rPr>
                <w:sz w:val="24"/>
                <w:szCs w:val="24"/>
              </w:rPr>
            </w:pPr>
            <w:r>
              <w:rPr>
                <w:sz w:val="24"/>
                <w:szCs w:val="24"/>
              </w:rPr>
              <w:t xml:space="preserve">удовлетворительное</w:t>
            </w:r>
            <w:r>
              <w:rPr>
                <w:sz w:val="24"/>
                <w:szCs w:val="24"/>
              </w:rPr>
            </w:r>
            <w:r>
              <w:rPr>
                <w:sz w:val="24"/>
                <w:szCs w:val="24"/>
              </w:rPr>
            </w:r>
          </w:p>
        </w:tc>
      </w:tr>
      <w:tr>
        <w:tblPrEx/>
        <w:trPr>
          <w:trHeight w:val="615"/>
        </w:trPr>
        <w:tc>
          <w:tcPr>
            <w:tcW w:w="279" w:type="pct"/>
            <w:textDirection w:val="lrTb"/>
            <w:noWrap w:val="false"/>
          </w:tcPr>
          <w:p>
            <w:pPr>
              <w:ind w:left="1080"/>
              <w:jc w:val="center"/>
              <w:rPr>
                <w:sz w:val="24"/>
                <w:szCs w:val="24"/>
                <w:lang w:eastAsia="en-US"/>
              </w:rPr>
            </w:pPr>
            <w:r>
              <w:rPr>
                <w:sz w:val="24"/>
                <w:szCs w:val="24"/>
                <w:lang w:eastAsia="en-US"/>
              </w:rPr>
            </w:r>
            <w:r>
              <w:rPr>
                <w:sz w:val="24"/>
                <w:szCs w:val="24"/>
                <w:lang w:eastAsia="en-US"/>
              </w:rPr>
            </w:r>
            <w:r>
              <w:rPr>
                <w:sz w:val="24"/>
                <w:szCs w:val="24"/>
                <w:lang w:eastAsia="en-US"/>
              </w:rPr>
            </w:r>
          </w:p>
        </w:tc>
        <w:tc>
          <w:tcPr>
            <w:tcW w:w="1233" w:type="pct"/>
            <w:textDirection w:val="lrTb"/>
            <w:noWrap w:val="false"/>
          </w:tcPr>
          <w:p>
            <w:pPr>
              <w:jc w:val="center"/>
              <w:rPr>
                <w:sz w:val="24"/>
                <w:szCs w:val="24"/>
              </w:rPr>
            </w:pPr>
            <w:r>
              <w:rPr>
                <w:sz w:val="24"/>
                <w:szCs w:val="24"/>
              </w:rPr>
              <w:t xml:space="preserve">Сети горячего водоснабжения  от котельной № 4/152.</w:t>
            </w:r>
            <w:r>
              <w:rPr>
                <w:sz w:val="24"/>
                <w:szCs w:val="24"/>
              </w:rPr>
            </w:r>
            <w:r>
              <w:rPr>
                <w:sz w:val="24"/>
                <w:szCs w:val="24"/>
              </w:rPr>
            </w:r>
          </w:p>
        </w:tc>
        <w:tc>
          <w:tcPr>
            <w:tcW w:w="622" w:type="pct"/>
            <w:vAlign w:val="center"/>
            <w:textDirection w:val="lrTb"/>
            <w:noWrap w:val="false"/>
          </w:tcPr>
          <w:p>
            <w:pPr>
              <w:jc w:val="center"/>
              <w:rPr>
                <w:sz w:val="24"/>
                <w:szCs w:val="24"/>
              </w:rPr>
            </w:pPr>
            <w:r>
              <w:rPr>
                <w:sz w:val="24"/>
                <w:szCs w:val="24"/>
              </w:rPr>
              <w:t xml:space="preserve">1983 г.</w:t>
            </w:r>
            <w:r>
              <w:rPr>
                <w:sz w:val="24"/>
                <w:szCs w:val="24"/>
              </w:rPr>
            </w:r>
            <w:r>
              <w:rPr>
                <w:sz w:val="24"/>
                <w:szCs w:val="24"/>
              </w:rPr>
            </w:r>
          </w:p>
        </w:tc>
        <w:tc>
          <w:tcPr>
            <w:tcW w:w="922" w:type="pct"/>
            <w:vAlign w:val="center"/>
            <w:textDirection w:val="lrTb"/>
            <w:noWrap w:val="false"/>
          </w:tcPr>
          <w:p>
            <w:pPr>
              <w:jc w:val="center"/>
              <w:rPr>
                <w:sz w:val="24"/>
                <w:szCs w:val="24"/>
              </w:rPr>
            </w:pPr>
            <w:r>
              <w:rPr>
                <w:sz w:val="24"/>
                <w:szCs w:val="24"/>
              </w:rPr>
              <w:t xml:space="preserve">1 406 186,60</w:t>
            </w:r>
            <w:r>
              <w:rPr>
                <w:sz w:val="24"/>
                <w:szCs w:val="24"/>
              </w:rPr>
            </w:r>
            <w:r>
              <w:rPr>
                <w:sz w:val="24"/>
                <w:szCs w:val="24"/>
              </w:rPr>
            </w:r>
          </w:p>
        </w:tc>
        <w:tc>
          <w:tcPr>
            <w:tcW w:w="867" w:type="pct"/>
            <w:vAlign w:val="center"/>
            <w:textDirection w:val="lrTb"/>
            <w:noWrap w:val="false"/>
          </w:tcPr>
          <w:p>
            <w:pPr>
              <w:jc w:val="center"/>
              <w:rPr>
                <w:sz w:val="24"/>
                <w:szCs w:val="24"/>
              </w:rPr>
            </w:pPr>
            <w:r>
              <w:rPr>
                <w:sz w:val="24"/>
                <w:szCs w:val="24"/>
              </w:rPr>
              <w:t xml:space="preserve">1 406 186,60</w:t>
            </w:r>
            <w:r>
              <w:rPr>
                <w:sz w:val="24"/>
                <w:szCs w:val="24"/>
              </w:rPr>
            </w:r>
            <w:r>
              <w:rPr>
                <w:sz w:val="24"/>
                <w:szCs w:val="24"/>
              </w:rPr>
            </w:r>
          </w:p>
        </w:tc>
        <w:tc>
          <w:tcPr>
            <w:tcW w:w="1077" w:type="pct"/>
            <w:vAlign w:val="center"/>
            <w:textDirection w:val="lrTb"/>
            <w:noWrap w:val="false"/>
          </w:tcPr>
          <w:p>
            <w:pPr>
              <w:jc w:val="center"/>
              <w:rPr>
                <w:sz w:val="24"/>
                <w:szCs w:val="24"/>
              </w:rPr>
            </w:pPr>
            <w:r>
              <w:rPr>
                <w:sz w:val="24"/>
                <w:szCs w:val="24"/>
              </w:rPr>
              <w:t xml:space="preserve">удовлетворительное</w:t>
            </w:r>
            <w:r>
              <w:rPr>
                <w:sz w:val="24"/>
                <w:szCs w:val="24"/>
              </w:rPr>
            </w:r>
            <w:r>
              <w:rPr>
                <w:sz w:val="24"/>
                <w:szCs w:val="24"/>
              </w:rPr>
            </w:r>
          </w:p>
        </w:tc>
      </w:tr>
      <w:tr>
        <w:tblPrEx/>
        <w:trPr>
          <w:trHeight w:val="615"/>
        </w:trPr>
        <w:tc>
          <w:tcPr>
            <w:tcW w:w="279" w:type="pct"/>
            <w:textDirection w:val="lrTb"/>
            <w:noWrap w:val="false"/>
          </w:tcPr>
          <w:p>
            <w:pPr>
              <w:ind w:left="1080"/>
              <w:jc w:val="center"/>
              <w:rPr>
                <w:sz w:val="24"/>
                <w:szCs w:val="24"/>
                <w:lang w:eastAsia="en-US"/>
              </w:rPr>
            </w:pPr>
            <w:r>
              <w:rPr>
                <w:sz w:val="24"/>
                <w:szCs w:val="24"/>
                <w:lang w:eastAsia="en-US"/>
              </w:rPr>
            </w:r>
            <w:r>
              <w:rPr>
                <w:sz w:val="24"/>
                <w:szCs w:val="24"/>
                <w:lang w:eastAsia="en-US"/>
              </w:rPr>
            </w:r>
            <w:r>
              <w:rPr>
                <w:sz w:val="24"/>
                <w:szCs w:val="24"/>
                <w:lang w:eastAsia="en-US"/>
              </w:rPr>
            </w:r>
          </w:p>
        </w:tc>
        <w:tc>
          <w:tcPr>
            <w:tcW w:w="1233" w:type="pct"/>
            <w:textDirection w:val="lrTb"/>
            <w:noWrap w:val="false"/>
          </w:tcPr>
          <w:p>
            <w:pPr>
              <w:jc w:val="center"/>
              <w:rPr>
                <w:sz w:val="24"/>
                <w:szCs w:val="24"/>
              </w:rPr>
            </w:pPr>
            <w:r>
              <w:rPr>
                <w:sz w:val="24"/>
                <w:szCs w:val="24"/>
              </w:rPr>
              <w:t xml:space="preserve">Здание (нежилое здание, котельная № 42/138).</w:t>
            </w:r>
            <w:r>
              <w:rPr>
                <w:sz w:val="24"/>
                <w:szCs w:val="24"/>
              </w:rPr>
            </w:r>
            <w:r>
              <w:rPr>
                <w:sz w:val="24"/>
                <w:szCs w:val="24"/>
              </w:rPr>
            </w:r>
          </w:p>
        </w:tc>
        <w:tc>
          <w:tcPr>
            <w:tcW w:w="622" w:type="pct"/>
            <w:vAlign w:val="center"/>
            <w:textDirection w:val="lrTb"/>
            <w:noWrap w:val="false"/>
          </w:tcPr>
          <w:p>
            <w:pPr>
              <w:jc w:val="center"/>
              <w:rPr>
                <w:sz w:val="24"/>
                <w:szCs w:val="24"/>
              </w:rPr>
            </w:pPr>
            <w:r>
              <w:rPr>
                <w:sz w:val="24"/>
                <w:szCs w:val="24"/>
              </w:rPr>
              <w:t xml:space="preserve">2009 г.</w:t>
            </w:r>
            <w:r>
              <w:rPr>
                <w:sz w:val="24"/>
                <w:szCs w:val="24"/>
              </w:rPr>
            </w:r>
            <w:r>
              <w:rPr>
                <w:sz w:val="24"/>
                <w:szCs w:val="24"/>
              </w:rPr>
            </w:r>
          </w:p>
        </w:tc>
        <w:tc>
          <w:tcPr>
            <w:tcW w:w="922" w:type="pct"/>
            <w:vAlign w:val="center"/>
            <w:textDirection w:val="lrTb"/>
            <w:noWrap w:val="false"/>
          </w:tcPr>
          <w:p>
            <w:pPr>
              <w:jc w:val="center"/>
              <w:rPr>
                <w:sz w:val="24"/>
                <w:szCs w:val="24"/>
              </w:rPr>
            </w:pPr>
            <w:r>
              <w:rPr>
                <w:sz w:val="24"/>
                <w:szCs w:val="24"/>
              </w:rPr>
              <w:t xml:space="preserve">4 579 787,52</w:t>
            </w:r>
            <w:r>
              <w:rPr>
                <w:sz w:val="24"/>
                <w:szCs w:val="24"/>
              </w:rPr>
            </w:r>
            <w:r>
              <w:rPr>
                <w:sz w:val="24"/>
                <w:szCs w:val="24"/>
              </w:rPr>
            </w:r>
          </w:p>
        </w:tc>
        <w:tc>
          <w:tcPr>
            <w:tcW w:w="867" w:type="pct"/>
            <w:vAlign w:val="center"/>
            <w:textDirection w:val="lrTb"/>
            <w:noWrap w:val="false"/>
          </w:tcPr>
          <w:p>
            <w:pPr>
              <w:jc w:val="center"/>
              <w:rPr>
                <w:sz w:val="24"/>
                <w:szCs w:val="24"/>
              </w:rPr>
            </w:pPr>
            <w:r>
              <w:rPr>
                <w:sz w:val="24"/>
                <w:szCs w:val="24"/>
              </w:rPr>
              <w:t xml:space="preserve">4 579 787,52</w:t>
            </w:r>
            <w:r>
              <w:rPr>
                <w:sz w:val="24"/>
                <w:szCs w:val="24"/>
              </w:rPr>
            </w:r>
            <w:r>
              <w:rPr>
                <w:sz w:val="24"/>
                <w:szCs w:val="24"/>
              </w:rPr>
            </w:r>
          </w:p>
        </w:tc>
        <w:tc>
          <w:tcPr>
            <w:tcW w:w="1077" w:type="pct"/>
            <w:vAlign w:val="center"/>
            <w:textDirection w:val="lrTb"/>
            <w:noWrap w:val="false"/>
          </w:tcPr>
          <w:p>
            <w:pPr>
              <w:jc w:val="center"/>
              <w:rPr>
                <w:sz w:val="24"/>
                <w:szCs w:val="24"/>
              </w:rPr>
            </w:pPr>
            <w:r>
              <w:rPr>
                <w:sz w:val="24"/>
                <w:szCs w:val="24"/>
              </w:rPr>
              <w:t xml:space="preserve">удовлетворительное</w:t>
            </w:r>
            <w:r>
              <w:rPr>
                <w:sz w:val="24"/>
                <w:szCs w:val="24"/>
              </w:rPr>
            </w:r>
            <w:r>
              <w:rPr>
                <w:sz w:val="24"/>
                <w:szCs w:val="24"/>
              </w:rPr>
            </w:r>
          </w:p>
        </w:tc>
      </w:tr>
      <w:tr>
        <w:tblPrEx/>
        <w:trPr>
          <w:trHeight w:val="615"/>
        </w:trPr>
        <w:tc>
          <w:tcPr>
            <w:tcW w:w="279" w:type="pct"/>
            <w:textDirection w:val="lrTb"/>
            <w:noWrap w:val="false"/>
          </w:tcPr>
          <w:p>
            <w:pPr>
              <w:ind w:left="1080"/>
              <w:jc w:val="center"/>
              <w:rPr>
                <w:sz w:val="24"/>
                <w:szCs w:val="24"/>
                <w:lang w:eastAsia="en-US"/>
              </w:rPr>
            </w:pPr>
            <w:r>
              <w:rPr>
                <w:sz w:val="24"/>
                <w:szCs w:val="24"/>
                <w:lang w:eastAsia="en-US"/>
              </w:rPr>
            </w:r>
            <w:r>
              <w:rPr>
                <w:sz w:val="24"/>
                <w:szCs w:val="24"/>
                <w:lang w:eastAsia="en-US"/>
              </w:rPr>
            </w:r>
            <w:r>
              <w:rPr>
                <w:sz w:val="24"/>
                <w:szCs w:val="24"/>
                <w:lang w:eastAsia="en-US"/>
              </w:rPr>
            </w:r>
          </w:p>
        </w:tc>
        <w:tc>
          <w:tcPr>
            <w:tcW w:w="1233" w:type="pct"/>
            <w:textDirection w:val="lrTb"/>
            <w:noWrap w:val="false"/>
          </w:tcPr>
          <w:p>
            <w:pPr>
              <w:jc w:val="center"/>
              <w:rPr>
                <w:sz w:val="24"/>
                <w:szCs w:val="24"/>
              </w:rPr>
            </w:pPr>
            <w:r>
              <w:rPr>
                <w:sz w:val="24"/>
                <w:szCs w:val="24"/>
              </w:rPr>
              <w:t xml:space="preserve">Тепловая трасса военного городка № 42.</w:t>
            </w:r>
            <w:r>
              <w:rPr>
                <w:sz w:val="24"/>
                <w:szCs w:val="24"/>
              </w:rPr>
            </w:r>
            <w:r>
              <w:rPr>
                <w:sz w:val="24"/>
                <w:szCs w:val="24"/>
              </w:rPr>
            </w:r>
          </w:p>
        </w:tc>
        <w:tc>
          <w:tcPr>
            <w:tcW w:w="622" w:type="pct"/>
            <w:vAlign w:val="center"/>
            <w:textDirection w:val="lrTb"/>
            <w:noWrap w:val="false"/>
          </w:tcPr>
          <w:p>
            <w:pPr>
              <w:jc w:val="center"/>
              <w:rPr>
                <w:sz w:val="24"/>
                <w:szCs w:val="24"/>
              </w:rPr>
            </w:pPr>
            <w:r>
              <w:rPr>
                <w:sz w:val="24"/>
                <w:szCs w:val="24"/>
              </w:rPr>
              <w:t xml:space="preserve">1981 г.</w:t>
            </w:r>
            <w:r>
              <w:rPr>
                <w:sz w:val="24"/>
                <w:szCs w:val="24"/>
              </w:rPr>
            </w:r>
            <w:r>
              <w:rPr>
                <w:sz w:val="24"/>
                <w:szCs w:val="24"/>
              </w:rPr>
            </w:r>
          </w:p>
        </w:tc>
        <w:tc>
          <w:tcPr>
            <w:tcW w:w="922" w:type="pct"/>
            <w:vAlign w:val="center"/>
            <w:textDirection w:val="lrTb"/>
            <w:noWrap w:val="false"/>
          </w:tcPr>
          <w:p>
            <w:pPr>
              <w:jc w:val="center"/>
              <w:rPr>
                <w:sz w:val="24"/>
                <w:szCs w:val="24"/>
              </w:rPr>
            </w:pPr>
            <w:r>
              <w:rPr>
                <w:sz w:val="24"/>
                <w:szCs w:val="24"/>
              </w:rPr>
              <w:t xml:space="preserve">6 442 256,16</w:t>
            </w:r>
            <w:r>
              <w:rPr>
                <w:sz w:val="24"/>
                <w:szCs w:val="24"/>
              </w:rPr>
            </w:r>
            <w:r>
              <w:rPr>
                <w:sz w:val="24"/>
                <w:szCs w:val="24"/>
              </w:rPr>
            </w:r>
          </w:p>
        </w:tc>
        <w:tc>
          <w:tcPr>
            <w:tcW w:w="867" w:type="pct"/>
            <w:vAlign w:val="center"/>
            <w:textDirection w:val="lrTb"/>
            <w:noWrap w:val="false"/>
          </w:tcPr>
          <w:p>
            <w:pPr>
              <w:jc w:val="center"/>
              <w:rPr>
                <w:sz w:val="24"/>
                <w:szCs w:val="24"/>
              </w:rPr>
            </w:pPr>
            <w:r>
              <w:rPr>
                <w:sz w:val="24"/>
                <w:szCs w:val="24"/>
              </w:rPr>
              <w:t xml:space="preserve">6 442 256,16</w:t>
            </w:r>
            <w:r>
              <w:rPr>
                <w:sz w:val="24"/>
                <w:szCs w:val="24"/>
              </w:rPr>
            </w:r>
            <w:r>
              <w:rPr>
                <w:sz w:val="24"/>
                <w:szCs w:val="24"/>
              </w:rPr>
            </w:r>
          </w:p>
        </w:tc>
        <w:tc>
          <w:tcPr>
            <w:tcW w:w="1077" w:type="pct"/>
            <w:vAlign w:val="center"/>
            <w:textDirection w:val="lrTb"/>
            <w:noWrap w:val="false"/>
          </w:tcPr>
          <w:p>
            <w:pPr>
              <w:jc w:val="center"/>
              <w:rPr>
                <w:sz w:val="24"/>
                <w:szCs w:val="24"/>
              </w:rPr>
            </w:pPr>
            <w:r>
              <w:rPr>
                <w:sz w:val="24"/>
                <w:szCs w:val="24"/>
              </w:rPr>
              <w:t xml:space="preserve">удовлетворительное</w:t>
            </w:r>
            <w:r>
              <w:rPr>
                <w:sz w:val="24"/>
                <w:szCs w:val="24"/>
              </w:rPr>
            </w:r>
            <w:r>
              <w:rPr>
                <w:sz w:val="24"/>
                <w:szCs w:val="24"/>
              </w:rPr>
            </w:r>
          </w:p>
        </w:tc>
      </w:tr>
      <w:tr>
        <w:tblPrEx/>
        <w:trPr>
          <w:trHeight w:val="615"/>
        </w:trPr>
        <w:tc>
          <w:tcPr>
            <w:tcW w:w="279" w:type="pct"/>
            <w:textDirection w:val="lrTb"/>
            <w:noWrap w:val="false"/>
          </w:tcPr>
          <w:p>
            <w:pPr>
              <w:ind w:left="1080"/>
              <w:jc w:val="center"/>
              <w:rPr>
                <w:sz w:val="24"/>
                <w:szCs w:val="24"/>
                <w:lang w:eastAsia="en-US"/>
              </w:rPr>
            </w:pPr>
            <w:r>
              <w:rPr>
                <w:sz w:val="24"/>
                <w:szCs w:val="24"/>
                <w:lang w:eastAsia="en-US"/>
              </w:rPr>
            </w:r>
            <w:r>
              <w:rPr>
                <w:sz w:val="24"/>
                <w:szCs w:val="24"/>
                <w:lang w:eastAsia="en-US"/>
              </w:rPr>
            </w:r>
            <w:r>
              <w:rPr>
                <w:sz w:val="24"/>
                <w:szCs w:val="24"/>
                <w:lang w:eastAsia="en-US"/>
              </w:rPr>
            </w:r>
          </w:p>
        </w:tc>
        <w:tc>
          <w:tcPr>
            <w:tcW w:w="1233" w:type="pct"/>
            <w:textDirection w:val="lrTb"/>
            <w:noWrap w:val="false"/>
          </w:tcPr>
          <w:p>
            <w:pPr>
              <w:jc w:val="center"/>
              <w:rPr>
                <w:sz w:val="24"/>
                <w:szCs w:val="24"/>
              </w:rPr>
            </w:pPr>
            <w:r>
              <w:rPr>
                <w:sz w:val="24"/>
                <w:szCs w:val="24"/>
              </w:rPr>
              <w:t xml:space="preserve">Сети водопровода от  котельной военного городка № 42.</w:t>
            </w:r>
            <w:r>
              <w:rPr>
                <w:sz w:val="24"/>
                <w:szCs w:val="24"/>
              </w:rPr>
            </w:r>
            <w:r>
              <w:rPr>
                <w:sz w:val="24"/>
                <w:szCs w:val="24"/>
              </w:rPr>
            </w:r>
          </w:p>
        </w:tc>
        <w:tc>
          <w:tcPr>
            <w:tcW w:w="622" w:type="pct"/>
            <w:vAlign w:val="center"/>
            <w:textDirection w:val="lrTb"/>
            <w:noWrap w:val="false"/>
          </w:tcPr>
          <w:p>
            <w:pPr>
              <w:jc w:val="center"/>
              <w:rPr>
                <w:sz w:val="24"/>
                <w:szCs w:val="24"/>
              </w:rPr>
            </w:pPr>
            <w:r>
              <w:rPr>
                <w:sz w:val="24"/>
                <w:szCs w:val="24"/>
              </w:rPr>
              <w:t xml:space="preserve">1981 г.</w:t>
            </w:r>
            <w:r>
              <w:rPr>
                <w:sz w:val="24"/>
                <w:szCs w:val="24"/>
              </w:rPr>
            </w:r>
            <w:r>
              <w:rPr>
                <w:sz w:val="24"/>
                <w:szCs w:val="24"/>
              </w:rPr>
            </w:r>
          </w:p>
        </w:tc>
        <w:tc>
          <w:tcPr>
            <w:tcW w:w="922" w:type="pct"/>
            <w:vAlign w:val="center"/>
            <w:textDirection w:val="lrTb"/>
            <w:noWrap w:val="false"/>
          </w:tcPr>
          <w:p>
            <w:pPr>
              <w:jc w:val="center"/>
              <w:rPr>
                <w:sz w:val="24"/>
                <w:szCs w:val="24"/>
              </w:rPr>
            </w:pPr>
            <w:r>
              <w:rPr>
                <w:sz w:val="24"/>
                <w:szCs w:val="24"/>
              </w:rPr>
              <w:t xml:space="preserve">2 516 860,35</w:t>
            </w:r>
            <w:r>
              <w:rPr>
                <w:sz w:val="24"/>
                <w:szCs w:val="24"/>
              </w:rPr>
            </w:r>
            <w:r>
              <w:rPr>
                <w:sz w:val="24"/>
                <w:szCs w:val="24"/>
              </w:rPr>
            </w:r>
          </w:p>
        </w:tc>
        <w:tc>
          <w:tcPr>
            <w:tcW w:w="867" w:type="pct"/>
            <w:vAlign w:val="center"/>
            <w:textDirection w:val="lrTb"/>
            <w:noWrap w:val="false"/>
          </w:tcPr>
          <w:p>
            <w:pPr>
              <w:jc w:val="center"/>
              <w:rPr>
                <w:sz w:val="24"/>
                <w:szCs w:val="24"/>
              </w:rPr>
            </w:pPr>
            <w:r>
              <w:rPr>
                <w:sz w:val="24"/>
                <w:szCs w:val="24"/>
              </w:rPr>
              <w:t xml:space="preserve">2 516 860,35</w:t>
            </w:r>
            <w:r>
              <w:rPr>
                <w:sz w:val="24"/>
                <w:szCs w:val="24"/>
              </w:rPr>
            </w:r>
            <w:r>
              <w:rPr>
                <w:sz w:val="24"/>
                <w:szCs w:val="24"/>
              </w:rPr>
            </w:r>
          </w:p>
        </w:tc>
        <w:tc>
          <w:tcPr>
            <w:tcW w:w="1077" w:type="pct"/>
            <w:vAlign w:val="center"/>
            <w:textDirection w:val="lrTb"/>
            <w:noWrap w:val="false"/>
          </w:tcPr>
          <w:p>
            <w:pPr>
              <w:jc w:val="center"/>
              <w:rPr>
                <w:sz w:val="24"/>
                <w:szCs w:val="24"/>
              </w:rPr>
            </w:pPr>
            <w:r>
              <w:rPr>
                <w:sz w:val="24"/>
                <w:szCs w:val="24"/>
              </w:rPr>
              <w:t xml:space="preserve">удовлетворительное</w:t>
            </w:r>
            <w:r>
              <w:rPr>
                <w:sz w:val="24"/>
                <w:szCs w:val="24"/>
              </w:rPr>
            </w:r>
            <w:r>
              <w:rPr>
                <w:sz w:val="24"/>
                <w:szCs w:val="24"/>
              </w:rPr>
            </w:r>
          </w:p>
        </w:tc>
      </w:tr>
    </w:tbl>
    <w:p>
      <w:pPr>
        <w:ind w:firstLine="680"/>
        <w:jc w:val="both"/>
        <w:rPr>
          <w:sz w:val="24"/>
          <w:szCs w:val="24"/>
        </w:rPr>
      </w:pPr>
      <w:r>
        <w:rPr>
          <w:sz w:val="24"/>
          <w:szCs w:val="24"/>
        </w:rPr>
      </w:r>
      <w:r>
        <w:rPr>
          <w:sz w:val="24"/>
          <w:szCs w:val="24"/>
        </w:rPr>
      </w:r>
      <w:r>
        <w:rPr>
          <w:sz w:val="24"/>
          <w:szCs w:val="24"/>
        </w:rPr>
      </w:r>
    </w:p>
    <w:p>
      <w:pPr>
        <w:ind w:firstLine="680"/>
        <w:jc w:val="both"/>
        <w:rPr>
          <w:sz w:val="24"/>
          <w:szCs w:val="24"/>
        </w:rPr>
      </w:pPr>
      <w:r>
        <w:rPr>
          <w:sz w:val="24"/>
          <w:szCs w:val="24"/>
        </w:rPr>
        <w:t xml:space="preserve">Настоящий Акт составлен в двух экземплярах, по одному для Концессионера и Концедента.</w:t>
      </w:r>
      <w:r>
        <w:rPr>
          <w:sz w:val="24"/>
          <w:szCs w:val="24"/>
        </w:rPr>
      </w:r>
      <w:r>
        <w:rPr>
          <w:sz w:val="24"/>
          <w:szCs w:val="24"/>
        </w:rPr>
      </w:r>
    </w:p>
    <w:p>
      <w:pPr>
        <w:ind w:firstLine="680"/>
        <w:jc w:val="both"/>
        <w:rPr>
          <w:sz w:val="24"/>
          <w:szCs w:val="24"/>
        </w:rPr>
      </w:pPr>
      <w:r>
        <w:rPr>
          <w:sz w:val="24"/>
          <w:szCs w:val="24"/>
        </w:rPr>
      </w:r>
      <w:r>
        <w:rPr>
          <w:sz w:val="24"/>
          <w:szCs w:val="24"/>
        </w:rPr>
      </w:r>
      <w:r>
        <w:rPr>
          <w:sz w:val="24"/>
          <w:szCs w:val="24"/>
        </w:rPr>
      </w:r>
    </w:p>
    <w:p>
      <w:pPr>
        <w:ind w:firstLine="680"/>
        <w:jc w:val="both"/>
        <w:rPr>
          <w:sz w:val="24"/>
          <w:szCs w:val="24"/>
        </w:rPr>
      </w:pPr>
      <w:r>
        <w:rPr>
          <w:sz w:val="24"/>
          <w:szCs w:val="24"/>
        </w:rPr>
      </w:r>
      <w:r>
        <w:rPr>
          <w:sz w:val="24"/>
          <w:szCs w:val="24"/>
        </w:rPr>
      </w:r>
      <w:r>
        <w:rPr>
          <w:sz w:val="24"/>
          <w:szCs w:val="24"/>
        </w:rPr>
      </w:r>
    </w:p>
    <w:tbl>
      <w:tblPr>
        <w:tblStyle w:val="937"/>
        <w:tblW w:w="5000" w:type="pc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190"/>
        <w:gridCol w:w="3190"/>
        <w:gridCol w:w="3190"/>
      </w:tblGrid>
      <w:tr>
        <w:tblPrEx/>
        <w:trPr/>
        <w:tc>
          <w:tcPr>
            <w:tcW w:w="1667" w:type="pct"/>
            <w:textDirection w:val="lrTb"/>
            <w:noWrap w:val="false"/>
          </w:tcPr>
          <w:p>
            <w:pPr>
              <w:jc w:val="both"/>
              <w:rPr>
                <w:b/>
                <w:sz w:val="24"/>
                <w:szCs w:val="24"/>
              </w:rPr>
            </w:pPr>
            <w:r>
              <w:rPr>
                <w:b/>
                <w:sz w:val="24"/>
                <w:szCs w:val="24"/>
              </w:rPr>
              <w:t xml:space="preserve">Концедент</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Концессионер</w:t>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t xml:space="preserve">Субъект</w:t>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t xml:space="preserve">Муниципальное образование Печенгский муниципальный округ Мурманской области</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Общество с ограниченной ответственностью «ПромВоенСтрой»</w:t>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t xml:space="preserve">Мурманская область</w:t>
            </w:r>
            <w:r>
              <w:rPr>
                <w:b/>
                <w:sz w:val="24"/>
                <w:szCs w:val="24"/>
              </w:rPr>
            </w:r>
            <w:r>
              <w:rPr>
                <w:b/>
                <w:sz w:val="24"/>
                <w:szCs w:val="24"/>
              </w:rPr>
            </w:r>
          </w:p>
          <w:p>
            <w:pPr>
              <w:jc w:val="both"/>
              <w:rPr>
                <w:b/>
                <w:sz w:val="24"/>
                <w:szCs w:val="24"/>
              </w:rPr>
            </w:pPr>
            <w:r>
              <w:rPr>
                <w:b/>
                <w:sz w:val="24"/>
                <w:szCs w:val="24"/>
              </w:rPr>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t xml:space="preserve">Глава округа</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Генеральный директор</w:t>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t xml:space="preserve">Губернатор</w:t>
            </w:r>
            <w:r>
              <w:rPr>
                <w:b/>
                <w:sz w:val="24"/>
                <w:szCs w:val="24"/>
              </w:rPr>
            </w:r>
            <w:r>
              <w:rPr>
                <w:b/>
                <w:sz w:val="24"/>
                <w:szCs w:val="24"/>
              </w:rPr>
            </w:r>
          </w:p>
        </w:tc>
      </w:tr>
      <w:tr>
        <w:tblPrEx/>
        <w:trPr>
          <w:trHeight w:val="567"/>
        </w:trPr>
        <w:tc>
          <w:tcPr>
            <w:tcW w:w="1667" w:type="pct"/>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c>
          <w:tcPr>
            <w:tcW w:w="1667" w:type="pct"/>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c>
          <w:tcPr>
            <w:tcW w:w="1666" w:type="pct"/>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r>
      <w:tr>
        <w:tblPrEx/>
        <w:trPr/>
        <w:tc>
          <w:tcPr>
            <w:tcW w:w="1667" w:type="pct"/>
            <w:textDirection w:val="lrTb"/>
            <w:noWrap w:val="false"/>
          </w:tcPr>
          <w:p>
            <w:pPr>
              <w:jc w:val="both"/>
              <w:rPr>
                <w:b/>
                <w:sz w:val="24"/>
                <w:szCs w:val="24"/>
              </w:rPr>
            </w:pPr>
            <w:r>
              <w:rPr>
                <w:sz w:val="24"/>
                <w:szCs w:val="24"/>
              </w:rPr>
              <w:t xml:space="preserve">МП      /Кузнецов А.В../</w:t>
            </w:r>
            <w:r>
              <w:rPr>
                <w:b/>
                <w:sz w:val="24"/>
                <w:szCs w:val="24"/>
              </w:rPr>
            </w:r>
            <w:r>
              <w:rPr>
                <w:b/>
                <w:sz w:val="24"/>
                <w:szCs w:val="24"/>
              </w:rPr>
            </w:r>
          </w:p>
        </w:tc>
        <w:tc>
          <w:tcPr>
            <w:tcW w:w="1667" w:type="pct"/>
            <w:textDirection w:val="lrTb"/>
            <w:noWrap w:val="false"/>
          </w:tcPr>
          <w:p>
            <w:pPr>
              <w:jc w:val="both"/>
              <w:rPr>
                <w:b/>
                <w:sz w:val="24"/>
                <w:szCs w:val="24"/>
              </w:rPr>
            </w:pPr>
            <w:r>
              <w:rPr>
                <w:sz w:val="24"/>
                <w:szCs w:val="24"/>
              </w:rPr>
              <w:t xml:space="preserve">МП       /Аршакян А.Р./</w:t>
            </w:r>
            <w:r>
              <w:rPr>
                <w:b/>
                <w:sz w:val="24"/>
                <w:szCs w:val="24"/>
              </w:rPr>
            </w:r>
            <w:r>
              <w:rPr>
                <w:b/>
                <w:sz w:val="24"/>
                <w:szCs w:val="24"/>
              </w:rPr>
            </w:r>
          </w:p>
        </w:tc>
        <w:tc>
          <w:tcPr>
            <w:tcW w:w="1666" w:type="pct"/>
            <w:textDirection w:val="lrTb"/>
            <w:noWrap w:val="false"/>
          </w:tcPr>
          <w:p>
            <w:pPr>
              <w:jc w:val="both"/>
              <w:rPr>
                <w:b/>
                <w:sz w:val="24"/>
                <w:szCs w:val="24"/>
              </w:rPr>
            </w:pPr>
            <w:r>
              <w:rPr>
                <w:sz w:val="24"/>
                <w:szCs w:val="24"/>
              </w:rPr>
              <w:t xml:space="preserve">МП         /Чибис А.В./</w:t>
            </w:r>
            <w:r>
              <w:rPr>
                <w:b/>
                <w:sz w:val="24"/>
                <w:szCs w:val="24"/>
              </w:rPr>
            </w:r>
            <w:r>
              <w:rPr>
                <w:b/>
                <w:sz w:val="24"/>
                <w:szCs w:val="24"/>
              </w:rPr>
            </w:r>
          </w:p>
        </w:tc>
      </w:tr>
      <w:tr>
        <w:tblPrEx/>
        <w:trPr/>
        <w:tc>
          <w:tcPr>
            <w:tcW w:w="1667" w:type="pct"/>
            <w:textDirection w:val="lrTb"/>
            <w:noWrap w:val="false"/>
          </w:tcPr>
          <w:p>
            <w:pPr>
              <w:jc w:val="both"/>
              <w:rPr>
                <w:b/>
                <w:sz w:val="24"/>
                <w:szCs w:val="24"/>
              </w:rPr>
            </w:pPr>
            <w:r>
              <w:rPr>
                <w:sz w:val="24"/>
                <w:szCs w:val="24"/>
              </w:rPr>
              <w:t xml:space="preserve">«___»____________ 20__ г.</w:t>
            </w:r>
            <w:r>
              <w:rPr>
                <w:b/>
                <w:sz w:val="24"/>
                <w:szCs w:val="24"/>
              </w:rPr>
            </w:r>
            <w:r>
              <w:rPr>
                <w:b/>
                <w:sz w:val="24"/>
                <w:szCs w:val="24"/>
              </w:rPr>
            </w:r>
          </w:p>
        </w:tc>
        <w:tc>
          <w:tcPr>
            <w:tcW w:w="1667" w:type="pct"/>
            <w:textDirection w:val="lrTb"/>
            <w:noWrap w:val="false"/>
          </w:tcPr>
          <w:p>
            <w:pPr>
              <w:jc w:val="both"/>
              <w:rPr>
                <w:sz w:val="24"/>
                <w:szCs w:val="24"/>
              </w:rPr>
            </w:pPr>
            <w:r>
              <w:rPr>
                <w:sz w:val="24"/>
                <w:szCs w:val="24"/>
              </w:rPr>
              <w:t xml:space="preserve">«___»____________ 20__ г.</w:t>
            </w:r>
            <w:r>
              <w:rPr>
                <w:sz w:val="24"/>
                <w:szCs w:val="24"/>
              </w:rPr>
            </w:r>
            <w:r>
              <w:rPr>
                <w:sz w:val="24"/>
                <w:szCs w:val="24"/>
              </w:rPr>
            </w:r>
          </w:p>
        </w:tc>
        <w:tc>
          <w:tcPr>
            <w:tcW w:w="1666" w:type="pct"/>
            <w:textDirection w:val="lrTb"/>
            <w:noWrap w:val="false"/>
          </w:tcPr>
          <w:p>
            <w:pPr>
              <w:jc w:val="both"/>
              <w:rPr>
                <w:b/>
                <w:sz w:val="24"/>
                <w:szCs w:val="24"/>
              </w:rPr>
            </w:pPr>
            <w:r>
              <w:rPr>
                <w:sz w:val="24"/>
                <w:szCs w:val="24"/>
              </w:rPr>
              <w:t xml:space="preserve">«___»____________ 20__ г.</w:t>
            </w:r>
            <w:r>
              <w:rPr>
                <w:b/>
                <w:sz w:val="24"/>
                <w:szCs w:val="24"/>
              </w:rPr>
            </w:r>
            <w:r>
              <w:rPr>
                <w:b/>
                <w:sz w:val="24"/>
                <w:szCs w:val="24"/>
              </w:rPr>
            </w:r>
          </w:p>
        </w:tc>
      </w:tr>
    </w:tbl>
    <w:p>
      <w:pPr>
        <w:ind w:firstLine="680"/>
        <w:jc w:val="both"/>
        <w:rPr>
          <w:sz w:val="24"/>
          <w:szCs w:val="24"/>
        </w:rPr>
      </w:pPr>
      <w:r>
        <w:rPr>
          <w:sz w:val="24"/>
          <w:szCs w:val="24"/>
        </w:rPr>
      </w:r>
      <w:r>
        <w:rPr>
          <w:sz w:val="24"/>
          <w:szCs w:val="24"/>
        </w:rPr>
      </w:r>
      <w:r>
        <w:rPr>
          <w:sz w:val="24"/>
          <w:szCs w:val="24"/>
        </w:rPr>
      </w:r>
    </w:p>
    <w:p>
      <w:pPr>
        <w:shd w:val="nil" w:color="auto"/>
        <w:rPr>
          <w:sz w:val="24"/>
          <w:szCs w:val="24"/>
        </w:rPr>
      </w:pPr>
      <w:r>
        <w:rPr>
          <w:sz w:val="24"/>
          <w:szCs w:val="24"/>
        </w:rPr>
        <w:br w:type="page" w:clear="all"/>
      </w:r>
      <w:r>
        <w:rPr>
          <w:sz w:val="24"/>
          <w:szCs w:val="24"/>
        </w:rPr>
      </w:r>
      <w:r>
        <w:rPr>
          <w:sz w:val="24"/>
          <w:szCs w:val="24"/>
        </w:rPr>
      </w:r>
    </w:p>
    <w:p>
      <w:pPr>
        <w:ind w:left="5528" w:right="0" w:firstLine="0"/>
        <w:jc w:val="both"/>
        <w:rPr>
          <w:sz w:val="24"/>
          <w:szCs w:val="24"/>
        </w:rPr>
      </w:pPr>
      <w:r>
        <w:rPr>
          <w:sz w:val="24"/>
          <w:szCs w:val="24"/>
        </w:rPr>
        <w:t xml:space="preserve">Приложение № 12</w:t>
      </w:r>
      <w:r>
        <w:rPr>
          <w:sz w:val="24"/>
          <w:szCs w:val="24"/>
        </w:rPr>
      </w:r>
      <w:r>
        <w:rPr>
          <w:sz w:val="24"/>
          <w:szCs w:val="24"/>
        </w:rPr>
      </w:r>
    </w:p>
    <w:p>
      <w:pPr>
        <w:ind w:left="5528" w:right="0" w:firstLine="0"/>
        <w:jc w:val="both"/>
        <w:rPr>
          <w:sz w:val="24"/>
          <w:szCs w:val="24"/>
        </w:rPr>
      </w:pPr>
      <w:r>
        <w:rPr>
          <w:sz w:val="24"/>
          <w:szCs w:val="24"/>
        </w:rPr>
        <w:t xml:space="preserve">к Концессионному соглашению</w:t>
      </w:r>
      <w:r>
        <w:rPr>
          <w:sz w:val="24"/>
          <w:szCs w:val="24"/>
        </w:rPr>
      </w:r>
      <w:r>
        <w:rPr>
          <w:sz w:val="24"/>
          <w:szCs w:val="24"/>
        </w:rPr>
      </w:r>
    </w:p>
    <w:p>
      <w:pPr>
        <w:ind w:left="5528" w:right="0" w:firstLine="0"/>
        <w:jc w:val="both"/>
        <w:rPr>
          <w:sz w:val="24"/>
          <w:szCs w:val="24"/>
        </w:rPr>
      </w:pPr>
      <w:r>
        <w:rPr>
          <w:sz w:val="24"/>
          <w:szCs w:val="24"/>
        </w:rPr>
        <w:t xml:space="preserve">от «__»______ 2024 года №______</w:t>
      </w:r>
      <w:r>
        <w:rPr>
          <w:sz w:val="24"/>
          <w:szCs w:val="24"/>
        </w:rPr>
      </w:r>
      <w:r>
        <w:rPr>
          <w:sz w:val="24"/>
          <w:szCs w:val="24"/>
        </w:rPr>
      </w:r>
    </w:p>
    <w:p>
      <w:pPr>
        <w:ind w:firstLine="680"/>
        <w:jc w:val="both"/>
        <w:rPr>
          <w:sz w:val="24"/>
          <w:szCs w:val="24"/>
        </w:rPr>
      </w:pPr>
      <w:r>
        <w:rPr>
          <w:sz w:val="24"/>
          <w:szCs w:val="24"/>
        </w:rPr>
      </w:r>
      <w:r>
        <w:rPr>
          <w:sz w:val="24"/>
          <w:szCs w:val="24"/>
        </w:rPr>
      </w:r>
      <w:r>
        <w:rPr>
          <w:sz w:val="24"/>
          <w:szCs w:val="24"/>
        </w:rPr>
      </w:r>
    </w:p>
    <w:p>
      <w:pPr>
        <w:ind w:firstLine="680"/>
        <w:jc w:val="both"/>
        <w:rPr>
          <w:b/>
          <w:sz w:val="24"/>
          <w:szCs w:val="24"/>
        </w:rPr>
      </w:pPr>
      <w:r>
        <w:rPr>
          <w:b/>
          <w:sz w:val="24"/>
          <w:szCs w:val="24"/>
        </w:rPr>
      </w:r>
      <w:r>
        <w:rPr>
          <w:b/>
          <w:sz w:val="24"/>
          <w:szCs w:val="24"/>
        </w:rPr>
      </w:r>
      <w:r>
        <w:rPr>
          <w:b/>
          <w:sz w:val="24"/>
          <w:szCs w:val="24"/>
        </w:rPr>
      </w:r>
    </w:p>
    <w:p>
      <w:pPr>
        <w:ind w:firstLine="680"/>
        <w:jc w:val="center"/>
        <w:rPr>
          <w:b/>
          <w:sz w:val="24"/>
          <w:szCs w:val="24"/>
        </w:rPr>
      </w:pPr>
      <w:r>
        <w:rPr>
          <w:b/>
          <w:sz w:val="24"/>
          <w:szCs w:val="24"/>
        </w:rPr>
        <w:t xml:space="preserve">Копии документов, удостоверяющих право собственности Концедента в отношении объекта соглашения, передаваемых Концессионеру для исполнения обязательств по Соглашению</w:t>
      </w:r>
      <w:r>
        <w:rPr>
          <w:b/>
          <w:sz w:val="24"/>
          <w:szCs w:val="24"/>
        </w:rPr>
      </w:r>
      <w:r>
        <w:rPr>
          <w:b/>
          <w:sz w:val="24"/>
          <w:szCs w:val="24"/>
        </w:rPr>
      </w:r>
    </w:p>
    <w:p>
      <w:pPr>
        <w:ind w:firstLine="680"/>
        <w:jc w:val="both"/>
        <w:rPr>
          <w:sz w:val="24"/>
          <w:szCs w:val="24"/>
        </w:rPr>
      </w:pPr>
      <w:r>
        <w:rPr>
          <w:sz w:val="24"/>
          <w:szCs w:val="24"/>
        </w:rPr>
      </w:r>
      <w:r>
        <w:rPr>
          <w:sz w:val="24"/>
          <w:szCs w:val="24"/>
        </w:rPr>
      </w:r>
      <w:r>
        <w:rPr>
          <w:sz w:val="24"/>
          <w:szCs w:val="24"/>
        </w:rPr>
      </w:r>
    </w:p>
    <w:p>
      <w:pPr>
        <w:pStyle w:val="943"/>
        <w:numPr>
          <w:ilvl w:val="0"/>
          <w:numId w:val="17"/>
        </w:numPr>
        <w:contextualSpacing w:val="0"/>
        <w:ind w:left="0" w:firstLine="680"/>
        <w:jc w:val="both"/>
        <w:widowControl w:val="off"/>
        <w:rPr>
          <w:sz w:val="24"/>
          <w:szCs w:val="24"/>
          <w:lang w:val="ru-RU"/>
        </w:rPr>
      </w:pPr>
      <w:r>
        <w:rPr>
          <w:sz w:val="24"/>
          <w:szCs w:val="24"/>
          <w:lang w:val="ru-RU"/>
        </w:rPr>
        <w:t xml:space="preserve">Выписка от 16.04.2024 г. из Единого го</w:t>
      </w:r>
      <w:r>
        <w:rPr>
          <w:sz w:val="24"/>
          <w:szCs w:val="24"/>
          <w:lang w:val="ru-RU"/>
        </w:rPr>
        <w:t xml:space="preserve">сударственного реестра недвижимости об  основных характеристиках и зарегистрированных правах на объект недвижимости (котельная № 13/73 кадастровый номер 51:03:0000000:1404, регистрация права собственности № 51:03:0000000:1404-51/036/2021-8 от 31.05.2021 г.</w:t>
      </w:r>
      <w:r>
        <w:rPr>
          <w:sz w:val="24"/>
          <w:szCs w:val="24"/>
          <w:lang w:val="ru-RU"/>
        </w:rPr>
      </w:r>
      <w:r>
        <w:rPr>
          <w:sz w:val="24"/>
          <w:szCs w:val="24"/>
          <w:lang w:val="ru-RU"/>
        </w:rPr>
      </w:r>
    </w:p>
    <w:p>
      <w:pPr>
        <w:pStyle w:val="943"/>
        <w:ind w:left="680"/>
        <w:jc w:val="both"/>
        <w:rPr>
          <w:sz w:val="24"/>
          <w:szCs w:val="24"/>
          <w:lang w:val="ru-RU"/>
        </w:rPr>
      </w:pPr>
      <w:r>
        <w:rPr>
          <w:sz w:val="24"/>
          <w:szCs w:val="24"/>
          <w:lang w:val="ru-RU"/>
        </w:rPr>
      </w:r>
      <w:r>
        <w:rPr>
          <w:sz w:val="24"/>
          <w:szCs w:val="24"/>
          <w:lang w:val="ru-RU"/>
        </w:rPr>
      </w:r>
      <w:r>
        <w:rPr>
          <w:sz w:val="24"/>
          <w:szCs w:val="24"/>
          <w:lang w:val="ru-RU"/>
        </w:rPr>
      </w:r>
    </w:p>
    <w:p>
      <w:pPr>
        <w:pStyle w:val="943"/>
        <w:numPr>
          <w:ilvl w:val="0"/>
          <w:numId w:val="17"/>
        </w:numPr>
        <w:contextualSpacing w:val="0"/>
        <w:ind w:left="0" w:firstLine="680"/>
        <w:jc w:val="both"/>
        <w:widowControl w:val="off"/>
        <w:rPr>
          <w:sz w:val="24"/>
          <w:szCs w:val="24"/>
          <w:lang w:val="ru-RU"/>
        </w:rPr>
      </w:pPr>
      <w:r>
        <w:rPr>
          <w:sz w:val="24"/>
          <w:szCs w:val="24"/>
          <w:lang w:val="ru-RU"/>
        </w:rPr>
        <w:t xml:space="preserve">Выписка от 16.04.2024 г. из Единого государственного реестра недвижимости об  осн</w:t>
      </w:r>
      <w:r>
        <w:rPr>
          <w:sz w:val="24"/>
          <w:szCs w:val="24"/>
          <w:lang w:val="ru-RU"/>
        </w:rPr>
        <w:t xml:space="preserve">овных характеристиках и зарегистрированных правах на объект недвижимости (тепловая трасса от котельной № 13/73 военного городка № 13, кадастровый номер 51:03:0000000:3315), регистрация права собственности № 51:03:0000000:3315-51/028/2023-6 от 28.08.2023 г.</w:t>
      </w:r>
      <w:r>
        <w:rPr>
          <w:sz w:val="24"/>
          <w:szCs w:val="24"/>
          <w:lang w:val="ru-RU"/>
        </w:rPr>
      </w:r>
      <w:r>
        <w:rPr>
          <w:sz w:val="24"/>
          <w:szCs w:val="24"/>
          <w:lang w:val="ru-RU"/>
        </w:rPr>
      </w:r>
    </w:p>
    <w:p>
      <w:pPr>
        <w:pStyle w:val="943"/>
        <w:jc w:val="both"/>
        <w:rPr>
          <w:sz w:val="24"/>
          <w:szCs w:val="24"/>
          <w:lang w:val="ru-RU"/>
        </w:rPr>
      </w:pPr>
      <w:r>
        <w:rPr>
          <w:sz w:val="24"/>
          <w:szCs w:val="24"/>
          <w:lang w:val="ru-RU"/>
        </w:rPr>
      </w:r>
      <w:r>
        <w:rPr>
          <w:sz w:val="24"/>
          <w:szCs w:val="24"/>
          <w:lang w:val="ru-RU"/>
        </w:rPr>
      </w:r>
      <w:r>
        <w:rPr>
          <w:sz w:val="24"/>
          <w:szCs w:val="24"/>
          <w:lang w:val="ru-RU"/>
        </w:rPr>
      </w:r>
    </w:p>
    <w:p>
      <w:pPr>
        <w:pStyle w:val="943"/>
        <w:numPr>
          <w:ilvl w:val="0"/>
          <w:numId w:val="17"/>
        </w:numPr>
        <w:contextualSpacing w:val="0"/>
        <w:ind w:left="0" w:firstLine="680"/>
        <w:jc w:val="both"/>
        <w:widowControl w:val="off"/>
        <w:rPr>
          <w:sz w:val="24"/>
          <w:szCs w:val="24"/>
          <w:lang w:val="ru-RU"/>
        </w:rPr>
      </w:pPr>
      <w:r>
        <w:rPr>
          <w:sz w:val="24"/>
          <w:szCs w:val="24"/>
          <w:lang w:val="ru-RU"/>
        </w:rPr>
        <w:t xml:space="preserve">Выписка от 16.04.2024 г. из Единого государственного реестра недвижи</w:t>
      </w:r>
      <w:r>
        <w:rPr>
          <w:sz w:val="24"/>
          <w:szCs w:val="24"/>
          <w:lang w:val="ru-RU"/>
        </w:rPr>
        <w:t xml:space="preserve">мости об  основных характеристиках и зарегистрированных правах на объект недвижимости (сеть водопровода горячего от котельной № 13/73, кадастровый номер 51:03:0000000:1098) регистрация права собственности № 51:03:0000000:1098-51/028/2023-7 от 25.08.2023 г.</w:t>
      </w:r>
      <w:r>
        <w:rPr>
          <w:sz w:val="24"/>
          <w:szCs w:val="24"/>
          <w:lang w:val="ru-RU"/>
        </w:rPr>
      </w:r>
      <w:r>
        <w:rPr>
          <w:sz w:val="24"/>
          <w:szCs w:val="24"/>
          <w:lang w:val="ru-RU"/>
        </w:rPr>
      </w:r>
    </w:p>
    <w:p>
      <w:pPr>
        <w:pStyle w:val="943"/>
        <w:jc w:val="both"/>
        <w:rPr>
          <w:sz w:val="24"/>
          <w:szCs w:val="24"/>
          <w:lang w:val="ru-RU"/>
        </w:rPr>
      </w:pPr>
      <w:r>
        <w:rPr>
          <w:sz w:val="24"/>
          <w:szCs w:val="24"/>
          <w:lang w:val="ru-RU"/>
        </w:rPr>
      </w:r>
      <w:r>
        <w:rPr>
          <w:sz w:val="24"/>
          <w:szCs w:val="24"/>
          <w:lang w:val="ru-RU"/>
        </w:rPr>
      </w:r>
      <w:r>
        <w:rPr>
          <w:sz w:val="24"/>
          <w:szCs w:val="24"/>
          <w:lang w:val="ru-RU"/>
        </w:rPr>
      </w:r>
    </w:p>
    <w:p>
      <w:pPr>
        <w:pStyle w:val="943"/>
        <w:numPr>
          <w:ilvl w:val="0"/>
          <w:numId w:val="17"/>
        </w:numPr>
        <w:contextualSpacing w:val="0"/>
        <w:ind w:left="0" w:firstLine="680"/>
        <w:jc w:val="both"/>
        <w:widowControl w:val="off"/>
        <w:rPr>
          <w:sz w:val="24"/>
          <w:szCs w:val="24"/>
          <w:lang w:val="ru-RU"/>
        </w:rPr>
      </w:pPr>
      <w:r>
        <w:rPr>
          <w:sz w:val="24"/>
          <w:szCs w:val="24"/>
          <w:lang w:val="ru-RU"/>
        </w:rPr>
        <w:t xml:space="preserve">Выписка от 16.04.2024 г. из Единого госу</w:t>
      </w:r>
      <w:r>
        <w:rPr>
          <w:sz w:val="24"/>
          <w:szCs w:val="24"/>
          <w:lang w:val="ru-RU"/>
        </w:rPr>
        <w:t xml:space="preserve">дарственного реестра недвижимости об  основных характеристиках и зарегистрированных правах на объект недвижимости (котельная № 13/55, кадастровый номер 51:03:0000000:1905), регистрация права собственности № 51:03:0000000:1905-51/036/2021-5 от 27.05.2021 г.</w:t>
      </w:r>
      <w:r>
        <w:rPr>
          <w:sz w:val="24"/>
          <w:szCs w:val="24"/>
          <w:lang w:val="ru-RU"/>
        </w:rPr>
      </w:r>
      <w:r>
        <w:rPr>
          <w:sz w:val="24"/>
          <w:szCs w:val="24"/>
          <w:lang w:val="ru-RU"/>
        </w:rPr>
      </w:r>
    </w:p>
    <w:p>
      <w:pPr>
        <w:pStyle w:val="943"/>
        <w:jc w:val="both"/>
        <w:rPr>
          <w:sz w:val="24"/>
          <w:szCs w:val="24"/>
          <w:lang w:val="ru-RU"/>
        </w:rPr>
      </w:pPr>
      <w:r>
        <w:rPr>
          <w:sz w:val="24"/>
          <w:szCs w:val="24"/>
          <w:lang w:val="ru-RU"/>
        </w:rPr>
      </w:r>
      <w:r>
        <w:rPr>
          <w:sz w:val="24"/>
          <w:szCs w:val="24"/>
          <w:lang w:val="ru-RU"/>
        </w:rPr>
      </w:r>
      <w:r>
        <w:rPr>
          <w:sz w:val="24"/>
          <w:szCs w:val="24"/>
          <w:lang w:val="ru-RU"/>
        </w:rPr>
      </w:r>
    </w:p>
    <w:p>
      <w:pPr>
        <w:pStyle w:val="943"/>
        <w:numPr>
          <w:ilvl w:val="0"/>
          <w:numId w:val="17"/>
        </w:numPr>
        <w:contextualSpacing w:val="0"/>
        <w:ind w:left="0" w:firstLine="680"/>
        <w:jc w:val="both"/>
        <w:widowControl w:val="off"/>
        <w:rPr>
          <w:sz w:val="24"/>
          <w:szCs w:val="24"/>
          <w:lang w:val="ru-RU"/>
        </w:rPr>
      </w:pPr>
      <w:r>
        <w:rPr>
          <w:sz w:val="24"/>
          <w:szCs w:val="24"/>
          <w:lang w:val="ru-RU"/>
        </w:rPr>
        <w:t xml:space="preserve">Выписка от 16.04.2024 г.  из Единого государственного реестр</w:t>
      </w:r>
      <w:r>
        <w:rPr>
          <w:sz w:val="24"/>
          <w:szCs w:val="24"/>
          <w:lang w:val="ru-RU"/>
        </w:rPr>
        <w:t xml:space="preserve">а недвижимости об  основных характеристиках и зарегистрированных правах на объект недвижимости (тепловая трасса от котельной № 13/55 кадастровый номер 51:03:0000000:3460),  регистрация права собственности № 51:03:0000000:3460-51/028/2023-6 от 28.08.2023 г.</w:t>
      </w:r>
      <w:r>
        <w:rPr>
          <w:sz w:val="24"/>
          <w:szCs w:val="24"/>
          <w:lang w:val="ru-RU"/>
        </w:rPr>
      </w:r>
      <w:r>
        <w:rPr>
          <w:sz w:val="24"/>
          <w:szCs w:val="24"/>
          <w:lang w:val="ru-RU"/>
        </w:rPr>
      </w:r>
    </w:p>
    <w:p>
      <w:pPr>
        <w:pStyle w:val="943"/>
        <w:jc w:val="both"/>
        <w:rPr>
          <w:sz w:val="24"/>
          <w:szCs w:val="24"/>
          <w:lang w:val="ru-RU"/>
        </w:rPr>
      </w:pPr>
      <w:r>
        <w:rPr>
          <w:sz w:val="24"/>
          <w:szCs w:val="24"/>
          <w:lang w:val="ru-RU"/>
        </w:rPr>
      </w:r>
      <w:r>
        <w:rPr>
          <w:sz w:val="24"/>
          <w:szCs w:val="24"/>
          <w:lang w:val="ru-RU"/>
        </w:rPr>
      </w:r>
      <w:r>
        <w:rPr>
          <w:sz w:val="24"/>
          <w:szCs w:val="24"/>
          <w:lang w:val="ru-RU"/>
        </w:rPr>
      </w:r>
    </w:p>
    <w:p>
      <w:pPr>
        <w:pStyle w:val="943"/>
        <w:numPr>
          <w:ilvl w:val="0"/>
          <w:numId w:val="17"/>
        </w:numPr>
        <w:contextualSpacing w:val="0"/>
        <w:ind w:left="0" w:firstLine="680"/>
        <w:jc w:val="both"/>
        <w:widowControl w:val="off"/>
        <w:rPr>
          <w:sz w:val="24"/>
          <w:szCs w:val="24"/>
          <w:lang w:val="ru-RU"/>
        </w:rPr>
      </w:pPr>
      <w:r>
        <w:rPr>
          <w:sz w:val="24"/>
          <w:szCs w:val="24"/>
          <w:lang w:val="ru-RU"/>
        </w:rPr>
        <w:t xml:space="preserve">Выписка от 16.04.2024 г. из Единого го</w:t>
      </w:r>
      <w:r>
        <w:rPr>
          <w:sz w:val="24"/>
          <w:szCs w:val="24"/>
          <w:lang w:val="ru-RU"/>
        </w:rPr>
        <w:t xml:space="preserve">сударственного реестра недвижимости об  основных характеристиках и зарегистрированных правах на объект недвижимости (котельная № 4/152 кадастровый номер 51:03:0000000:1339, регистрация права собственности № 51:03:0000000:1339-51/036/2021-9 от 28.05.2021 г.</w:t>
      </w:r>
      <w:r>
        <w:rPr>
          <w:sz w:val="24"/>
          <w:szCs w:val="24"/>
          <w:lang w:val="ru-RU"/>
        </w:rPr>
      </w:r>
      <w:r>
        <w:rPr>
          <w:sz w:val="24"/>
          <w:szCs w:val="24"/>
          <w:lang w:val="ru-RU"/>
        </w:rPr>
      </w:r>
    </w:p>
    <w:p>
      <w:pPr>
        <w:pStyle w:val="943"/>
        <w:jc w:val="both"/>
        <w:rPr>
          <w:sz w:val="24"/>
          <w:szCs w:val="24"/>
          <w:lang w:val="ru-RU"/>
        </w:rPr>
      </w:pPr>
      <w:r>
        <w:rPr>
          <w:sz w:val="24"/>
          <w:szCs w:val="24"/>
          <w:lang w:val="ru-RU"/>
        </w:rPr>
      </w:r>
      <w:r>
        <w:rPr>
          <w:sz w:val="24"/>
          <w:szCs w:val="24"/>
          <w:lang w:val="ru-RU"/>
        </w:rPr>
      </w:r>
      <w:r>
        <w:rPr>
          <w:sz w:val="24"/>
          <w:szCs w:val="24"/>
          <w:lang w:val="ru-RU"/>
        </w:rPr>
      </w:r>
    </w:p>
    <w:p>
      <w:pPr>
        <w:pStyle w:val="943"/>
        <w:numPr>
          <w:ilvl w:val="0"/>
          <w:numId w:val="17"/>
        </w:numPr>
        <w:contextualSpacing w:val="0"/>
        <w:ind w:left="0" w:firstLine="680"/>
        <w:jc w:val="both"/>
        <w:widowControl w:val="off"/>
        <w:rPr>
          <w:sz w:val="24"/>
          <w:szCs w:val="24"/>
          <w:lang w:val="ru-RU"/>
        </w:rPr>
      </w:pPr>
      <w:r>
        <w:rPr>
          <w:sz w:val="24"/>
          <w:szCs w:val="24"/>
          <w:lang w:val="ru-RU"/>
        </w:rPr>
        <w:t xml:space="preserve">Выписка от 16.04.2024 г. из Единого государственного реестра недвижимости об</w:t>
      </w:r>
      <w:r>
        <w:rPr>
          <w:sz w:val="24"/>
          <w:szCs w:val="24"/>
          <w:lang w:val="ru-RU"/>
        </w:rPr>
        <w:t xml:space="preserve">  основных характеристиках и зарегистрированных правах на объект недвижимости (тепловая трасса от котельной № 4/152 военного городка № 4, кадастровый номер 51:03:0050104:43), регистрация права собственности № 51:03:0050104:43-51/028/2023-6 от 30.08.2023 г.</w:t>
      </w:r>
      <w:r>
        <w:rPr>
          <w:sz w:val="24"/>
          <w:szCs w:val="24"/>
          <w:lang w:val="ru-RU"/>
        </w:rPr>
      </w:r>
      <w:r>
        <w:rPr>
          <w:sz w:val="24"/>
          <w:szCs w:val="24"/>
          <w:lang w:val="ru-RU"/>
        </w:rPr>
      </w:r>
    </w:p>
    <w:p>
      <w:pPr>
        <w:pStyle w:val="943"/>
        <w:jc w:val="both"/>
        <w:rPr>
          <w:sz w:val="24"/>
          <w:szCs w:val="24"/>
          <w:lang w:val="ru-RU"/>
        </w:rPr>
      </w:pPr>
      <w:r>
        <w:rPr>
          <w:sz w:val="24"/>
          <w:szCs w:val="24"/>
          <w:lang w:val="ru-RU"/>
        </w:rPr>
      </w:r>
      <w:r>
        <w:rPr>
          <w:sz w:val="24"/>
          <w:szCs w:val="24"/>
          <w:lang w:val="ru-RU"/>
        </w:rPr>
      </w:r>
      <w:r>
        <w:rPr>
          <w:sz w:val="24"/>
          <w:szCs w:val="24"/>
          <w:lang w:val="ru-RU"/>
        </w:rPr>
      </w:r>
    </w:p>
    <w:p>
      <w:pPr>
        <w:pStyle w:val="943"/>
        <w:numPr>
          <w:ilvl w:val="0"/>
          <w:numId w:val="17"/>
        </w:numPr>
        <w:contextualSpacing w:val="0"/>
        <w:ind w:left="0" w:firstLine="680"/>
        <w:jc w:val="both"/>
        <w:widowControl w:val="off"/>
        <w:rPr>
          <w:sz w:val="24"/>
          <w:szCs w:val="24"/>
          <w:lang w:val="ru-RU"/>
        </w:rPr>
      </w:pPr>
      <w:r>
        <w:rPr>
          <w:sz w:val="24"/>
          <w:szCs w:val="24"/>
          <w:lang w:val="ru-RU"/>
        </w:rPr>
        <w:t xml:space="preserve">Выписка от 16.04.2024 г. из Единого го</w:t>
      </w:r>
      <w:r>
        <w:rPr>
          <w:sz w:val="24"/>
          <w:szCs w:val="24"/>
          <w:lang w:val="ru-RU"/>
        </w:rPr>
        <w:t xml:space="preserve">сударственного реестра недвижимости об  основных характеристиках и зарегистрированных правах на объект недвижимости (сеть водопровода горячего от котельной № 152 военного городка  № 4, кадастровый номер 51:03:0000000:437) регистрация права собственности № </w:t>
      </w:r>
      <w:r>
        <w:rPr>
          <w:sz w:val="24"/>
          <w:szCs w:val="24"/>
          <w:lang w:val="ru-RU"/>
        </w:rPr>
        <w:t xml:space="preserve">51:03:0000000:437-51/028/2023-6 от 30.08.2023 г.</w:t>
      </w:r>
      <w:r>
        <w:rPr>
          <w:sz w:val="24"/>
          <w:szCs w:val="24"/>
          <w:lang w:val="ru-RU"/>
        </w:rPr>
      </w:r>
      <w:r>
        <w:rPr>
          <w:sz w:val="24"/>
          <w:szCs w:val="24"/>
          <w:lang w:val="ru-RU"/>
        </w:rPr>
      </w:r>
    </w:p>
    <w:p>
      <w:pPr>
        <w:pStyle w:val="943"/>
        <w:numPr>
          <w:ilvl w:val="0"/>
          <w:numId w:val="17"/>
        </w:numPr>
        <w:contextualSpacing w:val="0"/>
        <w:ind w:left="0" w:firstLine="680"/>
        <w:jc w:val="both"/>
        <w:widowControl w:val="off"/>
        <w:rPr>
          <w:sz w:val="24"/>
          <w:szCs w:val="24"/>
          <w:lang w:val="ru-RU"/>
        </w:rPr>
      </w:pPr>
      <w:r>
        <w:rPr>
          <w:sz w:val="24"/>
          <w:szCs w:val="24"/>
          <w:lang w:val="ru-RU"/>
        </w:rPr>
        <w:t xml:space="preserve">Выписка от 16.04.2024 г. из Единого государственного </w:t>
      </w:r>
      <w:r>
        <w:rPr>
          <w:sz w:val="24"/>
          <w:szCs w:val="24"/>
          <w:lang w:val="ru-RU"/>
        </w:rPr>
        <w:t xml:space="preserve">реестра недвижимости об  основных характеристиках и зарегистрированных правах на объект недвижимости (котельная № 1 военного городка № 1 кадастровый номер 51:03:0030101:773, регистрация права собственности № 51:03:0030101:773-51/036/2021-5 от 01.09.2021 г.</w:t>
      </w:r>
      <w:r>
        <w:rPr>
          <w:sz w:val="24"/>
          <w:szCs w:val="24"/>
          <w:lang w:val="ru-RU"/>
        </w:rPr>
      </w:r>
      <w:r>
        <w:rPr>
          <w:sz w:val="24"/>
          <w:szCs w:val="24"/>
          <w:lang w:val="ru-RU"/>
        </w:rPr>
      </w:r>
    </w:p>
    <w:p>
      <w:pPr>
        <w:pStyle w:val="943"/>
        <w:ind w:left="680"/>
        <w:jc w:val="both"/>
        <w:rPr>
          <w:sz w:val="24"/>
          <w:szCs w:val="24"/>
          <w:lang w:val="ru-RU"/>
        </w:rPr>
      </w:pPr>
      <w:r>
        <w:rPr>
          <w:sz w:val="24"/>
          <w:szCs w:val="24"/>
          <w:lang w:val="ru-RU"/>
        </w:rPr>
      </w:r>
      <w:r>
        <w:rPr>
          <w:sz w:val="24"/>
          <w:szCs w:val="24"/>
          <w:lang w:val="ru-RU"/>
        </w:rPr>
      </w:r>
      <w:r>
        <w:rPr>
          <w:sz w:val="24"/>
          <w:szCs w:val="24"/>
          <w:lang w:val="ru-RU"/>
        </w:rPr>
      </w:r>
    </w:p>
    <w:p>
      <w:pPr>
        <w:pStyle w:val="943"/>
        <w:numPr>
          <w:ilvl w:val="0"/>
          <w:numId w:val="17"/>
        </w:numPr>
        <w:contextualSpacing w:val="0"/>
        <w:ind w:left="0" w:firstLine="680"/>
        <w:jc w:val="both"/>
        <w:widowControl w:val="off"/>
        <w:rPr>
          <w:sz w:val="24"/>
          <w:szCs w:val="24"/>
          <w:lang w:val="ru-RU"/>
        </w:rPr>
      </w:pPr>
      <w:r>
        <w:rPr>
          <w:sz w:val="24"/>
          <w:szCs w:val="24"/>
          <w:lang w:val="ru-RU"/>
        </w:rPr>
        <w:t xml:space="preserve">Выписка от 16.04.2024 г. из Единого государственного реестра недвижимо</w:t>
      </w:r>
      <w:r>
        <w:rPr>
          <w:sz w:val="24"/>
          <w:szCs w:val="24"/>
          <w:lang w:val="ru-RU"/>
        </w:rPr>
        <w:t xml:space="preserve">сти об  основных характеристиках и зарегистрированных правах на объект недвижимости (тепловая трасса от котельной военного городка № 42, кадастровый номер 51:03:0030101:81), регистрация права собственности № 51:03:0030101:81-51/036/2021-12 от 24.11.2021 г.</w:t>
      </w:r>
      <w:r>
        <w:rPr>
          <w:sz w:val="24"/>
          <w:szCs w:val="24"/>
          <w:lang w:val="ru-RU"/>
        </w:rPr>
      </w:r>
      <w:r>
        <w:rPr>
          <w:sz w:val="24"/>
          <w:szCs w:val="24"/>
          <w:lang w:val="ru-RU"/>
        </w:rPr>
      </w:r>
    </w:p>
    <w:p>
      <w:pPr>
        <w:pStyle w:val="943"/>
        <w:jc w:val="both"/>
        <w:rPr>
          <w:sz w:val="24"/>
          <w:szCs w:val="24"/>
          <w:lang w:val="ru-RU"/>
        </w:rPr>
      </w:pPr>
      <w:r>
        <w:rPr>
          <w:sz w:val="24"/>
          <w:szCs w:val="24"/>
          <w:lang w:val="ru-RU"/>
        </w:rPr>
      </w:r>
      <w:r>
        <w:rPr>
          <w:sz w:val="24"/>
          <w:szCs w:val="24"/>
          <w:lang w:val="ru-RU"/>
        </w:rPr>
      </w:r>
      <w:r>
        <w:rPr>
          <w:sz w:val="24"/>
          <w:szCs w:val="24"/>
          <w:lang w:val="ru-RU"/>
        </w:rPr>
      </w:r>
    </w:p>
    <w:p>
      <w:pPr>
        <w:pStyle w:val="943"/>
        <w:numPr>
          <w:ilvl w:val="0"/>
          <w:numId w:val="17"/>
        </w:numPr>
        <w:contextualSpacing w:val="0"/>
        <w:ind w:left="0" w:firstLine="680"/>
        <w:jc w:val="both"/>
        <w:widowControl w:val="off"/>
        <w:rPr>
          <w:sz w:val="24"/>
          <w:szCs w:val="24"/>
          <w:lang w:val="ru-RU"/>
        </w:rPr>
      </w:pPr>
      <w:r>
        <w:rPr>
          <w:sz w:val="24"/>
          <w:szCs w:val="24"/>
          <w:lang w:val="ru-RU"/>
        </w:rPr>
        <w:t xml:space="preserve">Выписка от 16.04.2024 г. из Единого государственного реестра недвижим</w:t>
      </w:r>
      <w:r>
        <w:rPr>
          <w:sz w:val="24"/>
          <w:szCs w:val="24"/>
          <w:lang w:val="ru-RU"/>
        </w:rPr>
        <w:t xml:space="preserve">ости об  основных характеристиках зарегистрированных правах на объект недвижимости (сеть водопровода от котельной военного городка  № 42, кадастровый номер 51:03:0030101:89) регистрация права собственности № 51:03:0030101:89-51/036/2021-6  от 26.11.2021 г.</w:t>
      </w:r>
      <w:r>
        <w:rPr>
          <w:sz w:val="24"/>
          <w:szCs w:val="24"/>
          <w:lang w:val="ru-RU"/>
        </w:rPr>
      </w:r>
      <w:r>
        <w:rPr>
          <w:sz w:val="24"/>
          <w:szCs w:val="24"/>
          <w:lang w:val="ru-RU"/>
        </w:rPr>
      </w:r>
    </w:p>
    <w:p>
      <w:pPr>
        <w:ind w:firstLine="680"/>
        <w:jc w:val="both"/>
        <w:rPr>
          <w:sz w:val="24"/>
          <w:szCs w:val="24"/>
        </w:rPr>
      </w:pPr>
      <w:r>
        <w:rPr>
          <w:sz w:val="24"/>
          <w:szCs w:val="24"/>
        </w:rPr>
      </w:r>
      <w:r>
        <w:rPr>
          <w:sz w:val="24"/>
          <w:szCs w:val="24"/>
        </w:rPr>
      </w:r>
      <w:r>
        <w:rPr>
          <w:sz w:val="24"/>
          <w:szCs w:val="24"/>
        </w:rPr>
      </w:r>
    </w:p>
    <w:p>
      <w:pPr>
        <w:ind w:firstLine="680"/>
        <w:jc w:val="both"/>
        <w:rPr>
          <w:sz w:val="24"/>
          <w:szCs w:val="24"/>
        </w:rPr>
      </w:pPr>
      <w:r>
        <w:rPr>
          <w:sz w:val="24"/>
          <w:szCs w:val="24"/>
        </w:rPr>
      </w:r>
      <w:r>
        <w:rPr>
          <w:sz w:val="24"/>
          <w:szCs w:val="24"/>
        </w:rPr>
      </w:r>
      <w:r>
        <w:rPr>
          <w:sz w:val="24"/>
          <w:szCs w:val="24"/>
        </w:rPr>
      </w:r>
    </w:p>
    <w:tbl>
      <w:tblPr>
        <w:tblStyle w:val="937"/>
        <w:tblW w:w="5000" w:type="pc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190"/>
        <w:gridCol w:w="3190"/>
        <w:gridCol w:w="3190"/>
      </w:tblGrid>
      <w:tr>
        <w:tblPrEx/>
        <w:trPr/>
        <w:tc>
          <w:tcPr>
            <w:tcW w:w="1667" w:type="pct"/>
            <w:textDirection w:val="lrTb"/>
            <w:noWrap w:val="false"/>
          </w:tcPr>
          <w:p>
            <w:pPr>
              <w:jc w:val="both"/>
              <w:rPr>
                <w:b/>
                <w:sz w:val="24"/>
                <w:szCs w:val="24"/>
              </w:rPr>
            </w:pPr>
            <w:r>
              <w:rPr>
                <w:b/>
                <w:sz w:val="24"/>
                <w:szCs w:val="24"/>
              </w:rPr>
              <w:t xml:space="preserve">Концедент</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Концессионер</w:t>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t xml:space="preserve">Субъект</w:t>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t xml:space="preserve">Муниципальное образование Печенгский муниципальный округ Мурманской области</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Общество с ограниченной ответственностью «ПромВоенСтрой»</w:t>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t xml:space="preserve">Мурманская область</w:t>
            </w:r>
            <w:r>
              <w:rPr>
                <w:b/>
                <w:sz w:val="24"/>
                <w:szCs w:val="24"/>
              </w:rPr>
            </w:r>
            <w:r>
              <w:rPr>
                <w:b/>
                <w:sz w:val="24"/>
                <w:szCs w:val="24"/>
              </w:rPr>
            </w:r>
          </w:p>
          <w:p>
            <w:pPr>
              <w:jc w:val="both"/>
              <w:rPr>
                <w:b/>
                <w:sz w:val="24"/>
                <w:szCs w:val="24"/>
              </w:rPr>
            </w:pPr>
            <w:r>
              <w:rPr>
                <w:b/>
                <w:sz w:val="24"/>
                <w:szCs w:val="24"/>
              </w:rPr>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t xml:space="preserve">Глава округа</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Генеральный директор</w:t>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t xml:space="preserve">Губернатор</w:t>
            </w:r>
            <w:r>
              <w:rPr>
                <w:b/>
                <w:sz w:val="24"/>
                <w:szCs w:val="24"/>
              </w:rPr>
            </w:r>
            <w:r>
              <w:rPr>
                <w:b/>
                <w:sz w:val="24"/>
                <w:szCs w:val="24"/>
              </w:rPr>
            </w:r>
          </w:p>
        </w:tc>
      </w:tr>
      <w:tr>
        <w:tblPrEx/>
        <w:trPr>
          <w:trHeight w:val="567"/>
        </w:trPr>
        <w:tc>
          <w:tcPr>
            <w:tcW w:w="1667" w:type="pct"/>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c>
          <w:tcPr>
            <w:tcW w:w="1667" w:type="pct"/>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c>
          <w:tcPr>
            <w:tcW w:w="1666" w:type="pct"/>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r>
      <w:tr>
        <w:tblPrEx/>
        <w:trPr/>
        <w:tc>
          <w:tcPr>
            <w:tcW w:w="1667" w:type="pct"/>
            <w:textDirection w:val="lrTb"/>
            <w:noWrap w:val="false"/>
          </w:tcPr>
          <w:p>
            <w:pPr>
              <w:jc w:val="both"/>
              <w:rPr>
                <w:b/>
                <w:sz w:val="24"/>
                <w:szCs w:val="24"/>
              </w:rPr>
            </w:pPr>
            <w:r>
              <w:rPr>
                <w:sz w:val="24"/>
                <w:szCs w:val="24"/>
              </w:rPr>
              <w:t xml:space="preserve">МП      /Кузнецов А.В../</w:t>
            </w:r>
            <w:r>
              <w:rPr>
                <w:b/>
                <w:sz w:val="24"/>
                <w:szCs w:val="24"/>
              </w:rPr>
            </w:r>
            <w:r>
              <w:rPr>
                <w:b/>
                <w:sz w:val="24"/>
                <w:szCs w:val="24"/>
              </w:rPr>
            </w:r>
          </w:p>
        </w:tc>
        <w:tc>
          <w:tcPr>
            <w:tcW w:w="1667" w:type="pct"/>
            <w:textDirection w:val="lrTb"/>
            <w:noWrap w:val="false"/>
          </w:tcPr>
          <w:p>
            <w:pPr>
              <w:jc w:val="both"/>
              <w:rPr>
                <w:b/>
                <w:sz w:val="24"/>
                <w:szCs w:val="24"/>
              </w:rPr>
            </w:pPr>
            <w:r>
              <w:rPr>
                <w:sz w:val="24"/>
                <w:szCs w:val="24"/>
              </w:rPr>
              <w:t xml:space="preserve">МП       /Аршакян А.Р./</w:t>
            </w:r>
            <w:r>
              <w:rPr>
                <w:b/>
                <w:sz w:val="24"/>
                <w:szCs w:val="24"/>
              </w:rPr>
            </w:r>
            <w:r>
              <w:rPr>
                <w:b/>
                <w:sz w:val="24"/>
                <w:szCs w:val="24"/>
              </w:rPr>
            </w:r>
          </w:p>
        </w:tc>
        <w:tc>
          <w:tcPr>
            <w:tcW w:w="1666" w:type="pct"/>
            <w:textDirection w:val="lrTb"/>
            <w:noWrap w:val="false"/>
          </w:tcPr>
          <w:p>
            <w:pPr>
              <w:jc w:val="both"/>
              <w:rPr>
                <w:b/>
                <w:sz w:val="24"/>
                <w:szCs w:val="24"/>
              </w:rPr>
            </w:pPr>
            <w:r>
              <w:rPr>
                <w:sz w:val="24"/>
                <w:szCs w:val="24"/>
              </w:rPr>
              <w:t xml:space="preserve">МП         /Чибис А.В./</w:t>
            </w:r>
            <w:r>
              <w:rPr>
                <w:b/>
                <w:sz w:val="24"/>
                <w:szCs w:val="24"/>
              </w:rPr>
            </w:r>
            <w:r>
              <w:rPr>
                <w:b/>
                <w:sz w:val="24"/>
                <w:szCs w:val="24"/>
              </w:rPr>
            </w:r>
          </w:p>
        </w:tc>
      </w:tr>
      <w:tr>
        <w:tblPrEx/>
        <w:trPr/>
        <w:tc>
          <w:tcPr>
            <w:tcW w:w="1667" w:type="pct"/>
            <w:textDirection w:val="lrTb"/>
            <w:noWrap w:val="false"/>
          </w:tcPr>
          <w:p>
            <w:pPr>
              <w:jc w:val="both"/>
              <w:rPr>
                <w:b/>
                <w:sz w:val="24"/>
                <w:szCs w:val="24"/>
              </w:rPr>
            </w:pPr>
            <w:r>
              <w:rPr>
                <w:sz w:val="24"/>
                <w:szCs w:val="24"/>
              </w:rPr>
              <w:t xml:space="preserve">«___»____________ 20__ г.</w:t>
            </w:r>
            <w:r>
              <w:rPr>
                <w:b/>
                <w:sz w:val="24"/>
                <w:szCs w:val="24"/>
              </w:rPr>
            </w:r>
            <w:r>
              <w:rPr>
                <w:b/>
                <w:sz w:val="24"/>
                <w:szCs w:val="24"/>
              </w:rPr>
            </w:r>
          </w:p>
        </w:tc>
        <w:tc>
          <w:tcPr>
            <w:tcW w:w="1667" w:type="pct"/>
            <w:textDirection w:val="lrTb"/>
            <w:noWrap w:val="false"/>
          </w:tcPr>
          <w:p>
            <w:pPr>
              <w:jc w:val="both"/>
              <w:rPr>
                <w:sz w:val="24"/>
                <w:szCs w:val="24"/>
              </w:rPr>
            </w:pPr>
            <w:r>
              <w:rPr>
                <w:sz w:val="24"/>
                <w:szCs w:val="24"/>
              </w:rPr>
              <w:t xml:space="preserve">«___»____________ 20__ г.</w:t>
            </w:r>
            <w:r>
              <w:rPr>
                <w:sz w:val="24"/>
                <w:szCs w:val="24"/>
              </w:rPr>
            </w:r>
            <w:r>
              <w:rPr>
                <w:sz w:val="24"/>
                <w:szCs w:val="24"/>
              </w:rPr>
            </w:r>
          </w:p>
        </w:tc>
        <w:tc>
          <w:tcPr>
            <w:tcW w:w="1666" w:type="pct"/>
            <w:textDirection w:val="lrTb"/>
            <w:noWrap w:val="false"/>
          </w:tcPr>
          <w:p>
            <w:pPr>
              <w:jc w:val="both"/>
              <w:rPr>
                <w:b/>
                <w:sz w:val="24"/>
                <w:szCs w:val="24"/>
              </w:rPr>
            </w:pPr>
            <w:r>
              <w:rPr>
                <w:sz w:val="24"/>
                <w:szCs w:val="24"/>
              </w:rPr>
              <w:t xml:space="preserve">«___»____________ 20__ г.</w:t>
            </w:r>
            <w:r>
              <w:rPr>
                <w:b/>
                <w:sz w:val="24"/>
                <w:szCs w:val="24"/>
              </w:rPr>
            </w:r>
            <w:r>
              <w:rPr>
                <w:b/>
                <w:sz w:val="24"/>
                <w:szCs w:val="24"/>
              </w:rPr>
            </w:r>
          </w:p>
        </w:tc>
      </w:tr>
    </w:tbl>
    <w:p>
      <w:pPr>
        <w:ind w:firstLine="680"/>
        <w:jc w:val="both"/>
        <w:rPr>
          <w:sz w:val="24"/>
          <w:szCs w:val="24"/>
        </w:rPr>
      </w:pPr>
      <w:r>
        <w:rPr>
          <w:sz w:val="24"/>
          <w:szCs w:val="24"/>
        </w:rPr>
      </w:r>
      <w:r>
        <w:rPr>
          <w:sz w:val="24"/>
          <w:szCs w:val="24"/>
        </w:rPr>
      </w:r>
      <w:r>
        <w:rPr>
          <w:sz w:val="24"/>
          <w:szCs w:val="24"/>
        </w:rPr>
      </w:r>
    </w:p>
    <w:p>
      <w:pPr>
        <w:shd w:val="nil" w:color="auto"/>
        <w:rPr>
          <w:sz w:val="24"/>
          <w:szCs w:val="24"/>
        </w:rPr>
      </w:pPr>
      <w:r>
        <w:rPr>
          <w:sz w:val="24"/>
          <w:szCs w:val="24"/>
        </w:rPr>
        <w:br w:type="page" w:clear="all"/>
      </w:r>
      <w:r>
        <w:rPr>
          <w:sz w:val="24"/>
          <w:szCs w:val="24"/>
        </w:rPr>
      </w:r>
      <w:r>
        <w:rPr>
          <w:sz w:val="24"/>
          <w:szCs w:val="24"/>
        </w:rPr>
      </w:r>
    </w:p>
    <w:p>
      <w:pPr>
        <w:ind w:left="5528" w:right="0" w:firstLine="0"/>
        <w:jc w:val="both"/>
        <w:rPr>
          <w:sz w:val="24"/>
          <w:szCs w:val="24"/>
        </w:rPr>
      </w:pPr>
      <w:r>
        <w:rPr>
          <w:sz w:val="24"/>
          <w:szCs w:val="24"/>
        </w:rPr>
        <w:t xml:space="preserve">Приложение № 13</w:t>
      </w:r>
      <w:r>
        <w:rPr>
          <w:sz w:val="24"/>
          <w:szCs w:val="24"/>
        </w:rPr>
      </w:r>
      <w:r>
        <w:rPr>
          <w:sz w:val="24"/>
          <w:szCs w:val="24"/>
        </w:rPr>
      </w:r>
    </w:p>
    <w:p>
      <w:pPr>
        <w:ind w:left="5528" w:right="0" w:firstLine="0"/>
        <w:jc w:val="both"/>
        <w:rPr>
          <w:sz w:val="24"/>
          <w:szCs w:val="24"/>
        </w:rPr>
      </w:pPr>
      <w:r>
        <w:rPr>
          <w:sz w:val="24"/>
          <w:szCs w:val="24"/>
        </w:rPr>
        <w:t xml:space="preserve">к Концессионному соглашению</w:t>
      </w:r>
      <w:r>
        <w:rPr>
          <w:sz w:val="24"/>
          <w:szCs w:val="24"/>
        </w:rPr>
      </w:r>
      <w:r>
        <w:rPr>
          <w:sz w:val="24"/>
          <w:szCs w:val="24"/>
        </w:rPr>
      </w:r>
    </w:p>
    <w:p>
      <w:pPr>
        <w:ind w:left="5528" w:right="0" w:firstLine="0"/>
        <w:jc w:val="both"/>
        <w:rPr>
          <w:sz w:val="24"/>
          <w:szCs w:val="24"/>
        </w:rPr>
      </w:pPr>
      <w:r>
        <w:rPr>
          <w:sz w:val="24"/>
          <w:szCs w:val="24"/>
        </w:rPr>
        <w:t xml:space="preserve">от «__»______ 2024 года №______</w:t>
      </w:r>
      <w:r>
        <w:rPr>
          <w:sz w:val="24"/>
          <w:szCs w:val="24"/>
        </w:rPr>
      </w:r>
      <w:r>
        <w:rPr>
          <w:sz w:val="24"/>
          <w:szCs w:val="24"/>
        </w:rPr>
      </w:r>
    </w:p>
    <w:p>
      <w:pPr>
        <w:ind w:firstLine="680"/>
        <w:jc w:val="right"/>
        <w:rPr>
          <w:b/>
          <w:sz w:val="24"/>
          <w:szCs w:val="24"/>
        </w:rPr>
      </w:pPr>
      <w:r>
        <w:rPr>
          <w:b/>
          <w:sz w:val="24"/>
          <w:szCs w:val="24"/>
        </w:rPr>
      </w:r>
      <w:r>
        <w:rPr>
          <w:b/>
          <w:sz w:val="24"/>
          <w:szCs w:val="24"/>
        </w:rPr>
      </w:r>
      <w:r>
        <w:rPr>
          <w:b/>
          <w:sz w:val="24"/>
          <w:szCs w:val="24"/>
        </w:rPr>
      </w:r>
    </w:p>
    <w:p>
      <w:pPr>
        <w:ind w:firstLine="680"/>
        <w:jc w:val="center"/>
        <w:rPr>
          <w:b/>
          <w:sz w:val="24"/>
          <w:szCs w:val="24"/>
        </w:rPr>
      </w:pPr>
      <w:r>
        <w:rPr>
          <w:b/>
          <w:sz w:val="24"/>
          <w:szCs w:val="24"/>
        </w:rPr>
        <w:t xml:space="preserve">Технико-экономические показатели системы теплоснабжения, входящей в состав Объекта Соглашения.</w:t>
      </w:r>
      <w:r>
        <w:rPr>
          <w:b/>
          <w:sz w:val="24"/>
          <w:szCs w:val="24"/>
        </w:rPr>
      </w:r>
      <w:r>
        <w:rPr>
          <w:b/>
          <w:sz w:val="24"/>
          <w:szCs w:val="24"/>
        </w:rPr>
      </w:r>
    </w:p>
    <w:p>
      <w:pPr>
        <w:ind w:firstLine="680"/>
        <w:jc w:val="both"/>
        <w:rPr>
          <w:b/>
          <w:sz w:val="24"/>
          <w:szCs w:val="24"/>
        </w:rPr>
      </w:pPr>
      <w:r>
        <w:rPr>
          <w:b/>
          <w:sz w:val="24"/>
          <w:szCs w:val="24"/>
        </w:rPr>
      </w:r>
      <w:r>
        <w:rPr>
          <w:b/>
          <w:sz w:val="24"/>
          <w:szCs w:val="24"/>
        </w:rPr>
      </w:r>
      <w:r>
        <w:rPr>
          <w:b/>
          <w:sz w:val="24"/>
          <w:szCs w:val="24"/>
        </w:rPr>
      </w:r>
    </w:p>
    <w:tbl>
      <w:tblPr>
        <w:tblStyle w:val="937"/>
        <w:tblW w:w="5000" w:type="pct"/>
        <w:tblLook w:val="04A0" w:firstRow="1" w:lastRow="0" w:firstColumn="1" w:lastColumn="0" w:noHBand="0" w:noVBand="1"/>
      </w:tblPr>
      <w:tblGrid>
        <w:gridCol w:w="875"/>
        <w:gridCol w:w="2312"/>
        <w:gridCol w:w="1794"/>
        <w:gridCol w:w="1392"/>
        <w:gridCol w:w="216"/>
        <w:gridCol w:w="1487"/>
        <w:gridCol w:w="1494"/>
      </w:tblGrid>
      <w:tr>
        <w:tblPrEx/>
        <w:trPr/>
        <w:tc>
          <w:tcPr>
            <w:tcW w:w="455" w:type="pct"/>
            <w:textDirection w:val="lrTb"/>
            <w:noWrap w:val="false"/>
          </w:tcPr>
          <w:p>
            <w:pPr>
              <w:jc w:val="center"/>
              <w:rPr>
                <w:sz w:val="20"/>
                <w:szCs w:val="20"/>
              </w:rPr>
            </w:pPr>
            <w:r>
              <w:rPr>
                <w:sz w:val="22"/>
                <w:szCs w:val="22"/>
              </w:rPr>
              <w:t xml:space="preserve">№ п/п</w:t>
            </w:r>
            <w:r>
              <w:rPr>
                <w:sz w:val="20"/>
                <w:szCs w:val="20"/>
              </w:rPr>
            </w:r>
            <w:r>
              <w:rPr>
                <w:sz w:val="20"/>
                <w:szCs w:val="20"/>
              </w:rPr>
            </w:r>
          </w:p>
        </w:tc>
        <w:tc>
          <w:tcPr>
            <w:gridSpan w:val="2"/>
            <w:tcW w:w="2151" w:type="pct"/>
            <w:textDirection w:val="lrTb"/>
            <w:noWrap w:val="false"/>
          </w:tcPr>
          <w:p>
            <w:pPr>
              <w:jc w:val="center"/>
              <w:rPr>
                <w:sz w:val="20"/>
                <w:szCs w:val="20"/>
              </w:rPr>
            </w:pPr>
            <w:r>
              <w:rPr>
                <w:sz w:val="22"/>
                <w:szCs w:val="22"/>
              </w:rPr>
              <w:t xml:space="preserve">Показатель</w:t>
            </w:r>
            <w:r>
              <w:rPr>
                <w:sz w:val="20"/>
                <w:szCs w:val="20"/>
              </w:rPr>
            </w:r>
            <w:r>
              <w:rPr>
                <w:sz w:val="20"/>
                <w:szCs w:val="20"/>
              </w:rPr>
            </w:r>
          </w:p>
        </w:tc>
        <w:tc>
          <w:tcPr>
            <w:gridSpan w:val="2"/>
            <w:tcW w:w="867" w:type="pct"/>
            <w:textDirection w:val="lrTb"/>
            <w:noWrap w:val="false"/>
          </w:tcPr>
          <w:p>
            <w:pPr>
              <w:jc w:val="center"/>
              <w:rPr>
                <w:sz w:val="20"/>
                <w:szCs w:val="20"/>
              </w:rPr>
            </w:pPr>
            <w:r>
              <w:rPr>
                <w:sz w:val="22"/>
                <w:szCs w:val="22"/>
              </w:rPr>
              <w:t xml:space="preserve">Ед. измерения</w:t>
            </w:r>
            <w:r>
              <w:rPr>
                <w:sz w:val="20"/>
                <w:szCs w:val="20"/>
              </w:rPr>
            </w:r>
            <w:r>
              <w:rPr>
                <w:sz w:val="20"/>
                <w:szCs w:val="20"/>
              </w:rPr>
            </w:r>
          </w:p>
        </w:tc>
        <w:tc>
          <w:tcPr>
            <w:tcW w:w="694" w:type="pct"/>
            <w:textDirection w:val="lrTb"/>
            <w:noWrap w:val="false"/>
          </w:tcPr>
          <w:p>
            <w:pPr>
              <w:jc w:val="center"/>
              <w:rPr>
                <w:sz w:val="20"/>
                <w:szCs w:val="20"/>
              </w:rPr>
            </w:pPr>
            <w:r>
              <w:rPr>
                <w:sz w:val="22"/>
                <w:szCs w:val="22"/>
              </w:rPr>
              <w:t xml:space="preserve">Значение показателей до проведения мероприятий</w:t>
            </w:r>
            <w:r>
              <w:rPr>
                <w:sz w:val="20"/>
                <w:szCs w:val="20"/>
              </w:rPr>
            </w:r>
            <w:r>
              <w:rPr>
                <w:sz w:val="20"/>
                <w:szCs w:val="20"/>
              </w:rPr>
            </w:r>
          </w:p>
        </w:tc>
        <w:tc>
          <w:tcPr>
            <w:tcW w:w="833" w:type="pct"/>
            <w:textDirection w:val="lrTb"/>
            <w:noWrap w:val="false"/>
          </w:tcPr>
          <w:p>
            <w:pPr>
              <w:jc w:val="center"/>
              <w:rPr>
                <w:sz w:val="20"/>
                <w:szCs w:val="20"/>
              </w:rPr>
            </w:pPr>
            <w:r>
              <w:rPr>
                <w:sz w:val="22"/>
                <w:szCs w:val="22"/>
              </w:rPr>
              <w:t xml:space="preserve">Значение показателей, после проведения мероприятий</w:t>
            </w:r>
            <w:r>
              <w:rPr>
                <w:sz w:val="20"/>
                <w:szCs w:val="20"/>
              </w:rPr>
            </w:r>
            <w:r>
              <w:rPr>
                <w:sz w:val="20"/>
                <w:szCs w:val="20"/>
              </w:rPr>
            </w:r>
          </w:p>
        </w:tc>
      </w:tr>
      <w:tr>
        <w:tblPrEx/>
        <w:trPr/>
        <w:tc>
          <w:tcPr>
            <w:tcW w:w="455" w:type="pct"/>
            <w:textDirection w:val="lrTb"/>
            <w:noWrap w:val="false"/>
          </w:tcPr>
          <w:p>
            <w:pPr>
              <w:pStyle w:val="943"/>
              <w:numPr>
                <w:ilvl w:val="0"/>
                <w:numId w:val="20"/>
              </w:numPr>
              <w:contextualSpacing w:val="0"/>
              <w:ind w:left="0" w:firstLine="0"/>
              <w:jc w:val="center"/>
              <w:widowControl w:val="off"/>
              <w:rPr>
                <w:sz w:val="20"/>
                <w:szCs w:val="20"/>
                <w:lang w:val="ru-RU"/>
              </w:rPr>
            </w:pPr>
            <w:r>
              <w:rPr>
                <w:sz w:val="22"/>
                <w:szCs w:val="22"/>
                <w:lang w:val="ru-RU"/>
              </w:rPr>
            </w:r>
            <w:r>
              <w:rPr>
                <w:sz w:val="20"/>
                <w:szCs w:val="20"/>
                <w:lang w:val="ru-RU"/>
              </w:rPr>
            </w:r>
            <w:r>
              <w:rPr>
                <w:sz w:val="20"/>
                <w:szCs w:val="20"/>
                <w:lang w:val="ru-RU"/>
              </w:rPr>
            </w:r>
          </w:p>
        </w:tc>
        <w:tc>
          <w:tcPr>
            <w:gridSpan w:val="6"/>
            <w:tcW w:w="4545" w:type="pct"/>
            <w:textDirection w:val="lrTb"/>
            <w:noWrap w:val="false"/>
          </w:tcPr>
          <w:p>
            <w:pPr>
              <w:jc w:val="center"/>
              <w:rPr>
                <w:sz w:val="20"/>
                <w:szCs w:val="20"/>
              </w:rPr>
            </w:pPr>
            <w:r>
              <w:rPr>
                <w:sz w:val="22"/>
                <w:szCs w:val="22"/>
              </w:rPr>
              <w:t xml:space="preserve">Котельная № 13/73 ул. Стадионная п.г.т. Печенга Печенгского муниципального округа Мурманской области.</w:t>
            </w:r>
            <w:r>
              <w:rPr>
                <w:sz w:val="20"/>
                <w:szCs w:val="20"/>
              </w:rPr>
            </w:r>
            <w:r>
              <w:rPr>
                <w:sz w:val="20"/>
                <w:szCs w:val="20"/>
              </w:rPr>
            </w:r>
          </w:p>
        </w:tc>
      </w:tr>
      <w:tr>
        <w:tblPrEx/>
        <w:trPr/>
        <w:tc>
          <w:tcPr>
            <w:tcW w:w="455" w:type="pct"/>
            <w:textDirection w:val="lrTb"/>
            <w:noWrap w:val="false"/>
          </w:tcPr>
          <w:p>
            <w:pPr>
              <w:pStyle w:val="943"/>
              <w:ind w:left="0"/>
              <w:jc w:val="center"/>
              <w:rPr>
                <w:sz w:val="20"/>
                <w:szCs w:val="20"/>
              </w:rPr>
            </w:pPr>
            <w:r>
              <w:rPr>
                <w:sz w:val="22"/>
                <w:szCs w:val="22"/>
              </w:rPr>
              <w:t xml:space="preserve">1.1.</w:t>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Установленная мощность.</w:t>
            </w:r>
            <w:r>
              <w:rPr>
                <w:sz w:val="20"/>
                <w:szCs w:val="20"/>
              </w:rPr>
            </w:r>
            <w:r>
              <w:rPr>
                <w:sz w:val="20"/>
                <w:szCs w:val="20"/>
              </w:rPr>
            </w:r>
          </w:p>
        </w:tc>
        <w:tc>
          <w:tcPr>
            <w:gridSpan w:val="2"/>
            <w:tcW w:w="867" w:type="pct"/>
            <w:vAlign w:val="center"/>
            <w:textDirection w:val="lrTb"/>
            <w:noWrap w:val="false"/>
          </w:tcPr>
          <w:p>
            <w:pPr>
              <w:jc w:val="center"/>
              <w:rPr>
                <w:sz w:val="20"/>
                <w:szCs w:val="20"/>
              </w:rPr>
            </w:pPr>
            <w:r>
              <w:rPr>
                <w:sz w:val="22"/>
                <w:szCs w:val="22"/>
              </w:rPr>
              <w:t xml:space="preserve">Гкал/ч</w:t>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t xml:space="preserve">5,16</w:t>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t xml:space="preserve">5,16</w:t>
            </w:r>
            <w:r>
              <w:rPr>
                <w:sz w:val="20"/>
                <w:szCs w:val="20"/>
              </w:rPr>
            </w:r>
            <w:r>
              <w:rPr>
                <w:sz w:val="20"/>
                <w:szCs w:val="20"/>
              </w:rPr>
            </w:r>
          </w:p>
        </w:tc>
      </w:tr>
      <w:tr>
        <w:tblPrEx/>
        <w:trPr/>
        <w:tc>
          <w:tcPr>
            <w:tcW w:w="455" w:type="pct"/>
            <w:textDirection w:val="lrTb"/>
            <w:noWrap w:val="false"/>
          </w:tcPr>
          <w:p>
            <w:pPr>
              <w:pStyle w:val="943"/>
              <w:ind w:left="0"/>
              <w:jc w:val="center"/>
              <w:rPr>
                <w:sz w:val="20"/>
                <w:szCs w:val="20"/>
              </w:rPr>
            </w:pPr>
            <w:r>
              <w:rPr>
                <w:sz w:val="22"/>
                <w:szCs w:val="22"/>
              </w:rPr>
              <w:t xml:space="preserve">1.2.</w:t>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Здание.</w:t>
            </w:r>
            <w:r>
              <w:rPr>
                <w:sz w:val="20"/>
                <w:szCs w:val="20"/>
              </w:rPr>
            </w:r>
            <w:r>
              <w:rPr>
                <w:sz w:val="20"/>
                <w:szCs w:val="20"/>
              </w:rPr>
            </w:r>
          </w:p>
        </w:tc>
        <w:tc>
          <w:tcPr>
            <w:gridSpan w:val="2"/>
            <w:tcW w:w="867" w:type="pct"/>
            <w:vAlign w:val="center"/>
            <w:textDirection w:val="lrTb"/>
            <w:noWrap w:val="false"/>
          </w:tcPr>
          <w:p>
            <w:pPr>
              <w:jc w:val="center"/>
              <w:rPr>
                <w:sz w:val="20"/>
                <w:szCs w:val="20"/>
              </w:rPr>
            </w:pPr>
            <w:r>
              <w:rPr>
                <w:sz w:val="22"/>
                <w:szCs w:val="22"/>
              </w:rPr>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r>
            <w:r>
              <w:rPr>
                <w:sz w:val="20"/>
                <w:szCs w:val="20"/>
              </w:rPr>
            </w:r>
            <w:r>
              <w:rPr>
                <w:sz w:val="20"/>
                <w:szCs w:val="20"/>
              </w:rPr>
            </w:r>
          </w:p>
        </w:tc>
      </w:tr>
      <w:tr>
        <w:tblPrEx/>
        <w:trPr/>
        <w:tc>
          <w:tcPr>
            <w:tcW w:w="455" w:type="pct"/>
            <w:textDirection w:val="lrTb"/>
            <w:noWrap w:val="false"/>
          </w:tcPr>
          <w:p>
            <w:pPr>
              <w:pStyle w:val="943"/>
              <w:ind w:left="0"/>
              <w:jc w:val="center"/>
              <w:rPr>
                <w:sz w:val="20"/>
                <w:szCs w:val="20"/>
              </w:rPr>
            </w:pPr>
            <w:r>
              <w:rPr>
                <w:sz w:val="22"/>
                <w:szCs w:val="22"/>
              </w:rPr>
              <w:t xml:space="preserve">1.2.1.</w:t>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Площадь.</w:t>
            </w:r>
            <w:r>
              <w:rPr>
                <w:sz w:val="20"/>
                <w:szCs w:val="20"/>
              </w:rPr>
            </w:r>
            <w:r>
              <w:rPr>
                <w:sz w:val="20"/>
                <w:szCs w:val="20"/>
              </w:rPr>
            </w:r>
          </w:p>
        </w:tc>
        <w:tc>
          <w:tcPr>
            <w:gridSpan w:val="2"/>
            <w:tcW w:w="867" w:type="pct"/>
            <w:vAlign w:val="center"/>
            <w:textDirection w:val="lrTb"/>
            <w:noWrap w:val="false"/>
          </w:tcPr>
          <w:p>
            <w:pPr>
              <w:jc w:val="center"/>
              <w:rPr>
                <w:sz w:val="20"/>
                <w:szCs w:val="20"/>
              </w:rPr>
            </w:pPr>
            <w:r>
              <w:rPr>
                <w:sz w:val="22"/>
                <w:szCs w:val="22"/>
              </w:rPr>
              <w:t xml:space="preserve">Кв.м.</w:t>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t xml:space="preserve">601,1</w:t>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t xml:space="preserve">601,1</w:t>
            </w:r>
            <w:r>
              <w:rPr>
                <w:sz w:val="20"/>
                <w:szCs w:val="20"/>
              </w:rPr>
            </w:r>
            <w:r>
              <w:rPr>
                <w:sz w:val="20"/>
                <w:szCs w:val="20"/>
              </w:rPr>
            </w:r>
          </w:p>
        </w:tc>
      </w:tr>
      <w:tr>
        <w:tblPrEx/>
        <w:trPr/>
        <w:tc>
          <w:tcPr>
            <w:tcW w:w="455" w:type="pct"/>
            <w:textDirection w:val="lrTb"/>
            <w:noWrap w:val="false"/>
          </w:tcPr>
          <w:p>
            <w:pPr>
              <w:pStyle w:val="943"/>
              <w:ind w:left="0"/>
              <w:jc w:val="center"/>
              <w:rPr>
                <w:sz w:val="20"/>
                <w:szCs w:val="20"/>
              </w:rPr>
            </w:pPr>
            <w:r>
              <w:rPr>
                <w:sz w:val="22"/>
                <w:szCs w:val="22"/>
              </w:rPr>
              <w:t xml:space="preserve">1.2.2.</w:t>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Этажей/ в т.ч. подземных.</w:t>
            </w:r>
            <w:r>
              <w:rPr>
                <w:sz w:val="20"/>
                <w:szCs w:val="20"/>
              </w:rPr>
            </w:r>
            <w:r>
              <w:rPr>
                <w:sz w:val="20"/>
                <w:szCs w:val="20"/>
              </w:rPr>
            </w:r>
          </w:p>
        </w:tc>
        <w:tc>
          <w:tcPr>
            <w:gridSpan w:val="2"/>
            <w:tcW w:w="867" w:type="pct"/>
            <w:vAlign w:val="center"/>
            <w:textDirection w:val="lrTb"/>
            <w:noWrap w:val="false"/>
          </w:tcPr>
          <w:p>
            <w:pPr>
              <w:jc w:val="center"/>
              <w:rPr>
                <w:sz w:val="20"/>
                <w:szCs w:val="20"/>
              </w:rPr>
            </w:pPr>
            <w:r>
              <w:rPr>
                <w:sz w:val="22"/>
                <w:szCs w:val="22"/>
              </w:rPr>
              <w:t xml:space="preserve">Ед.</w:t>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t xml:space="preserve">2/0</w:t>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t xml:space="preserve">2/0</w:t>
            </w:r>
            <w:r>
              <w:rPr>
                <w:sz w:val="20"/>
                <w:szCs w:val="20"/>
              </w:rPr>
            </w:r>
            <w:r>
              <w:rPr>
                <w:sz w:val="20"/>
                <w:szCs w:val="20"/>
              </w:rPr>
            </w:r>
          </w:p>
        </w:tc>
      </w:tr>
      <w:tr>
        <w:tblPrEx/>
        <w:trPr/>
        <w:tc>
          <w:tcPr>
            <w:tcW w:w="455" w:type="pct"/>
            <w:textDirection w:val="lrTb"/>
            <w:noWrap w:val="false"/>
          </w:tcPr>
          <w:p>
            <w:pPr>
              <w:pStyle w:val="943"/>
              <w:numPr>
                <w:ilvl w:val="0"/>
                <w:numId w:val="20"/>
              </w:numPr>
              <w:contextualSpacing w:val="0"/>
              <w:ind w:left="0" w:firstLine="0"/>
              <w:jc w:val="center"/>
              <w:widowControl w:val="off"/>
              <w:rPr>
                <w:sz w:val="20"/>
                <w:szCs w:val="20"/>
              </w:rPr>
            </w:pPr>
            <w:r>
              <w:rPr>
                <w:sz w:val="22"/>
                <w:szCs w:val="22"/>
              </w:rPr>
            </w:r>
            <w:r>
              <w:rPr>
                <w:sz w:val="20"/>
                <w:szCs w:val="20"/>
              </w:rPr>
            </w:r>
            <w:r>
              <w:rPr>
                <w:sz w:val="20"/>
                <w:szCs w:val="20"/>
              </w:rPr>
            </w:r>
          </w:p>
        </w:tc>
        <w:tc>
          <w:tcPr>
            <w:gridSpan w:val="6"/>
            <w:tcW w:w="4545" w:type="pct"/>
            <w:textDirection w:val="lrTb"/>
            <w:noWrap w:val="false"/>
          </w:tcPr>
          <w:p>
            <w:pPr>
              <w:jc w:val="center"/>
              <w:rPr>
                <w:sz w:val="20"/>
                <w:szCs w:val="20"/>
              </w:rPr>
            </w:pPr>
            <w:r>
              <w:rPr>
                <w:sz w:val="22"/>
                <w:szCs w:val="22"/>
              </w:rPr>
              <w:t xml:space="preserve">Котельная № 13/55 Печенгское шоссе п.г.т. Печенга Печенгского муниципального округа Мурманской области.</w:t>
            </w:r>
            <w:r>
              <w:rPr>
                <w:sz w:val="20"/>
                <w:szCs w:val="20"/>
              </w:rPr>
            </w:r>
            <w:r>
              <w:rPr>
                <w:sz w:val="20"/>
                <w:szCs w:val="20"/>
              </w:rPr>
            </w:r>
          </w:p>
        </w:tc>
      </w:tr>
      <w:tr>
        <w:tblPrEx/>
        <w:trPr/>
        <w:tc>
          <w:tcPr>
            <w:tcW w:w="455" w:type="pct"/>
            <w:textDirection w:val="lrTb"/>
            <w:noWrap w:val="false"/>
          </w:tcPr>
          <w:p>
            <w:pPr>
              <w:pStyle w:val="943"/>
              <w:ind w:left="0"/>
              <w:jc w:val="center"/>
              <w:rPr>
                <w:sz w:val="20"/>
                <w:szCs w:val="20"/>
              </w:rPr>
            </w:pPr>
            <w:r>
              <w:rPr>
                <w:sz w:val="22"/>
                <w:szCs w:val="22"/>
              </w:rPr>
              <w:t xml:space="preserve">2.1.</w:t>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Установленная мощность</w:t>
            </w:r>
            <w:r>
              <w:rPr>
                <w:sz w:val="20"/>
                <w:szCs w:val="20"/>
              </w:rPr>
            </w:r>
            <w:r>
              <w:rPr>
                <w:sz w:val="20"/>
                <w:szCs w:val="20"/>
              </w:rPr>
            </w:r>
          </w:p>
        </w:tc>
        <w:tc>
          <w:tcPr>
            <w:gridSpan w:val="2"/>
            <w:tcW w:w="867" w:type="pct"/>
            <w:vAlign w:val="center"/>
            <w:textDirection w:val="lrTb"/>
            <w:noWrap w:val="false"/>
          </w:tcPr>
          <w:p>
            <w:pPr>
              <w:jc w:val="center"/>
              <w:rPr>
                <w:sz w:val="20"/>
                <w:szCs w:val="20"/>
              </w:rPr>
            </w:pPr>
            <w:r>
              <w:rPr>
                <w:sz w:val="22"/>
                <w:szCs w:val="22"/>
              </w:rPr>
              <w:t xml:space="preserve">Гкал/ч</w:t>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t xml:space="preserve">5,934</w:t>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t xml:space="preserve">5,934</w:t>
            </w:r>
            <w:r>
              <w:rPr>
                <w:sz w:val="20"/>
                <w:szCs w:val="20"/>
              </w:rPr>
            </w:r>
            <w:r>
              <w:rPr>
                <w:sz w:val="20"/>
                <w:szCs w:val="20"/>
              </w:rPr>
            </w:r>
          </w:p>
        </w:tc>
      </w:tr>
      <w:tr>
        <w:tblPrEx/>
        <w:trPr/>
        <w:tc>
          <w:tcPr>
            <w:tcW w:w="455" w:type="pct"/>
            <w:textDirection w:val="lrTb"/>
            <w:noWrap w:val="false"/>
          </w:tcPr>
          <w:p>
            <w:pPr>
              <w:pStyle w:val="943"/>
              <w:ind w:left="0"/>
              <w:jc w:val="center"/>
              <w:rPr>
                <w:sz w:val="20"/>
                <w:szCs w:val="20"/>
              </w:rPr>
            </w:pPr>
            <w:r>
              <w:rPr>
                <w:sz w:val="22"/>
                <w:szCs w:val="22"/>
              </w:rPr>
              <w:t xml:space="preserve">2.2.</w:t>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Здание</w:t>
            </w:r>
            <w:r>
              <w:rPr>
                <w:sz w:val="20"/>
                <w:szCs w:val="20"/>
              </w:rPr>
            </w:r>
            <w:r>
              <w:rPr>
                <w:sz w:val="20"/>
                <w:szCs w:val="20"/>
              </w:rPr>
            </w:r>
          </w:p>
        </w:tc>
        <w:tc>
          <w:tcPr>
            <w:gridSpan w:val="2"/>
            <w:tcW w:w="867" w:type="pct"/>
            <w:vAlign w:val="center"/>
            <w:textDirection w:val="lrTb"/>
            <w:noWrap w:val="false"/>
          </w:tcPr>
          <w:p>
            <w:pPr>
              <w:jc w:val="center"/>
              <w:rPr>
                <w:sz w:val="20"/>
                <w:szCs w:val="20"/>
              </w:rPr>
            </w:pPr>
            <w:r>
              <w:rPr>
                <w:sz w:val="22"/>
                <w:szCs w:val="22"/>
              </w:rPr>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r>
            <w:r>
              <w:rPr>
                <w:sz w:val="20"/>
                <w:szCs w:val="20"/>
              </w:rPr>
            </w:r>
            <w:r>
              <w:rPr>
                <w:sz w:val="20"/>
                <w:szCs w:val="20"/>
              </w:rPr>
            </w:r>
          </w:p>
        </w:tc>
      </w:tr>
      <w:tr>
        <w:tblPrEx/>
        <w:trPr/>
        <w:tc>
          <w:tcPr>
            <w:tcW w:w="455" w:type="pct"/>
            <w:textDirection w:val="lrTb"/>
            <w:noWrap w:val="false"/>
          </w:tcPr>
          <w:p>
            <w:pPr>
              <w:pStyle w:val="943"/>
              <w:ind w:left="0"/>
              <w:jc w:val="center"/>
              <w:rPr>
                <w:sz w:val="20"/>
                <w:szCs w:val="20"/>
              </w:rPr>
            </w:pPr>
            <w:r>
              <w:rPr>
                <w:sz w:val="22"/>
                <w:szCs w:val="22"/>
              </w:rPr>
              <w:t xml:space="preserve">2.2.1.</w:t>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Площадь</w:t>
            </w:r>
            <w:r>
              <w:rPr>
                <w:sz w:val="20"/>
                <w:szCs w:val="20"/>
              </w:rPr>
            </w:r>
            <w:r>
              <w:rPr>
                <w:sz w:val="20"/>
                <w:szCs w:val="20"/>
              </w:rPr>
            </w:r>
          </w:p>
        </w:tc>
        <w:tc>
          <w:tcPr>
            <w:gridSpan w:val="2"/>
            <w:tcW w:w="867" w:type="pct"/>
            <w:vAlign w:val="center"/>
            <w:textDirection w:val="lrTb"/>
            <w:noWrap w:val="false"/>
          </w:tcPr>
          <w:p>
            <w:pPr>
              <w:jc w:val="center"/>
              <w:rPr>
                <w:sz w:val="20"/>
                <w:szCs w:val="20"/>
              </w:rPr>
            </w:pPr>
            <w:r>
              <w:rPr>
                <w:sz w:val="22"/>
                <w:szCs w:val="22"/>
              </w:rPr>
              <w:t xml:space="preserve">Кв.м.</w:t>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t xml:space="preserve">181,9</w:t>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t xml:space="preserve">181,9</w:t>
            </w:r>
            <w:r>
              <w:rPr>
                <w:sz w:val="20"/>
                <w:szCs w:val="20"/>
              </w:rPr>
            </w:r>
            <w:r>
              <w:rPr>
                <w:sz w:val="20"/>
                <w:szCs w:val="20"/>
              </w:rPr>
            </w:r>
          </w:p>
        </w:tc>
      </w:tr>
      <w:tr>
        <w:tblPrEx/>
        <w:trPr/>
        <w:tc>
          <w:tcPr>
            <w:tcW w:w="455" w:type="pct"/>
            <w:textDirection w:val="lrTb"/>
            <w:noWrap w:val="false"/>
          </w:tcPr>
          <w:p>
            <w:pPr>
              <w:pStyle w:val="943"/>
              <w:ind w:left="0"/>
              <w:jc w:val="center"/>
              <w:rPr>
                <w:sz w:val="20"/>
                <w:szCs w:val="20"/>
              </w:rPr>
            </w:pPr>
            <w:r>
              <w:rPr>
                <w:sz w:val="22"/>
                <w:szCs w:val="22"/>
              </w:rPr>
              <w:t xml:space="preserve">2.2.2.</w:t>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Этажей/ в т.ч. подземных.</w:t>
            </w:r>
            <w:r>
              <w:rPr>
                <w:sz w:val="20"/>
                <w:szCs w:val="20"/>
              </w:rPr>
            </w:r>
            <w:r>
              <w:rPr>
                <w:sz w:val="20"/>
                <w:szCs w:val="20"/>
              </w:rPr>
            </w:r>
          </w:p>
        </w:tc>
        <w:tc>
          <w:tcPr>
            <w:gridSpan w:val="2"/>
            <w:tcW w:w="867" w:type="pct"/>
            <w:vAlign w:val="center"/>
            <w:textDirection w:val="lrTb"/>
            <w:noWrap w:val="false"/>
          </w:tcPr>
          <w:p>
            <w:pPr>
              <w:jc w:val="center"/>
              <w:rPr>
                <w:sz w:val="20"/>
                <w:szCs w:val="20"/>
              </w:rPr>
            </w:pPr>
            <w:r>
              <w:rPr>
                <w:sz w:val="22"/>
                <w:szCs w:val="22"/>
              </w:rPr>
              <w:t xml:space="preserve">Ед.</w:t>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t xml:space="preserve">1/0</w:t>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t xml:space="preserve">1/0</w:t>
            </w:r>
            <w:r>
              <w:rPr>
                <w:sz w:val="20"/>
                <w:szCs w:val="20"/>
              </w:rPr>
            </w:r>
            <w:r>
              <w:rPr>
                <w:sz w:val="20"/>
                <w:szCs w:val="20"/>
              </w:rPr>
            </w:r>
          </w:p>
        </w:tc>
      </w:tr>
      <w:tr>
        <w:tblPrEx/>
        <w:trPr>
          <w:trHeight w:val="456"/>
        </w:trPr>
        <w:tc>
          <w:tcPr>
            <w:tcW w:w="455" w:type="pct"/>
            <w:textDirection w:val="lrTb"/>
            <w:noWrap w:val="false"/>
          </w:tcPr>
          <w:p>
            <w:pPr>
              <w:pStyle w:val="943"/>
              <w:numPr>
                <w:ilvl w:val="0"/>
                <w:numId w:val="20"/>
              </w:numPr>
              <w:contextualSpacing w:val="0"/>
              <w:ind w:left="0" w:firstLine="0"/>
              <w:jc w:val="center"/>
              <w:widowControl w:val="off"/>
              <w:rPr>
                <w:sz w:val="20"/>
                <w:szCs w:val="20"/>
              </w:rPr>
            </w:pPr>
            <w:r>
              <w:rPr>
                <w:sz w:val="22"/>
                <w:szCs w:val="22"/>
              </w:rPr>
            </w:r>
            <w:r>
              <w:rPr>
                <w:sz w:val="20"/>
                <w:szCs w:val="20"/>
              </w:rPr>
            </w:r>
            <w:r>
              <w:rPr>
                <w:sz w:val="20"/>
                <w:szCs w:val="20"/>
              </w:rPr>
            </w:r>
          </w:p>
        </w:tc>
        <w:tc>
          <w:tcPr>
            <w:gridSpan w:val="6"/>
            <w:tcW w:w="4545" w:type="pct"/>
            <w:textDirection w:val="lrTb"/>
            <w:noWrap w:val="false"/>
          </w:tcPr>
          <w:p>
            <w:pPr>
              <w:jc w:val="center"/>
              <w:rPr>
                <w:sz w:val="20"/>
                <w:szCs w:val="20"/>
              </w:rPr>
            </w:pPr>
            <w:r>
              <w:rPr>
                <w:sz w:val="22"/>
                <w:szCs w:val="22"/>
              </w:rPr>
              <w:t xml:space="preserve">Котельная № 4/152 ж/д ст. Печенга Печенгского муниципального округа Мурманской области.</w:t>
            </w:r>
            <w:r>
              <w:rPr>
                <w:sz w:val="20"/>
                <w:szCs w:val="20"/>
              </w:rPr>
            </w:r>
            <w:r>
              <w:rPr>
                <w:sz w:val="20"/>
                <w:szCs w:val="20"/>
              </w:rPr>
            </w:r>
          </w:p>
        </w:tc>
      </w:tr>
      <w:tr>
        <w:tblPrEx/>
        <w:trPr>
          <w:trHeight w:val="318"/>
        </w:trPr>
        <w:tc>
          <w:tcPr>
            <w:tcW w:w="455" w:type="pct"/>
            <w:textDirection w:val="lrTb"/>
            <w:noWrap w:val="false"/>
          </w:tcPr>
          <w:p>
            <w:pPr>
              <w:pStyle w:val="943"/>
              <w:ind w:left="0"/>
              <w:jc w:val="center"/>
              <w:rPr>
                <w:sz w:val="20"/>
                <w:szCs w:val="20"/>
              </w:rPr>
            </w:pPr>
            <w:r>
              <w:rPr>
                <w:sz w:val="22"/>
                <w:szCs w:val="22"/>
              </w:rPr>
              <w:t xml:space="preserve">3.1.</w:t>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Установленная мощность.</w:t>
            </w:r>
            <w:r>
              <w:rPr>
                <w:sz w:val="20"/>
                <w:szCs w:val="20"/>
              </w:rPr>
            </w:r>
            <w:r>
              <w:rPr>
                <w:sz w:val="20"/>
                <w:szCs w:val="20"/>
              </w:rPr>
            </w:r>
          </w:p>
        </w:tc>
        <w:tc>
          <w:tcPr>
            <w:gridSpan w:val="2"/>
            <w:tcW w:w="867" w:type="pct"/>
            <w:vAlign w:val="center"/>
            <w:textDirection w:val="lrTb"/>
            <w:noWrap w:val="false"/>
          </w:tcPr>
          <w:p>
            <w:pPr>
              <w:jc w:val="center"/>
              <w:rPr>
                <w:sz w:val="20"/>
                <w:szCs w:val="20"/>
              </w:rPr>
            </w:pPr>
            <w:r>
              <w:rPr>
                <w:sz w:val="22"/>
                <w:szCs w:val="22"/>
              </w:rPr>
              <w:t xml:space="preserve">Гкал/ч</w:t>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t xml:space="preserve">4,3</w:t>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t xml:space="preserve">4,3</w:t>
            </w:r>
            <w:r>
              <w:rPr>
                <w:sz w:val="20"/>
                <w:szCs w:val="20"/>
              </w:rPr>
            </w:r>
            <w:r>
              <w:rPr>
                <w:sz w:val="20"/>
                <w:szCs w:val="20"/>
              </w:rPr>
            </w:r>
          </w:p>
        </w:tc>
      </w:tr>
      <w:tr>
        <w:tblPrEx/>
        <w:trPr>
          <w:trHeight w:val="410"/>
        </w:trPr>
        <w:tc>
          <w:tcPr>
            <w:tcW w:w="455" w:type="pct"/>
            <w:textDirection w:val="lrTb"/>
            <w:noWrap w:val="false"/>
          </w:tcPr>
          <w:p>
            <w:pPr>
              <w:pStyle w:val="943"/>
              <w:ind w:left="0"/>
              <w:jc w:val="center"/>
              <w:rPr>
                <w:sz w:val="20"/>
                <w:szCs w:val="20"/>
              </w:rPr>
            </w:pPr>
            <w:r>
              <w:rPr>
                <w:sz w:val="22"/>
                <w:szCs w:val="22"/>
              </w:rPr>
              <w:t xml:space="preserve">3.2.</w:t>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Здание.</w:t>
            </w:r>
            <w:r>
              <w:rPr>
                <w:sz w:val="20"/>
                <w:szCs w:val="20"/>
              </w:rPr>
            </w:r>
            <w:r>
              <w:rPr>
                <w:sz w:val="20"/>
                <w:szCs w:val="20"/>
              </w:rPr>
            </w:r>
          </w:p>
        </w:tc>
        <w:tc>
          <w:tcPr>
            <w:gridSpan w:val="2"/>
            <w:tcW w:w="867" w:type="pct"/>
            <w:vAlign w:val="center"/>
            <w:textDirection w:val="lrTb"/>
            <w:noWrap w:val="false"/>
          </w:tcPr>
          <w:p>
            <w:pPr>
              <w:jc w:val="center"/>
              <w:rPr>
                <w:sz w:val="20"/>
                <w:szCs w:val="20"/>
              </w:rPr>
            </w:pPr>
            <w:r>
              <w:rPr>
                <w:sz w:val="22"/>
                <w:szCs w:val="22"/>
              </w:rPr>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r>
            <w:r>
              <w:rPr>
                <w:sz w:val="20"/>
                <w:szCs w:val="20"/>
              </w:rPr>
            </w:r>
            <w:r>
              <w:rPr>
                <w:sz w:val="20"/>
                <w:szCs w:val="20"/>
              </w:rPr>
            </w:r>
          </w:p>
        </w:tc>
      </w:tr>
      <w:tr>
        <w:tblPrEx/>
        <w:trPr>
          <w:trHeight w:val="258"/>
        </w:trPr>
        <w:tc>
          <w:tcPr>
            <w:tcW w:w="455" w:type="pct"/>
            <w:textDirection w:val="lrTb"/>
            <w:noWrap w:val="false"/>
          </w:tcPr>
          <w:p>
            <w:pPr>
              <w:pStyle w:val="943"/>
              <w:ind w:left="0"/>
              <w:jc w:val="center"/>
              <w:rPr>
                <w:sz w:val="20"/>
                <w:szCs w:val="20"/>
              </w:rPr>
            </w:pPr>
            <w:r>
              <w:rPr>
                <w:sz w:val="22"/>
                <w:szCs w:val="22"/>
              </w:rPr>
              <w:t xml:space="preserve">3.2.1.</w:t>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Площадь.</w:t>
            </w:r>
            <w:r>
              <w:rPr>
                <w:sz w:val="20"/>
                <w:szCs w:val="20"/>
              </w:rPr>
            </w:r>
            <w:r>
              <w:rPr>
                <w:sz w:val="20"/>
                <w:szCs w:val="20"/>
              </w:rPr>
            </w:r>
          </w:p>
        </w:tc>
        <w:tc>
          <w:tcPr>
            <w:gridSpan w:val="2"/>
            <w:tcW w:w="867" w:type="pct"/>
            <w:vAlign w:val="center"/>
            <w:textDirection w:val="lrTb"/>
            <w:noWrap w:val="false"/>
          </w:tcPr>
          <w:p>
            <w:pPr>
              <w:jc w:val="center"/>
              <w:rPr>
                <w:sz w:val="20"/>
                <w:szCs w:val="20"/>
              </w:rPr>
            </w:pPr>
            <w:r>
              <w:rPr>
                <w:sz w:val="22"/>
                <w:szCs w:val="22"/>
              </w:rPr>
              <w:t xml:space="preserve">Кв.м.</w:t>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t xml:space="preserve">435,9</w:t>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t xml:space="preserve">435,9</w:t>
            </w:r>
            <w:r>
              <w:rPr>
                <w:sz w:val="20"/>
                <w:szCs w:val="20"/>
              </w:rPr>
            </w:r>
            <w:r>
              <w:rPr>
                <w:sz w:val="20"/>
                <w:szCs w:val="20"/>
              </w:rPr>
            </w:r>
          </w:p>
        </w:tc>
      </w:tr>
      <w:tr>
        <w:tblPrEx/>
        <w:trPr>
          <w:trHeight w:val="456"/>
        </w:trPr>
        <w:tc>
          <w:tcPr>
            <w:tcW w:w="455" w:type="pct"/>
            <w:textDirection w:val="lrTb"/>
            <w:noWrap w:val="false"/>
          </w:tcPr>
          <w:p>
            <w:pPr>
              <w:pStyle w:val="943"/>
              <w:ind w:left="0"/>
              <w:jc w:val="center"/>
              <w:rPr>
                <w:sz w:val="20"/>
                <w:szCs w:val="20"/>
              </w:rPr>
            </w:pPr>
            <w:r>
              <w:rPr>
                <w:sz w:val="22"/>
                <w:szCs w:val="22"/>
              </w:rPr>
              <w:t xml:space="preserve">3.2.2.</w:t>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Этажей/ в т.ч. подземных.</w:t>
            </w:r>
            <w:r>
              <w:rPr>
                <w:sz w:val="20"/>
                <w:szCs w:val="20"/>
              </w:rPr>
            </w:r>
            <w:r>
              <w:rPr>
                <w:sz w:val="20"/>
                <w:szCs w:val="20"/>
              </w:rPr>
            </w:r>
          </w:p>
        </w:tc>
        <w:tc>
          <w:tcPr>
            <w:gridSpan w:val="2"/>
            <w:tcW w:w="867" w:type="pct"/>
            <w:vAlign w:val="center"/>
            <w:textDirection w:val="lrTb"/>
            <w:noWrap w:val="false"/>
          </w:tcPr>
          <w:p>
            <w:pPr>
              <w:jc w:val="center"/>
              <w:rPr>
                <w:sz w:val="20"/>
                <w:szCs w:val="20"/>
              </w:rPr>
            </w:pPr>
            <w:r>
              <w:rPr>
                <w:sz w:val="22"/>
                <w:szCs w:val="22"/>
              </w:rPr>
              <w:t xml:space="preserve">Ед.</w:t>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t xml:space="preserve">2/0</w:t>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t xml:space="preserve">2/0</w:t>
            </w:r>
            <w:r>
              <w:rPr>
                <w:sz w:val="20"/>
                <w:szCs w:val="20"/>
              </w:rPr>
            </w:r>
            <w:r>
              <w:rPr>
                <w:sz w:val="20"/>
                <w:szCs w:val="20"/>
              </w:rPr>
            </w:r>
          </w:p>
        </w:tc>
      </w:tr>
      <w:tr>
        <w:tblPrEx/>
        <w:trPr>
          <w:trHeight w:val="456"/>
        </w:trPr>
        <w:tc>
          <w:tcPr>
            <w:tcW w:w="455" w:type="pct"/>
            <w:textDirection w:val="lrTb"/>
            <w:noWrap w:val="false"/>
          </w:tcPr>
          <w:p>
            <w:pPr>
              <w:pStyle w:val="943"/>
              <w:numPr>
                <w:ilvl w:val="0"/>
                <w:numId w:val="20"/>
              </w:numPr>
              <w:contextualSpacing w:val="0"/>
              <w:ind w:left="0" w:firstLine="0"/>
              <w:jc w:val="center"/>
              <w:widowControl w:val="off"/>
              <w:rPr>
                <w:sz w:val="20"/>
                <w:szCs w:val="20"/>
              </w:rPr>
            </w:pPr>
            <w:r>
              <w:rPr>
                <w:sz w:val="22"/>
                <w:szCs w:val="22"/>
              </w:rPr>
            </w:r>
            <w:r>
              <w:rPr>
                <w:sz w:val="20"/>
                <w:szCs w:val="20"/>
              </w:rPr>
            </w:r>
            <w:r>
              <w:rPr>
                <w:sz w:val="20"/>
                <w:szCs w:val="20"/>
              </w:rPr>
            </w:r>
          </w:p>
        </w:tc>
        <w:tc>
          <w:tcPr>
            <w:gridSpan w:val="6"/>
            <w:tcW w:w="4545" w:type="pct"/>
            <w:textDirection w:val="lrTb"/>
            <w:noWrap w:val="false"/>
          </w:tcPr>
          <w:p>
            <w:pPr>
              <w:jc w:val="center"/>
              <w:rPr>
                <w:sz w:val="20"/>
                <w:szCs w:val="20"/>
              </w:rPr>
            </w:pPr>
            <w:r>
              <w:rPr>
                <w:sz w:val="22"/>
                <w:szCs w:val="22"/>
              </w:rPr>
              <w:t xml:space="preserve">Котельная № 42/138 ул. Новая н.п. Спутник  Печенгского муниципального округа Мурманской области.</w:t>
            </w:r>
            <w:r>
              <w:rPr>
                <w:sz w:val="20"/>
                <w:szCs w:val="20"/>
              </w:rPr>
            </w:r>
            <w:r>
              <w:rPr>
                <w:sz w:val="20"/>
                <w:szCs w:val="20"/>
              </w:rPr>
            </w:r>
          </w:p>
        </w:tc>
      </w:tr>
      <w:tr>
        <w:tblPrEx/>
        <w:trPr>
          <w:trHeight w:val="377"/>
        </w:trPr>
        <w:tc>
          <w:tcPr>
            <w:tcW w:w="455" w:type="pct"/>
            <w:textDirection w:val="lrTb"/>
            <w:noWrap w:val="false"/>
          </w:tcPr>
          <w:p>
            <w:pPr>
              <w:pStyle w:val="943"/>
              <w:ind w:left="0"/>
              <w:jc w:val="center"/>
              <w:rPr>
                <w:sz w:val="20"/>
                <w:szCs w:val="20"/>
              </w:rPr>
            </w:pPr>
            <w:r>
              <w:rPr>
                <w:sz w:val="22"/>
                <w:szCs w:val="22"/>
              </w:rPr>
              <w:t xml:space="preserve">4.1.</w:t>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Установленная мощность.</w:t>
            </w:r>
            <w:r>
              <w:rPr>
                <w:sz w:val="20"/>
                <w:szCs w:val="20"/>
              </w:rPr>
            </w:r>
            <w:r>
              <w:rPr>
                <w:sz w:val="20"/>
                <w:szCs w:val="20"/>
              </w:rPr>
            </w:r>
          </w:p>
        </w:tc>
        <w:tc>
          <w:tcPr>
            <w:gridSpan w:val="2"/>
            <w:tcW w:w="867" w:type="pct"/>
            <w:vAlign w:val="center"/>
            <w:textDirection w:val="lrTb"/>
            <w:noWrap w:val="false"/>
          </w:tcPr>
          <w:p>
            <w:pPr>
              <w:jc w:val="center"/>
              <w:rPr>
                <w:sz w:val="20"/>
                <w:szCs w:val="20"/>
              </w:rPr>
            </w:pPr>
            <w:r>
              <w:rPr>
                <w:sz w:val="22"/>
                <w:szCs w:val="22"/>
              </w:rPr>
              <w:t xml:space="preserve">Гкал/ч</w:t>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t xml:space="preserve">12,89</w:t>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t xml:space="preserve">12,89</w:t>
            </w:r>
            <w:r>
              <w:rPr>
                <w:sz w:val="20"/>
                <w:szCs w:val="20"/>
              </w:rPr>
            </w:r>
            <w:r>
              <w:rPr>
                <w:sz w:val="20"/>
                <w:szCs w:val="20"/>
              </w:rPr>
            </w:r>
          </w:p>
        </w:tc>
      </w:tr>
      <w:tr>
        <w:tblPrEx/>
        <w:trPr>
          <w:trHeight w:val="377"/>
        </w:trPr>
        <w:tc>
          <w:tcPr>
            <w:tcW w:w="455" w:type="pct"/>
            <w:textDirection w:val="lrTb"/>
            <w:noWrap w:val="false"/>
          </w:tcPr>
          <w:p>
            <w:pPr>
              <w:pStyle w:val="943"/>
              <w:ind w:left="0"/>
              <w:jc w:val="center"/>
              <w:rPr>
                <w:sz w:val="20"/>
                <w:szCs w:val="20"/>
              </w:rPr>
            </w:pPr>
            <w:r>
              <w:rPr>
                <w:sz w:val="22"/>
                <w:szCs w:val="22"/>
              </w:rPr>
              <w:t xml:space="preserve">4.2.</w:t>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Здание.</w:t>
            </w:r>
            <w:r>
              <w:rPr>
                <w:sz w:val="20"/>
                <w:szCs w:val="20"/>
              </w:rPr>
            </w:r>
            <w:r>
              <w:rPr>
                <w:sz w:val="20"/>
                <w:szCs w:val="20"/>
              </w:rPr>
            </w:r>
          </w:p>
        </w:tc>
        <w:tc>
          <w:tcPr>
            <w:gridSpan w:val="2"/>
            <w:tcW w:w="867" w:type="pct"/>
            <w:vAlign w:val="center"/>
            <w:textDirection w:val="lrTb"/>
            <w:noWrap w:val="false"/>
          </w:tcPr>
          <w:p>
            <w:pPr>
              <w:jc w:val="center"/>
              <w:rPr>
                <w:sz w:val="20"/>
                <w:szCs w:val="20"/>
              </w:rPr>
            </w:pPr>
            <w:r>
              <w:rPr>
                <w:sz w:val="22"/>
                <w:szCs w:val="22"/>
              </w:rPr>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r>
            <w:r>
              <w:rPr>
                <w:sz w:val="20"/>
                <w:szCs w:val="20"/>
              </w:rPr>
            </w:r>
            <w:r>
              <w:rPr>
                <w:sz w:val="20"/>
                <w:szCs w:val="20"/>
              </w:rPr>
            </w:r>
          </w:p>
        </w:tc>
      </w:tr>
      <w:tr>
        <w:tblPrEx/>
        <w:trPr>
          <w:trHeight w:val="377"/>
        </w:trPr>
        <w:tc>
          <w:tcPr>
            <w:tcW w:w="455" w:type="pct"/>
            <w:textDirection w:val="lrTb"/>
            <w:noWrap w:val="false"/>
          </w:tcPr>
          <w:p>
            <w:pPr>
              <w:pStyle w:val="943"/>
              <w:ind w:left="0"/>
              <w:jc w:val="center"/>
              <w:rPr>
                <w:sz w:val="20"/>
                <w:szCs w:val="20"/>
              </w:rPr>
            </w:pPr>
            <w:r>
              <w:rPr>
                <w:sz w:val="22"/>
                <w:szCs w:val="22"/>
              </w:rPr>
              <w:t xml:space="preserve">4.2.1.</w:t>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Площадь.</w:t>
            </w:r>
            <w:r>
              <w:rPr>
                <w:sz w:val="20"/>
                <w:szCs w:val="20"/>
              </w:rPr>
            </w:r>
            <w:r>
              <w:rPr>
                <w:sz w:val="20"/>
                <w:szCs w:val="20"/>
              </w:rPr>
            </w:r>
          </w:p>
        </w:tc>
        <w:tc>
          <w:tcPr>
            <w:gridSpan w:val="2"/>
            <w:tcW w:w="867" w:type="pct"/>
            <w:vAlign w:val="center"/>
            <w:textDirection w:val="lrTb"/>
            <w:noWrap w:val="false"/>
          </w:tcPr>
          <w:p>
            <w:pPr>
              <w:jc w:val="center"/>
              <w:rPr>
                <w:sz w:val="20"/>
                <w:szCs w:val="20"/>
              </w:rPr>
            </w:pPr>
            <w:r>
              <w:rPr>
                <w:sz w:val="22"/>
                <w:szCs w:val="22"/>
              </w:rPr>
              <w:t xml:space="preserve">Кв.м.</w:t>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t xml:space="preserve">555,8</w:t>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t xml:space="preserve">555,8</w:t>
            </w:r>
            <w:r>
              <w:rPr>
                <w:sz w:val="20"/>
                <w:szCs w:val="20"/>
              </w:rPr>
            </w:r>
            <w:r>
              <w:rPr>
                <w:sz w:val="20"/>
                <w:szCs w:val="20"/>
              </w:rPr>
            </w:r>
          </w:p>
        </w:tc>
      </w:tr>
      <w:tr>
        <w:tblPrEx/>
        <w:trPr>
          <w:trHeight w:val="377"/>
        </w:trPr>
        <w:tc>
          <w:tcPr>
            <w:tcW w:w="455" w:type="pct"/>
            <w:textDirection w:val="lrTb"/>
            <w:noWrap w:val="false"/>
          </w:tcPr>
          <w:p>
            <w:pPr>
              <w:pStyle w:val="943"/>
              <w:ind w:left="0"/>
              <w:jc w:val="center"/>
              <w:rPr>
                <w:sz w:val="20"/>
                <w:szCs w:val="20"/>
              </w:rPr>
            </w:pPr>
            <w:r>
              <w:rPr>
                <w:sz w:val="22"/>
                <w:szCs w:val="22"/>
              </w:rPr>
              <w:t xml:space="preserve">4.2.2.</w:t>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Этажей/ в т.ч. подземных.</w:t>
            </w:r>
            <w:r>
              <w:rPr>
                <w:sz w:val="20"/>
                <w:szCs w:val="20"/>
              </w:rPr>
            </w:r>
            <w:r>
              <w:rPr>
                <w:sz w:val="20"/>
                <w:szCs w:val="20"/>
              </w:rPr>
            </w:r>
          </w:p>
        </w:tc>
        <w:tc>
          <w:tcPr>
            <w:gridSpan w:val="2"/>
            <w:tcW w:w="867" w:type="pct"/>
            <w:vAlign w:val="center"/>
            <w:textDirection w:val="lrTb"/>
            <w:noWrap w:val="false"/>
          </w:tcPr>
          <w:p>
            <w:pPr>
              <w:jc w:val="center"/>
              <w:rPr>
                <w:sz w:val="20"/>
                <w:szCs w:val="20"/>
              </w:rPr>
            </w:pPr>
            <w:r>
              <w:rPr>
                <w:sz w:val="22"/>
                <w:szCs w:val="22"/>
              </w:rPr>
              <w:t xml:space="preserve">Ед.</w:t>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t xml:space="preserve">3/0</w:t>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t xml:space="preserve">3/0</w:t>
            </w:r>
            <w:r>
              <w:rPr>
                <w:sz w:val="20"/>
                <w:szCs w:val="20"/>
              </w:rPr>
            </w:r>
            <w:r>
              <w:rPr>
                <w:sz w:val="20"/>
                <w:szCs w:val="20"/>
              </w:rPr>
            </w:r>
          </w:p>
        </w:tc>
      </w:tr>
      <w:tr>
        <w:tblPrEx/>
        <w:trPr>
          <w:trHeight w:val="456"/>
        </w:trPr>
        <w:tc>
          <w:tcPr>
            <w:tcW w:w="455" w:type="pct"/>
            <w:textDirection w:val="lrTb"/>
            <w:noWrap w:val="false"/>
          </w:tcPr>
          <w:p>
            <w:pPr>
              <w:pStyle w:val="943"/>
              <w:numPr>
                <w:ilvl w:val="0"/>
                <w:numId w:val="20"/>
              </w:numPr>
              <w:contextualSpacing w:val="0"/>
              <w:ind w:left="0" w:firstLine="0"/>
              <w:jc w:val="center"/>
              <w:widowControl w:val="off"/>
              <w:rPr>
                <w:sz w:val="20"/>
                <w:szCs w:val="20"/>
              </w:rPr>
            </w:pPr>
            <w:r>
              <w:rPr>
                <w:sz w:val="22"/>
                <w:szCs w:val="22"/>
              </w:rPr>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Подключенная нагрузка.</w:t>
            </w:r>
            <w:r>
              <w:rPr>
                <w:sz w:val="20"/>
                <w:szCs w:val="20"/>
              </w:rPr>
            </w:r>
            <w:r>
              <w:rPr>
                <w:sz w:val="20"/>
                <w:szCs w:val="20"/>
              </w:rPr>
            </w:r>
          </w:p>
        </w:tc>
        <w:tc>
          <w:tcPr>
            <w:gridSpan w:val="2"/>
            <w:tcW w:w="867" w:type="pct"/>
            <w:vAlign w:val="center"/>
            <w:textDirection w:val="lrTb"/>
            <w:noWrap w:val="false"/>
          </w:tcPr>
          <w:p>
            <w:pPr>
              <w:jc w:val="center"/>
              <w:rPr>
                <w:sz w:val="20"/>
                <w:szCs w:val="20"/>
              </w:rPr>
            </w:pPr>
            <w:r>
              <w:rPr>
                <w:sz w:val="22"/>
                <w:szCs w:val="22"/>
              </w:rPr>
              <w:t xml:space="preserve">Гкал/ч</w:t>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t xml:space="preserve">4,34</w:t>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t xml:space="preserve">4,34</w:t>
            </w:r>
            <w:r>
              <w:rPr>
                <w:sz w:val="20"/>
                <w:szCs w:val="20"/>
              </w:rPr>
            </w:r>
            <w:r>
              <w:rPr>
                <w:sz w:val="20"/>
                <w:szCs w:val="20"/>
              </w:rPr>
            </w:r>
          </w:p>
        </w:tc>
      </w:tr>
      <w:tr>
        <w:tblPrEx/>
        <w:trPr/>
        <w:tc>
          <w:tcPr>
            <w:tcW w:w="455" w:type="pct"/>
            <w:textDirection w:val="lrTb"/>
            <w:noWrap w:val="false"/>
          </w:tcPr>
          <w:p>
            <w:pPr>
              <w:pStyle w:val="943"/>
              <w:numPr>
                <w:ilvl w:val="0"/>
                <w:numId w:val="20"/>
              </w:numPr>
              <w:contextualSpacing w:val="0"/>
              <w:ind w:left="0" w:firstLine="0"/>
              <w:jc w:val="center"/>
              <w:widowControl w:val="off"/>
              <w:rPr>
                <w:sz w:val="20"/>
                <w:szCs w:val="20"/>
              </w:rPr>
            </w:pPr>
            <w:r>
              <w:rPr>
                <w:sz w:val="22"/>
                <w:szCs w:val="22"/>
              </w:rPr>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Удельный расход топлива на производство единицы тепловой энергии, отпускаемой с коллекторов источников тепловой энергии, в том числе по источникам:</w:t>
            </w:r>
            <w:r>
              <w:rPr>
                <w:sz w:val="20"/>
                <w:szCs w:val="20"/>
              </w:rPr>
            </w:r>
            <w:r>
              <w:rPr>
                <w:sz w:val="20"/>
                <w:szCs w:val="20"/>
              </w:rPr>
            </w:r>
          </w:p>
        </w:tc>
        <w:tc>
          <w:tcPr>
            <w:gridSpan w:val="2"/>
            <w:tcW w:w="867" w:type="pct"/>
            <w:vAlign w:val="center"/>
            <w:textDirection w:val="lrTb"/>
            <w:noWrap w:val="false"/>
          </w:tcPr>
          <w:p>
            <w:pPr>
              <w:jc w:val="center"/>
              <w:rPr>
                <w:sz w:val="20"/>
                <w:szCs w:val="20"/>
              </w:rPr>
            </w:pPr>
            <w:r>
              <w:rPr>
                <w:sz w:val="22"/>
                <w:szCs w:val="22"/>
              </w:rPr>
              <w:t xml:space="preserve">кг. У.т./Гкал</w:t>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t xml:space="preserve">259,11</w:t>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t xml:space="preserve">200,58</w:t>
            </w:r>
            <w:r>
              <w:rPr>
                <w:sz w:val="20"/>
                <w:szCs w:val="20"/>
              </w:rPr>
            </w:r>
            <w:r>
              <w:rPr>
                <w:sz w:val="20"/>
                <w:szCs w:val="20"/>
              </w:rPr>
            </w:r>
          </w:p>
        </w:tc>
      </w:tr>
      <w:tr>
        <w:tblPrEx/>
        <w:trPr/>
        <w:tc>
          <w:tcPr>
            <w:tcW w:w="455" w:type="pct"/>
            <w:textDirection w:val="lrTb"/>
            <w:noWrap w:val="false"/>
          </w:tcPr>
          <w:p>
            <w:pPr>
              <w:pStyle w:val="943"/>
              <w:ind w:left="0"/>
              <w:jc w:val="center"/>
              <w:rPr>
                <w:sz w:val="20"/>
                <w:szCs w:val="20"/>
              </w:rPr>
            </w:pPr>
            <w:r>
              <w:rPr>
                <w:sz w:val="22"/>
                <w:szCs w:val="22"/>
              </w:rPr>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Котельная № 13/73 п.г.т. Печенга.</w:t>
            </w:r>
            <w:r>
              <w:rPr>
                <w:sz w:val="20"/>
                <w:szCs w:val="20"/>
              </w:rPr>
            </w:r>
            <w:r>
              <w:rPr>
                <w:sz w:val="20"/>
                <w:szCs w:val="20"/>
              </w:rPr>
            </w:r>
          </w:p>
        </w:tc>
        <w:tc>
          <w:tcPr>
            <w:gridSpan w:val="2"/>
            <w:tcW w:w="867" w:type="pct"/>
            <w:vAlign w:val="center"/>
            <w:textDirection w:val="lrTb"/>
            <w:noWrap w:val="false"/>
          </w:tcPr>
          <w:p>
            <w:pPr>
              <w:jc w:val="center"/>
              <w:rPr>
                <w:sz w:val="20"/>
                <w:szCs w:val="20"/>
              </w:rPr>
            </w:pPr>
            <w:r>
              <w:rPr>
                <w:sz w:val="22"/>
                <w:szCs w:val="22"/>
              </w:rPr>
              <w:t xml:space="preserve">кг. У.т./Гкал</w:t>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t xml:space="preserve">230,02</w:t>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t xml:space="preserve">182,99</w:t>
            </w:r>
            <w:r>
              <w:rPr>
                <w:sz w:val="20"/>
                <w:szCs w:val="20"/>
              </w:rPr>
            </w:r>
            <w:r>
              <w:rPr>
                <w:sz w:val="20"/>
                <w:szCs w:val="20"/>
              </w:rPr>
            </w:r>
          </w:p>
        </w:tc>
      </w:tr>
      <w:tr>
        <w:tblPrEx/>
        <w:trPr/>
        <w:tc>
          <w:tcPr>
            <w:tcW w:w="455" w:type="pct"/>
            <w:textDirection w:val="lrTb"/>
            <w:noWrap w:val="false"/>
          </w:tcPr>
          <w:p>
            <w:pPr>
              <w:pStyle w:val="943"/>
              <w:ind w:left="0"/>
              <w:jc w:val="center"/>
              <w:rPr>
                <w:sz w:val="20"/>
                <w:szCs w:val="20"/>
              </w:rPr>
            </w:pPr>
            <w:r>
              <w:rPr>
                <w:sz w:val="22"/>
                <w:szCs w:val="22"/>
              </w:rPr>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Котельная № 13/55 п.г.т. Печена.</w:t>
            </w:r>
            <w:r>
              <w:rPr>
                <w:sz w:val="20"/>
                <w:szCs w:val="20"/>
              </w:rPr>
            </w:r>
            <w:r>
              <w:rPr>
                <w:sz w:val="20"/>
                <w:szCs w:val="20"/>
              </w:rPr>
            </w:r>
          </w:p>
        </w:tc>
        <w:tc>
          <w:tcPr>
            <w:gridSpan w:val="2"/>
            <w:tcW w:w="867" w:type="pct"/>
            <w:vAlign w:val="center"/>
            <w:textDirection w:val="lrTb"/>
            <w:noWrap w:val="false"/>
          </w:tcPr>
          <w:p>
            <w:pPr>
              <w:jc w:val="center"/>
              <w:rPr>
                <w:sz w:val="20"/>
                <w:szCs w:val="20"/>
              </w:rPr>
            </w:pPr>
            <w:r>
              <w:rPr>
                <w:sz w:val="22"/>
                <w:szCs w:val="22"/>
              </w:rPr>
              <w:t xml:space="preserve">кг. У.т./Гкал</w:t>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t xml:space="preserve">241,21</w:t>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t xml:space="preserve">202,27</w:t>
            </w:r>
            <w:r>
              <w:rPr>
                <w:sz w:val="20"/>
                <w:szCs w:val="20"/>
              </w:rPr>
            </w:r>
            <w:r>
              <w:rPr>
                <w:sz w:val="20"/>
                <w:szCs w:val="20"/>
              </w:rPr>
            </w:r>
          </w:p>
        </w:tc>
      </w:tr>
      <w:tr>
        <w:tblPrEx/>
        <w:trPr/>
        <w:tc>
          <w:tcPr>
            <w:tcW w:w="455" w:type="pct"/>
            <w:textDirection w:val="lrTb"/>
            <w:noWrap w:val="false"/>
          </w:tcPr>
          <w:p>
            <w:pPr>
              <w:pStyle w:val="943"/>
              <w:ind w:left="0"/>
              <w:jc w:val="center"/>
              <w:rPr>
                <w:sz w:val="20"/>
                <w:szCs w:val="20"/>
              </w:rPr>
            </w:pPr>
            <w:r>
              <w:rPr>
                <w:sz w:val="22"/>
                <w:szCs w:val="22"/>
              </w:rPr>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Котельная № 4/152 ж/д ст. 19 км. п.г.т. Печенга.</w:t>
            </w:r>
            <w:r>
              <w:rPr>
                <w:sz w:val="20"/>
                <w:szCs w:val="20"/>
              </w:rPr>
            </w:r>
            <w:r>
              <w:rPr>
                <w:sz w:val="20"/>
                <w:szCs w:val="20"/>
              </w:rPr>
            </w:r>
          </w:p>
        </w:tc>
        <w:tc>
          <w:tcPr>
            <w:gridSpan w:val="2"/>
            <w:tcW w:w="867" w:type="pct"/>
            <w:vAlign w:val="center"/>
            <w:textDirection w:val="lrTb"/>
            <w:noWrap w:val="false"/>
          </w:tcPr>
          <w:p>
            <w:pPr>
              <w:jc w:val="center"/>
              <w:rPr>
                <w:sz w:val="20"/>
                <w:szCs w:val="20"/>
              </w:rPr>
            </w:pPr>
            <w:r>
              <w:rPr>
                <w:sz w:val="22"/>
                <w:szCs w:val="22"/>
              </w:rPr>
              <w:t xml:space="preserve">кг. У.т./Гкал</w:t>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t xml:space="preserve">229,76</w:t>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t xml:space="preserve">182,99</w:t>
            </w:r>
            <w:r>
              <w:rPr>
                <w:sz w:val="20"/>
                <w:szCs w:val="20"/>
              </w:rPr>
            </w:r>
            <w:r>
              <w:rPr>
                <w:sz w:val="20"/>
                <w:szCs w:val="20"/>
              </w:rPr>
            </w:r>
          </w:p>
        </w:tc>
      </w:tr>
      <w:tr>
        <w:tblPrEx/>
        <w:trPr/>
        <w:tc>
          <w:tcPr>
            <w:tcW w:w="455" w:type="pct"/>
            <w:textDirection w:val="lrTb"/>
            <w:noWrap w:val="false"/>
          </w:tcPr>
          <w:p>
            <w:pPr>
              <w:pStyle w:val="943"/>
              <w:ind w:left="0"/>
              <w:jc w:val="center"/>
              <w:rPr>
                <w:sz w:val="20"/>
                <w:szCs w:val="20"/>
              </w:rPr>
            </w:pPr>
            <w:r>
              <w:rPr>
                <w:sz w:val="22"/>
                <w:szCs w:val="22"/>
              </w:rPr>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Котельная № 42/138 н.п. Спутник.</w:t>
            </w:r>
            <w:r>
              <w:rPr>
                <w:sz w:val="20"/>
                <w:szCs w:val="20"/>
              </w:rPr>
            </w:r>
            <w:r>
              <w:rPr>
                <w:sz w:val="20"/>
                <w:szCs w:val="20"/>
              </w:rPr>
            </w:r>
          </w:p>
        </w:tc>
        <w:tc>
          <w:tcPr>
            <w:gridSpan w:val="2"/>
            <w:tcW w:w="867" w:type="pct"/>
            <w:vAlign w:val="center"/>
            <w:textDirection w:val="lrTb"/>
            <w:noWrap w:val="false"/>
          </w:tcPr>
          <w:p>
            <w:pPr>
              <w:jc w:val="center"/>
              <w:rPr>
                <w:sz w:val="20"/>
                <w:szCs w:val="20"/>
              </w:rPr>
            </w:pPr>
            <w:r>
              <w:rPr>
                <w:sz w:val="22"/>
                <w:szCs w:val="22"/>
              </w:rPr>
              <w:t xml:space="preserve">кг. У.т./Гкал</w:t>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t xml:space="preserve">292,22</w:t>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t xml:space="preserve">216,83</w:t>
            </w:r>
            <w:r>
              <w:rPr>
                <w:sz w:val="20"/>
                <w:szCs w:val="20"/>
              </w:rPr>
            </w:r>
            <w:r>
              <w:rPr>
                <w:sz w:val="20"/>
                <w:szCs w:val="20"/>
              </w:rPr>
            </w:r>
          </w:p>
        </w:tc>
      </w:tr>
      <w:tr>
        <w:tblPrEx/>
        <w:trPr/>
        <w:tc>
          <w:tcPr>
            <w:tcW w:w="455" w:type="pct"/>
            <w:textDirection w:val="lrTb"/>
            <w:noWrap w:val="false"/>
          </w:tcPr>
          <w:p>
            <w:pPr>
              <w:pStyle w:val="943"/>
              <w:numPr>
                <w:ilvl w:val="0"/>
                <w:numId w:val="20"/>
              </w:numPr>
              <w:contextualSpacing w:val="0"/>
              <w:ind w:left="0" w:firstLine="0"/>
              <w:jc w:val="center"/>
              <w:widowControl w:val="off"/>
              <w:rPr>
                <w:sz w:val="20"/>
                <w:szCs w:val="20"/>
              </w:rPr>
            </w:pPr>
            <w:r>
              <w:rPr>
                <w:sz w:val="22"/>
                <w:szCs w:val="22"/>
              </w:rPr>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Удельный расход электрической энергии   на производство единицы тепловой энергии, отпускаемой с коллекторов источников тепловой энергии.</w:t>
            </w:r>
            <w:r>
              <w:rPr>
                <w:sz w:val="20"/>
                <w:szCs w:val="20"/>
              </w:rPr>
            </w:r>
            <w:r>
              <w:rPr>
                <w:sz w:val="20"/>
                <w:szCs w:val="20"/>
              </w:rPr>
            </w:r>
          </w:p>
        </w:tc>
        <w:tc>
          <w:tcPr>
            <w:gridSpan w:val="2"/>
            <w:tcW w:w="867" w:type="pct"/>
            <w:vAlign w:val="center"/>
            <w:textDirection w:val="lrTb"/>
            <w:noWrap w:val="false"/>
          </w:tcPr>
          <w:p>
            <w:pPr>
              <w:jc w:val="center"/>
              <w:rPr>
                <w:sz w:val="20"/>
                <w:szCs w:val="20"/>
              </w:rPr>
            </w:pPr>
            <w:r>
              <w:rPr>
                <w:sz w:val="22"/>
                <w:szCs w:val="22"/>
              </w:rPr>
              <w:t xml:space="preserve">кВтч/Гкал</w:t>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t xml:space="preserve">58,50</w:t>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t xml:space="preserve">49,49</w:t>
            </w:r>
            <w:r>
              <w:rPr>
                <w:sz w:val="20"/>
                <w:szCs w:val="20"/>
              </w:rPr>
            </w:r>
            <w:r>
              <w:rPr>
                <w:sz w:val="20"/>
                <w:szCs w:val="20"/>
              </w:rPr>
            </w:r>
          </w:p>
        </w:tc>
      </w:tr>
      <w:tr>
        <w:tblPrEx/>
        <w:trPr/>
        <w:tc>
          <w:tcPr>
            <w:tcW w:w="455" w:type="pct"/>
            <w:textDirection w:val="lrTb"/>
            <w:noWrap w:val="false"/>
          </w:tcPr>
          <w:p>
            <w:pPr>
              <w:pStyle w:val="943"/>
              <w:numPr>
                <w:ilvl w:val="0"/>
                <w:numId w:val="20"/>
              </w:numPr>
              <w:contextualSpacing w:val="0"/>
              <w:ind w:left="0" w:firstLine="0"/>
              <w:jc w:val="center"/>
              <w:widowControl w:val="off"/>
              <w:rPr>
                <w:sz w:val="20"/>
                <w:szCs w:val="20"/>
              </w:rPr>
            </w:pPr>
            <w:r>
              <w:rPr>
                <w:sz w:val="22"/>
                <w:szCs w:val="22"/>
              </w:rPr>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Протяженность тепловой сети в двухтрубном исчислении, в том числе от источников:</w:t>
            </w:r>
            <w:r>
              <w:rPr>
                <w:sz w:val="20"/>
                <w:szCs w:val="20"/>
              </w:rPr>
            </w:r>
            <w:r>
              <w:rPr>
                <w:sz w:val="20"/>
                <w:szCs w:val="20"/>
              </w:rPr>
            </w:r>
          </w:p>
        </w:tc>
        <w:tc>
          <w:tcPr>
            <w:gridSpan w:val="2"/>
            <w:tcW w:w="867" w:type="pct"/>
            <w:vAlign w:val="center"/>
            <w:textDirection w:val="lrTb"/>
            <w:noWrap w:val="false"/>
          </w:tcPr>
          <w:p>
            <w:pPr>
              <w:jc w:val="center"/>
              <w:rPr>
                <w:sz w:val="20"/>
                <w:szCs w:val="20"/>
              </w:rPr>
            </w:pPr>
            <w:r>
              <w:rPr>
                <w:sz w:val="22"/>
                <w:szCs w:val="22"/>
              </w:rPr>
              <w:t xml:space="preserve">П.м.</w:t>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t xml:space="preserve">4637</w:t>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t xml:space="preserve">4684</w:t>
            </w:r>
            <w:r>
              <w:rPr>
                <w:sz w:val="20"/>
                <w:szCs w:val="20"/>
              </w:rPr>
            </w:r>
            <w:r>
              <w:rPr>
                <w:sz w:val="20"/>
                <w:szCs w:val="20"/>
              </w:rPr>
            </w:r>
          </w:p>
        </w:tc>
      </w:tr>
      <w:tr>
        <w:tblPrEx/>
        <w:trPr/>
        <w:tc>
          <w:tcPr>
            <w:tcW w:w="455" w:type="pct"/>
            <w:textDirection w:val="lrTb"/>
            <w:noWrap w:val="false"/>
          </w:tcPr>
          <w:p>
            <w:pPr>
              <w:pStyle w:val="943"/>
              <w:ind w:left="0"/>
              <w:jc w:val="center"/>
              <w:rPr>
                <w:sz w:val="20"/>
                <w:szCs w:val="20"/>
              </w:rPr>
            </w:pPr>
            <w:r>
              <w:rPr>
                <w:sz w:val="22"/>
                <w:szCs w:val="22"/>
              </w:rPr>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Котельная № 13/73 п.г.т. Печенга.</w:t>
            </w:r>
            <w:r>
              <w:rPr>
                <w:sz w:val="20"/>
                <w:szCs w:val="20"/>
              </w:rPr>
            </w:r>
            <w:r>
              <w:rPr>
                <w:sz w:val="20"/>
                <w:szCs w:val="20"/>
              </w:rPr>
            </w:r>
          </w:p>
        </w:tc>
        <w:tc>
          <w:tcPr>
            <w:gridSpan w:val="2"/>
            <w:tcW w:w="867" w:type="pct"/>
            <w:vAlign w:val="center"/>
            <w:textDirection w:val="lrTb"/>
            <w:noWrap w:val="false"/>
          </w:tcPr>
          <w:p>
            <w:pPr>
              <w:jc w:val="center"/>
              <w:rPr>
                <w:sz w:val="20"/>
                <w:szCs w:val="20"/>
              </w:rPr>
            </w:pPr>
            <w:r>
              <w:rPr>
                <w:sz w:val="22"/>
                <w:szCs w:val="22"/>
              </w:rPr>
              <w:t xml:space="preserve">П.м.</w:t>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t xml:space="preserve">623</w:t>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t xml:space="preserve">641</w:t>
            </w:r>
            <w:r>
              <w:rPr>
                <w:sz w:val="20"/>
                <w:szCs w:val="20"/>
              </w:rPr>
            </w:r>
            <w:r>
              <w:rPr>
                <w:sz w:val="20"/>
                <w:szCs w:val="20"/>
              </w:rPr>
            </w:r>
          </w:p>
        </w:tc>
      </w:tr>
      <w:tr>
        <w:tblPrEx/>
        <w:trPr/>
        <w:tc>
          <w:tcPr>
            <w:tcW w:w="455" w:type="pct"/>
            <w:textDirection w:val="lrTb"/>
            <w:noWrap w:val="false"/>
          </w:tcPr>
          <w:p>
            <w:pPr>
              <w:pStyle w:val="943"/>
              <w:ind w:left="0"/>
              <w:jc w:val="center"/>
              <w:rPr>
                <w:sz w:val="20"/>
                <w:szCs w:val="20"/>
              </w:rPr>
            </w:pPr>
            <w:r>
              <w:rPr>
                <w:sz w:val="22"/>
                <w:szCs w:val="22"/>
              </w:rPr>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Котельная № 13/55 п.г.т. Печена.</w:t>
            </w:r>
            <w:r>
              <w:rPr>
                <w:sz w:val="20"/>
                <w:szCs w:val="20"/>
              </w:rPr>
            </w:r>
            <w:r>
              <w:rPr>
                <w:sz w:val="20"/>
                <w:szCs w:val="20"/>
              </w:rPr>
            </w:r>
          </w:p>
        </w:tc>
        <w:tc>
          <w:tcPr>
            <w:gridSpan w:val="2"/>
            <w:tcW w:w="867" w:type="pct"/>
            <w:vAlign w:val="center"/>
            <w:textDirection w:val="lrTb"/>
            <w:noWrap w:val="false"/>
          </w:tcPr>
          <w:p>
            <w:pPr>
              <w:jc w:val="center"/>
              <w:rPr>
                <w:sz w:val="20"/>
                <w:szCs w:val="20"/>
              </w:rPr>
            </w:pPr>
            <w:r>
              <w:rPr>
                <w:sz w:val="22"/>
                <w:szCs w:val="22"/>
              </w:rPr>
              <w:t xml:space="preserve">П.м.</w:t>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t xml:space="preserve">648</w:t>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t xml:space="preserve">677</w:t>
            </w:r>
            <w:r>
              <w:rPr>
                <w:sz w:val="20"/>
                <w:szCs w:val="20"/>
              </w:rPr>
            </w:r>
            <w:r>
              <w:rPr>
                <w:sz w:val="20"/>
                <w:szCs w:val="20"/>
              </w:rPr>
            </w:r>
          </w:p>
        </w:tc>
      </w:tr>
      <w:tr>
        <w:tblPrEx/>
        <w:trPr/>
        <w:tc>
          <w:tcPr>
            <w:tcW w:w="455" w:type="pct"/>
            <w:textDirection w:val="lrTb"/>
            <w:noWrap w:val="false"/>
          </w:tcPr>
          <w:p>
            <w:pPr>
              <w:pStyle w:val="943"/>
              <w:ind w:left="0"/>
              <w:jc w:val="center"/>
              <w:rPr>
                <w:sz w:val="20"/>
                <w:szCs w:val="20"/>
              </w:rPr>
            </w:pPr>
            <w:r>
              <w:rPr>
                <w:sz w:val="22"/>
                <w:szCs w:val="22"/>
              </w:rPr>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Котельная № 4/152 ж/д ст. 19 км. п.г.т. Печенга.</w:t>
            </w:r>
            <w:r>
              <w:rPr>
                <w:sz w:val="20"/>
                <w:szCs w:val="20"/>
              </w:rPr>
            </w:r>
            <w:r>
              <w:rPr>
                <w:sz w:val="20"/>
                <w:szCs w:val="20"/>
              </w:rPr>
            </w:r>
          </w:p>
        </w:tc>
        <w:tc>
          <w:tcPr>
            <w:gridSpan w:val="2"/>
            <w:tcW w:w="867" w:type="pct"/>
            <w:vAlign w:val="center"/>
            <w:textDirection w:val="lrTb"/>
            <w:noWrap w:val="false"/>
          </w:tcPr>
          <w:p>
            <w:pPr>
              <w:jc w:val="center"/>
              <w:rPr>
                <w:sz w:val="20"/>
                <w:szCs w:val="20"/>
              </w:rPr>
            </w:pPr>
            <w:r>
              <w:rPr>
                <w:sz w:val="22"/>
                <w:szCs w:val="22"/>
              </w:rPr>
              <w:t xml:space="preserve">П.м.</w:t>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t xml:space="preserve">1175</w:t>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t xml:space="preserve">1175</w:t>
            </w:r>
            <w:r>
              <w:rPr>
                <w:sz w:val="20"/>
                <w:szCs w:val="20"/>
              </w:rPr>
            </w:r>
            <w:r>
              <w:rPr>
                <w:sz w:val="20"/>
                <w:szCs w:val="20"/>
              </w:rPr>
            </w:r>
          </w:p>
        </w:tc>
      </w:tr>
      <w:tr>
        <w:tblPrEx/>
        <w:trPr/>
        <w:tc>
          <w:tcPr>
            <w:tcW w:w="455" w:type="pct"/>
            <w:textDirection w:val="lrTb"/>
            <w:noWrap w:val="false"/>
          </w:tcPr>
          <w:p>
            <w:pPr>
              <w:pStyle w:val="943"/>
              <w:ind w:left="0"/>
              <w:jc w:val="center"/>
              <w:rPr>
                <w:sz w:val="20"/>
                <w:szCs w:val="20"/>
              </w:rPr>
            </w:pPr>
            <w:r>
              <w:rPr>
                <w:sz w:val="22"/>
                <w:szCs w:val="22"/>
              </w:rPr>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Котельная № 42/138 н.п. Спутник.</w:t>
            </w:r>
            <w:r>
              <w:rPr>
                <w:sz w:val="20"/>
                <w:szCs w:val="20"/>
              </w:rPr>
            </w:r>
            <w:r>
              <w:rPr>
                <w:sz w:val="20"/>
                <w:szCs w:val="20"/>
              </w:rPr>
            </w:r>
          </w:p>
        </w:tc>
        <w:tc>
          <w:tcPr>
            <w:gridSpan w:val="2"/>
            <w:tcW w:w="867" w:type="pct"/>
            <w:vAlign w:val="center"/>
            <w:textDirection w:val="lrTb"/>
            <w:noWrap w:val="false"/>
          </w:tcPr>
          <w:p>
            <w:pPr>
              <w:jc w:val="center"/>
              <w:rPr>
                <w:sz w:val="20"/>
                <w:szCs w:val="20"/>
              </w:rPr>
            </w:pPr>
            <w:r>
              <w:rPr>
                <w:sz w:val="22"/>
                <w:szCs w:val="22"/>
              </w:rPr>
              <w:t xml:space="preserve">П.м.</w:t>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t xml:space="preserve">2191</w:t>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t xml:space="preserve">2191</w:t>
            </w:r>
            <w:r>
              <w:rPr>
                <w:sz w:val="20"/>
                <w:szCs w:val="20"/>
              </w:rPr>
            </w:r>
            <w:r>
              <w:rPr>
                <w:sz w:val="20"/>
                <w:szCs w:val="20"/>
              </w:rPr>
            </w:r>
          </w:p>
        </w:tc>
      </w:tr>
      <w:tr>
        <w:tblPrEx/>
        <w:trPr/>
        <w:tc>
          <w:tcPr>
            <w:tcW w:w="455" w:type="pct"/>
            <w:textDirection w:val="lrTb"/>
            <w:noWrap w:val="false"/>
          </w:tcPr>
          <w:p>
            <w:pPr>
              <w:pStyle w:val="943"/>
              <w:numPr>
                <w:ilvl w:val="0"/>
                <w:numId w:val="20"/>
              </w:numPr>
              <w:contextualSpacing w:val="0"/>
              <w:ind w:left="0" w:firstLine="0"/>
              <w:jc w:val="center"/>
              <w:widowControl w:val="off"/>
              <w:rPr>
                <w:sz w:val="20"/>
                <w:szCs w:val="20"/>
              </w:rPr>
            </w:pPr>
            <w:r>
              <w:rPr>
                <w:sz w:val="22"/>
                <w:szCs w:val="22"/>
              </w:rPr>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Протяженность сети горячего водоснабжения в двухтрубном исчислении, в том числе от источников:</w:t>
            </w:r>
            <w:r>
              <w:rPr>
                <w:sz w:val="20"/>
                <w:szCs w:val="20"/>
              </w:rPr>
            </w:r>
            <w:r>
              <w:rPr>
                <w:sz w:val="20"/>
                <w:szCs w:val="20"/>
              </w:rPr>
            </w:r>
          </w:p>
        </w:tc>
        <w:tc>
          <w:tcPr>
            <w:gridSpan w:val="2"/>
            <w:tcW w:w="867" w:type="pct"/>
            <w:vAlign w:val="center"/>
            <w:textDirection w:val="lrTb"/>
            <w:noWrap w:val="false"/>
          </w:tcPr>
          <w:p>
            <w:pPr>
              <w:jc w:val="center"/>
              <w:rPr>
                <w:sz w:val="20"/>
                <w:szCs w:val="20"/>
              </w:rPr>
            </w:pPr>
            <w:r>
              <w:rPr>
                <w:sz w:val="22"/>
                <w:szCs w:val="22"/>
              </w:rPr>
              <w:t xml:space="preserve">П.м.</w:t>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t xml:space="preserve">1892</w:t>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t xml:space="preserve">1878</w:t>
            </w:r>
            <w:r>
              <w:rPr>
                <w:sz w:val="20"/>
                <w:szCs w:val="20"/>
              </w:rPr>
            </w:r>
            <w:r>
              <w:rPr>
                <w:sz w:val="20"/>
                <w:szCs w:val="20"/>
              </w:rPr>
            </w:r>
          </w:p>
        </w:tc>
      </w:tr>
      <w:tr>
        <w:tblPrEx/>
        <w:trPr/>
        <w:tc>
          <w:tcPr>
            <w:tcW w:w="455" w:type="pct"/>
            <w:textDirection w:val="lrTb"/>
            <w:noWrap w:val="false"/>
          </w:tcPr>
          <w:p>
            <w:pPr>
              <w:pStyle w:val="943"/>
              <w:ind w:left="0"/>
              <w:jc w:val="center"/>
              <w:rPr>
                <w:sz w:val="20"/>
                <w:szCs w:val="20"/>
              </w:rPr>
            </w:pPr>
            <w:r>
              <w:rPr>
                <w:sz w:val="22"/>
                <w:szCs w:val="22"/>
              </w:rPr>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Котельная № 13/73 п.г.т. Печенга.</w:t>
            </w:r>
            <w:r>
              <w:rPr>
                <w:sz w:val="20"/>
                <w:szCs w:val="20"/>
              </w:rPr>
            </w:r>
            <w:r>
              <w:rPr>
                <w:sz w:val="20"/>
                <w:szCs w:val="20"/>
              </w:rPr>
            </w:r>
          </w:p>
        </w:tc>
        <w:tc>
          <w:tcPr>
            <w:gridSpan w:val="2"/>
            <w:tcW w:w="867" w:type="pct"/>
            <w:vAlign w:val="center"/>
            <w:textDirection w:val="lrTb"/>
            <w:noWrap w:val="false"/>
          </w:tcPr>
          <w:p>
            <w:pPr>
              <w:jc w:val="center"/>
              <w:rPr>
                <w:sz w:val="20"/>
                <w:szCs w:val="20"/>
              </w:rPr>
            </w:pPr>
            <w:r>
              <w:rPr>
                <w:sz w:val="22"/>
                <w:szCs w:val="22"/>
              </w:rPr>
              <w:t xml:space="preserve">П.м.</w:t>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t xml:space="preserve">655</w:t>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t xml:space="preserve">641</w:t>
            </w:r>
            <w:r>
              <w:rPr>
                <w:sz w:val="20"/>
                <w:szCs w:val="20"/>
              </w:rPr>
            </w:r>
            <w:r>
              <w:rPr>
                <w:sz w:val="20"/>
                <w:szCs w:val="20"/>
              </w:rPr>
            </w:r>
          </w:p>
        </w:tc>
      </w:tr>
      <w:tr>
        <w:tblPrEx/>
        <w:trPr/>
        <w:tc>
          <w:tcPr>
            <w:tcW w:w="455" w:type="pct"/>
            <w:textDirection w:val="lrTb"/>
            <w:noWrap w:val="false"/>
          </w:tcPr>
          <w:p>
            <w:pPr>
              <w:pStyle w:val="943"/>
              <w:ind w:left="0"/>
              <w:jc w:val="center"/>
              <w:rPr>
                <w:sz w:val="20"/>
                <w:szCs w:val="20"/>
              </w:rPr>
            </w:pPr>
            <w:r>
              <w:rPr>
                <w:sz w:val="22"/>
                <w:szCs w:val="22"/>
              </w:rPr>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Котельная № 13/55 п.г.т. Печена.</w:t>
            </w:r>
            <w:r>
              <w:rPr>
                <w:sz w:val="20"/>
                <w:szCs w:val="20"/>
              </w:rPr>
            </w:r>
            <w:r>
              <w:rPr>
                <w:sz w:val="20"/>
                <w:szCs w:val="20"/>
              </w:rPr>
            </w:r>
          </w:p>
        </w:tc>
        <w:tc>
          <w:tcPr>
            <w:gridSpan w:val="2"/>
            <w:tcW w:w="867" w:type="pct"/>
            <w:vAlign w:val="center"/>
            <w:textDirection w:val="lrTb"/>
            <w:noWrap w:val="false"/>
          </w:tcPr>
          <w:p>
            <w:pPr>
              <w:jc w:val="center"/>
              <w:rPr>
                <w:sz w:val="20"/>
                <w:szCs w:val="20"/>
              </w:rPr>
            </w:pPr>
            <w:r>
              <w:rPr>
                <w:sz w:val="22"/>
                <w:szCs w:val="22"/>
              </w:rPr>
              <w:t xml:space="preserve">П.м.</w:t>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t xml:space="preserve">-</w:t>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t xml:space="preserve">-</w:t>
            </w:r>
            <w:r>
              <w:rPr>
                <w:sz w:val="20"/>
                <w:szCs w:val="20"/>
              </w:rPr>
            </w:r>
            <w:r>
              <w:rPr>
                <w:sz w:val="20"/>
                <w:szCs w:val="20"/>
              </w:rPr>
            </w:r>
          </w:p>
        </w:tc>
      </w:tr>
      <w:tr>
        <w:tblPrEx/>
        <w:trPr/>
        <w:tc>
          <w:tcPr>
            <w:tcW w:w="455" w:type="pct"/>
            <w:textDirection w:val="lrTb"/>
            <w:noWrap w:val="false"/>
          </w:tcPr>
          <w:p>
            <w:pPr>
              <w:pStyle w:val="943"/>
              <w:ind w:left="0"/>
              <w:jc w:val="center"/>
              <w:rPr>
                <w:sz w:val="20"/>
                <w:szCs w:val="20"/>
              </w:rPr>
            </w:pPr>
            <w:r>
              <w:rPr>
                <w:sz w:val="22"/>
                <w:szCs w:val="22"/>
              </w:rPr>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Котельная № 4/152 ж/д ст. 19 км. п.г.т. Печенга.</w:t>
            </w:r>
            <w:r>
              <w:rPr>
                <w:sz w:val="20"/>
                <w:szCs w:val="20"/>
              </w:rPr>
            </w:r>
            <w:r>
              <w:rPr>
                <w:sz w:val="20"/>
                <w:szCs w:val="20"/>
              </w:rPr>
            </w:r>
          </w:p>
        </w:tc>
        <w:tc>
          <w:tcPr>
            <w:gridSpan w:val="2"/>
            <w:tcW w:w="867" w:type="pct"/>
            <w:vAlign w:val="center"/>
            <w:textDirection w:val="lrTb"/>
            <w:noWrap w:val="false"/>
          </w:tcPr>
          <w:p>
            <w:pPr>
              <w:jc w:val="center"/>
              <w:rPr>
                <w:sz w:val="20"/>
                <w:szCs w:val="20"/>
              </w:rPr>
            </w:pPr>
            <w:r>
              <w:rPr>
                <w:sz w:val="22"/>
                <w:szCs w:val="22"/>
              </w:rPr>
              <w:t xml:space="preserve">П.м.</w:t>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t xml:space="preserve">348</w:t>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t xml:space="preserve">348</w:t>
            </w:r>
            <w:r>
              <w:rPr>
                <w:sz w:val="20"/>
                <w:szCs w:val="20"/>
              </w:rPr>
            </w:r>
            <w:r>
              <w:rPr>
                <w:sz w:val="20"/>
                <w:szCs w:val="20"/>
              </w:rPr>
            </w:r>
          </w:p>
        </w:tc>
      </w:tr>
      <w:tr>
        <w:tblPrEx/>
        <w:trPr/>
        <w:tc>
          <w:tcPr>
            <w:tcW w:w="455" w:type="pct"/>
            <w:textDirection w:val="lrTb"/>
            <w:noWrap w:val="false"/>
          </w:tcPr>
          <w:p>
            <w:pPr>
              <w:pStyle w:val="943"/>
              <w:ind w:left="0"/>
              <w:jc w:val="center"/>
              <w:rPr>
                <w:sz w:val="20"/>
                <w:szCs w:val="20"/>
              </w:rPr>
            </w:pPr>
            <w:r>
              <w:rPr>
                <w:sz w:val="22"/>
                <w:szCs w:val="22"/>
              </w:rPr>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Котельная № 42/138 н.п. Спутник.</w:t>
            </w:r>
            <w:r>
              <w:rPr>
                <w:sz w:val="20"/>
                <w:szCs w:val="20"/>
              </w:rPr>
            </w:r>
            <w:r>
              <w:rPr>
                <w:sz w:val="20"/>
                <w:szCs w:val="20"/>
              </w:rPr>
            </w:r>
          </w:p>
        </w:tc>
        <w:tc>
          <w:tcPr>
            <w:gridSpan w:val="2"/>
            <w:tcW w:w="867" w:type="pct"/>
            <w:vAlign w:val="center"/>
            <w:textDirection w:val="lrTb"/>
            <w:noWrap w:val="false"/>
          </w:tcPr>
          <w:p>
            <w:pPr>
              <w:jc w:val="center"/>
              <w:rPr>
                <w:sz w:val="20"/>
                <w:szCs w:val="20"/>
              </w:rPr>
            </w:pPr>
            <w:r>
              <w:rPr>
                <w:sz w:val="22"/>
                <w:szCs w:val="22"/>
              </w:rPr>
              <w:t xml:space="preserve">П.м.</w:t>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t xml:space="preserve">889</w:t>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t xml:space="preserve">889</w:t>
            </w:r>
            <w:r>
              <w:rPr>
                <w:sz w:val="20"/>
                <w:szCs w:val="20"/>
              </w:rPr>
            </w:r>
            <w:r>
              <w:rPr>
                <w:sz w:val="20"/>
                <w:szCs w:val="20"/>
              </w:rPr>
            </w:r>
          </w:p>
        </w:tc>
      </w:tr>
      <w:tr>
        <w:tblPrEx/>
        <w:trPr/>
        <w:tc>
          <w:tcPr>
            <w:tcW w:w="455" w:type="pct"/>
            <w:textDirection w:val="lrTb"/>
            <w:noWrap w:val="false"/>
          </w:tcPr>
          <w:p>
            <w:pPr>
              <w:pStyle w:val="943"/>
              <w:numPr>
                <w:ilvl w:val="0"/>
                <w:numId w:val="20"/>
              </w:numPr>
              <w:contextualSpacing w:val="0"/>
              <w:ind w:left="0" w:firstLine="0"/>
              <w:jc w:val="center"/>
              <w:widowControl w:val="off"/>
              <w:rPr>
                <w:sz w:val="20"/>
                <w:szCs w:val="20"/>
              </w:rPr>
            </w:pPr>
            <w:r>
              <w:rPr>
                <w:sz w:val="22"/>
                <w:szCs w:val="22"/>
              </w:rPr>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Величина технологических потерь при передаче тепловой энергии, теплоносителя по тепловым сетям, в том числе от источников:</w:t>
            </w:r>
            <w:r>
              <w:rPr>
                <w:sz w:val="20"/>
                <w:szCs w:val="20"/>
              </w:rPr>
            </w:r>
            <w:r>
              <w:rPr>
                <w:sz w:val="20"/>
                <w:szCs w:val="20"/>
              </w:rPr>
            </w:r>
          </w:p>
        </w:tc>
        <w:tc>
          <w:tcPr>
            <w:gridSpan w:val="2"/>
            <w:tcW w:w="867" w:type="pct"/>
            <w:vAlign w:val="center"/>
            <w:textDirection w:val="lrTb"/>
            <w:noWrap w:val="false"/>
          </w:tcPr>
          <w:p>
            <w:pPr>
              <w:jc w:val="center"/>
              <w:rPr>
                <w:sz w:val="20"/>
                <w:szCs w:val="20"/>
              </w:rPr>
            </w:pPr>
            <w:r>
              <w:rPr>
                <w:sz w:val="22"/>
                <w:szCs w:val="22"/>
              </w:rPr>
              <w:t xml:space="preserve">Гкал/год</w:t>
            </w:r>
            <w:r>
              <w:rPr>
                <w:sz w:val="20"/>
                <w:szCs w:val="20"/>
              </w:rPr>
            </w:r>
            <w:r>
              <w:rPr>
                <w:sz w:val="20"/>
                <w:szCs w:val="20"/>
              </w:rPr>
            </w:r>
          </w:p>
          <w:p>
            <w:pPr>
              <w:jc w:val="center"/>
              <w:rPr>
                <w:sz w:val="20"/>
                <w:szCs w:val="20"/>
              </w:rPr>
            </w:pPr>
            <w:r>
              <w:rPr>
                <w:sz w:val="22"/>
                <w:szCs w:val="22"/>
              </w:rPr>
              <w:t xml:space="preserve">Куб.м./год</w:t>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t xml:space="preserve">4360</w:t>
            </w:r>
            <w:r>
              <w:rPr>
                <w:sz w:val="20"/>
                <w:szCs w:val="20"/>
              </w:rPr>
            </w:r>
            <w:r>
              <w:rPr>
                <w:sz w:val="20"/>
                <w:szCs w:val="20"/>
              </w:rPr>
            </w:r>
          </w:p>
          <w:p>
            <w:pPr>
              <w:jc w:val="center"/>
              <w:rPr>
                <w:sz w:val="20"/>
                <w:szCs w:val="20"/>
              </w:rPr>
            </w:pPr>
            <w:r>
              <w:rPr>
                <w:sz w:val="22"/>
                <w:szCs w:val="22"/>
              </w:rPr>
              <w:t xml:space="preserve">4394</w:t>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t xml:space="preserve">2510</w:t>
            </w:r>
            <w:r>
              <w:rPr>
                <w:sz w:val="20"/>
                <w:szCs w:val="20"/>
              </w:rPr>
            </w:r>
            <w:r>
              <w:rPr>
                <w:sz w:val="20"/>
                <w:szCs w:val="20"/>
              </w:rPr>
            </w:r>
          </w:p>
          <w:p>
            <w:pPr>
              <w:jc w:val="center"/>
              <w:rPr>
                <w:sz w:val="20"/>
                <w:szCs w:val="20"/>
              </w:rPr>
            </w:pPr>
            <w:r>
              <w:rPr>
                <w:sz w:val="22"/>
                <w:szCs w:val="22"/>
              </w:rPr>
              <w:t xml:space="preserve">3472</w:t>
            </w:r>
            <w:r>
              <w:rPr>
                <w:sz w:val="20"/>
                <w:szCs w:val="20"/>
              </w:rPr>
            </w:r>
            <w:r>
              <w:rPr>
                <w:sz w:val="20"/>
                <w:szCs w:val="20"/>
              </w:rPr>
            </w:r>
          </w:p>
        </w:tc>
      </w:tr>
      <w:tr>
        <w:tblPrEx/>
        <w:trPr/>
        <w:tc>
          <w:tcPr>
            <w:tcW w:w="455" w:type="pct"/>
            <w:textDirection w:val="lrTb"/>
            <w:noWrap w:val="false"/>
          </w:tcPr>
          <w:p>
            <w:pPr>
              <w:pStyle w:val="943"/>
              <w:ind w:left="0"/>
              <w:jc w:val="center"/>
              <w:rPr>
                <w:sz w:val="20"/>
                <w:szCs w:val="20"/>
              </w:rPr>
            </w:pPr>
            <w:r>
              <w:rPr>
                <w:sz w:val="22"/>
                <w:szCs w:val="22"/>
              </w:rPr>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Котельная № 13/73 п.г.т. Печенга.</w:t>
            </w:r>
            <w:r>
              <w:rPr>
                <w:sz w:val="20"/>
                <w:szCs w:val="20"/>
              </w:rPr>
            </w:r>
            <w:r>
              <w:rPr>
                <w:sz w:val="20"/>
                <w:szCs w:val="20"/>
              </w:rPr>
            </w:r>
          </w:p>
        </w:tc>
        <w:tc>
          <w:tcPr>
            <w:gridSpan w:val="2"/>
            <w:tcW w:w="867" w:type="pct"/>
            <w:vAlign w:val="center"/>
            <w:textDirection w:val="lrTb"/>
            <w:noWrap w:val="false"/>
          </w:tcPr>
          <w:p>
            <w:pPr>
              <w:jc w:val="center"/>
              <w:rPr>
                <w:sz w:val="20"/>
                <w:szCs w:val="20"/>
              </w:rPr>
            </w:pPr>
            <w:r>
              <w:rPr>
                <w:sz w:val="22"/>
                <w:szCs w:val="22"/>
              </w:rPr>
              <w:t xml:space="preserve">Гкал/год</w:t>
            </w:r>
            <w:r>
              <w:rPr>
                <w:sz w:val="20"/>
                <w:szCs w:val="20"/>
              </w:rPr>
            </w:r>
            <w:r>
              <w:rPr>
                <w:sz w:val="20"/>
                <w:szCs w:val="20"/>
              </w:rPr>
            </w:r>
          </w:p>
          <w:p>
            <w:pPr>
              <w:jc w:val="center"/>
              <w:rPr>
                <w:sz w:val="20"/>
                <w:szCs w:val="20"/>
              </w:rPr>
            </w:pPr>
            <w:r>
              <w:rPr>
                <w:sz w:val="22"/>
                <w:szCs w:val="22"/>
              </w:rPr>
              <w:t xml:space="preserve">Куб.м./год</w:t>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t xml:space="preserve">761</w:t>
            </w:r>
            <w:r>
              <w:rPr>
                <w:sz w:val="20"/>
                <w:szCs w:val="20"/>
              </w:rPr>
            </w:r>
            <w:r>
              <w:rPr>
                <w:sz w:val="20"/>
                <w:szCs w:val="20"/>
              </w:rPr>
            </w:r>
          </w:p>
          <w:p>
            <w:pPr>
              <w:jc w:val="center"/>
              <w:rPr>
                <w:sz w:val="20"/>
                <w:szCs w:val="20"/>
              </w:rPr>
            </w:pPr>
            <w:r>
              <w:rPr>
                <w:sz w:val="22"/>
                <w:szCs w:val="22"/>
              </w:rPr>
              <w:t xml:space="preserve">609</w:t>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t xml:space="preserve">454</w:t>
            </w:r>
            <w:r>
              <w:rPr>
                <w:sz w:val="20"/>
                <w:szCs w:val="20"/>
              </w:rPr>
            </w:r>
            <w:r>
              <w:rPr>
                <w:sz w:val="20"/>
                <w:szCs w:val="20"/>
              </w:rPr>
            </w:r>
          </w:p>
          <w:p>
            <w:pPr>
              <w:jc w:val="center"/>
              <w:rPr>
                <w:sz w:val="20"/>
                <w:szCs w:val="20"/>
              </w:rPr>
            </w:pPr>
            <w:r>
              <w:rPr>
                <w:sz w:val="22"/>
                <w:szCs w:val="22"/>
              </w:rPr>
              <w:t xml:space="preserve">474</w:t>
            </w:r>
            <w:r>
              <w:rPr>
                <w:sz w:val="20"/>
                <w:szCs w:val="20"/>
              </w:rPr>
            </w:r>
            <w:r>
              <w:rPr>
                <w:sz w:val="20"/>
                <w:szCs w:val="20"/>
              </w:rPr>
            </w:r>
          </w:p>
        </w:tc>
      </w:tr>
      <w:tr>
        <w:tblPrEx/>
        <w:trPr/>
        <w:tc>
          <w:tcPr>
            <w:tcW w:w="455" w:type="pct"/>
            <w:textDirection w:val="lrTb"/>
            <w:noWrap w:val="false"/>
          </w:tcPr>
          <w:p>
            <w:pPr>
              <w:pStyle w:val="943"/>
              <w:ind w:left="0"/>
              <w:jc w:val="center"/>
              <w:rPr>
                <w:sz w:val="20"/>
                <w:szCs w:val="20"/>
              </w:rPr>
            </w:pPr>
            <w:r>
              <w:rPr>
                <w:sz w:val="22"/>
                <w:szCs w:val="22"/>
              </w:rPr>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Котельная № 13/55 п.г.т. Печена.</w:t>
            </w:r>
            <w:r>
              <w:rPr>
                <w:sz w:val="20"/>
                <w:szCs w:val="20"/>
              </w:rPr>
            </w:r>
            <w:r>
              <w:rPr>
                <w:sz w:val="20"/>
                <w:szCs w:val="20"/>
              </w:rPr>
            </w:r>
          </w:p>
        </w:tc>
        <w:tc>
          <w:tcPr>
            <w:gridSpan w:val="2"/>
            <w:tcW w:w="867" w:type="pct"/>
            <w:vAlign w:val="center"/>
            <w:textDirection w:val="lrTb"/>
            <w:noWrap w:val="false"/>
          </w:tcPr>
          <w:p>
            <w:pPr>
              <w:jc w:val="center"/>
              <w:rPr>
                <w:sz w:val="20"/>
                <w:szCs w:val="20"/>
              </w:rPr>
            </w:pPr>
            <w:r>
              <w:rPr>
                <w:sz w:val="22"/>
                <w:szCs w:val="22"/>
              </w:rPr>
              <w:t xml:space="preserve">Гкал/год</w:t>
            </w:r>
            <w:r>
              <w:rPr>
                <w:sz w:val="20"/>
                <w:szCs w:val="20"/>
              </w:rPr>
            </w:r>
            <w:r>
              <w:rPr>
                <w:sz w:val="20"/>
                <w:szCs w:val="20"/>
              </w:rPr>
            </w:r>
          </w:p>
          <w:p>
            <w:pPr>
              <w:jc w:val="center"/>
              <w:rPr>
                <w:sz w:val="20"/>
                <w:szCs w:val="20"/>
              </w:rPr>
            </w:pPr>
            <w:r>
              <w:rPr>
                <w:sz w:val="22"/>
                <w:szCs w:val="22"/>
              </w:rPr>
              <w:t xml:space="preserve">Куб.м./год</w:t>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t xml:space="preserve">467</w:t>
            </w:r>
            <w:r>
              <w:rPr>
                <w:sz w:val="20"/>
                <w:szCs w:val="20"/>
              </w:rPr>
            </w:r>
            <w:r>
              <w:rPr>
                <w:sz w:val="20"/>
                <w:szCs w:val="20"/>
              </w:rPr>
            </w:r>
          </w:p>
          <w:p>
            <w:pPr>
              <w:jc w:val="center"/>
              <w:rPr>
                <w:sz w:val="20"/>
                <w:szCs w:val="20"/>
              </w:rPr>
            </w:pPr>
            <w:r>
              <w:rPr>
                <w:sz w:val="22"/>
                <w:szCs w:val="22"/>
              </w:rPr>
              <w:t xml:space="preserve">395</w:t>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t xml:space="preserve">259</w:t>
            </w:r>
            <w:r>
              <w:rPr>
                <w:sz w:val="20"/>
                <w:szCs w:val="20"/>
              </w:rPr>
            </w:r>
            <w:r>
              <w:rPr>
                <w:sz w:val="20"/>
                <w:szCs w:val="20"/>
              </w:rPr>
            </w:r>
          </w:p>
          <w:p>
            <w:pPr>
              <w:jc w:val="center"/>
              <w:rPr>
                <w:sz w:val="20"/>
                <w:szCs w:val="20"/>
              </w:rPr>
            </w:pPr>
            <w:r>
              <w:rPr>
                <w:sz w:val="22"/>
                <w:szCs w:val="22"/>
              </w:rPr>
              <w:t xml:space="preserve">237</w:t>
            </w:r>
            <w:r>
              <w:rPr>
                <w:sz w:val="20"/>
                <w:szCs w:val="20"/>
              </w:rPr>
            </w:r>
            <w:r>
              <w:rPr>
                <w:sz w:val="20"/>
                <w:szCs w:val="20"/>
              </w:rPr>
            </w:r>
          </w:p>
        </w:tc>
      </w:tr>
      <w:tr>
        <w:tblPrEx/>
        <w:trPr/>
        <w:tc>
          <w:tcPr>
            <w:tcW w:w="455" w:type="pct"/>
            <w:textDirection w:val="lrTb"/>
            <w:noWrap w:val="false"/>
          </w:tcPr>
          <w:p>
            <w:pPr>
              <w:pStyle w:val="943"/>
              <w:ind w:left="0"/>
              <w:jc w:val="center"/>
              <w:rPr>
                <w:sz w:val="20"/>
                <w:szCs w:val="20"/>
              </w:rPr>
            </w:pPr>
            <w:r>
              <w:rPr>
                <w:sz w:val="22"/>
                <w:szCs w:val="22"/>
              </w:rPr>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Котельная № 4/152 ж/д ст. 19 км. п.г.т. Печенга.</w:t>
            </w:r>
            <w:r>
              <w:rPr>
                <w:sz w:val="20"/>
                <w:szCs w:val="20"/>
              </w:rPr>
            </w:r>
            <w:r>
              <w:rPr>
                <w:sz w:val="20"/>
                <w:szCs w:val="20"/>
              </w:rPr>
            </w:r>
          </w:p>
        </w:tc>
        <w:tc>
          <w:tcPr>
            <w:gridSpan w:val="2"/>
            <w:tcW w:w="867" w:type="pct"/>
            <w:vAlign w:val="center"/>
            <w:textDirection w:val="lrTb"/>
            <w:noWrap w:val="false"/>
          </w:tcPr>
          <w:p>
            <w:pPr>
              <w:jc w:val="center"/>
              <w:rPr>
                <w:sz w:val="20"/>
                <w:szCs w:val="20"/>
              </w:rPr>
            </w:pPr>
            <w:r>
              <w:rPr>
                <w:sz w:val="22"/>
                <w:szCs w:val="22"/>
              </w:rPr>
              <w:t xml:space="preserve">Гкал/год</w:t>
            </w:r>
            <w:r>
              <w:rPr>
                <w:sz w:val="20"/>
                <w:szCs w:val="20"/>
              </w:rPr>
            </w:r>
            <w:r>
              <w:rPr>
                <w:sz w:val="20"/>
                <w:szCs w:val="20"/>
              </w:rPr>
            </w:r>
          </w:p>
          <w:p>
            <w:pPr>
              <w:jc w:val="center"/>
              <w:rPr>
                <w:sz w:val="20"/>
                <w:szCs w:val="20"/>
              </w:rPr>
            </w:pPr>
            <w:r>
              <w:rPr>
                <w:sz w:val="22"/>
                <w:szCs w:val="22"/>
              </w:rPr>
              <w:t xml:space="preserve">Куб.м./год</w:t>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t xml:space="preserve">814</w:t>
            </w:r>
            <w:r>
              <w:rPr>
                <w:sz w:val="20"/>
                <w:szCs w:val="20"/>
              </w:rPr>
            </w:r>
            <w:r>
              <w:rPr>
                <w:sz w:val="20"/>
                <w:szCs w:val="20"/>
              </w:rPr>
            </w:r>
          </w:p>
          <w:p>
            <w:pPr>
              <w:jc w:val="center"/>
              <w:rPr>
                <w:sz w:val="20"/>
                <w:szCs w:val="20"/>
              </w:rPr>
            </w:pPr>
            <w:r>
              <w:rPr>
                <w:sz w:val="22"/>
                <w:szCs w:val="22"/>
              </w:rPr>
              <w:t xml:space="preserve">686</w:t>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t xml:space="preserve">608</w:t>
            </w:r>
            <w:r>
              <w:rPr>
                <w:sz w:val="20"/>
                <w:szCs w:val="20"/>
              </w:rPr>
            </w:r>
            <w:r>
              <w:rPr>
                <w:sz w:val="20"/>
                <w:szCs w:val="20"/>
              </w:rPr>
            </w:r>
          </w:p>
          <w:p>
            <w:pPr>
              <w:jc w:val="center"/>
              <w:rPr>
                <w:sz w:val="20"/>
                <w:szCs w:val="20"/>
              </w:rPr>
            </w:pPr>
            <w:r>
              <w:rPr>
                <w:sz w:val="22"/>
                <w:szCs w:val="22"/>
              </w:rPr>
              <w:t xml:space="preserve">840</w:t>
            </w:r>
            <w:r>
              <w:rPr>
                <w:sz w:val="20"/>
                <w:szCs w:val="20"/>
              </w:rPr>
            </w:r>
            <w:r>
              <w:rPr>
                <w:sz w:val="20"/>
                <w:szCs w:val="20"/>
              </w:rPr>
            </w:r>
          </w:p>
        </w:tc>
      </w:tr>
      <w:tr>
        <w:tblPrEx/>
        <w:trPr/>
        <w:tc>
          <w:tcPr>
            <w:tcW w:w="455" w:type="pct"/>
            <w:textDirection w:val="lrTb"/>
            <w:noWrap w:val="false"/>
          </w:tcPr>
          <w:p>
            <w:pPr>
              <w:pStyle w:val="943"/>
              <w:ind w:left="0"/>
              <w:jc w:val="center"/>
              <w:rPr>
                <w:sz w:val="20"/>
                <w:szCs w:val="20"/>
              </w:rPr>
            </w:pPr>
            <w:r>
              <w:rPr>
                <w:sz w:val="22"/>
                <w:szCs w:val="22"/>
              </w:rPr>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Котельная № 42/138 н.п. Спутник.</w:t>
            </w:r>
            <w:r>
              <w:rPr>
                <w:sz w:val="20"/>
                <w:szCs w:val="20"/>
              </w:rPr>
            </w:r>
            <w:r>
              <w:rPr>
                <w:sz w:val="20"/>
                <w:szCs w:val="20"/>
              </w:rPr>
            </w:r>
          </w:p>
        </w:tc>
        <w:tc>
          <w:tcPr>
            <w:gridSpan w:val="2"/>
            <w:tcW w:w="867" w:type="pct"/>
            <w:vAlign w:val="center"/>
            <w:textDirection w:val="lrTb"/>
            <w:noWrap w:val="false"/>
          </w:tcPr>
          <w:p>
            <w:pPr>
              <w:jc w:val="center"/>
              <w:rPr>
                <w:sz w:val="20"/>
                <w:szCs w:val="20"/>
              </w:rPr>
            </w:pPr>
            <w:r>
              <w:rPr>
                <w:sz w:val="22"/>
                <w:szCs w:val="22"/>
              </w:rPr>
              <w:t xml:space="preserve">Гкал/год</w:t>
            </w:r>
            <w:r>
              <w:rPr>
                <w:sz w:val="20"/>
                <w:szCs w:val="20"/>
              </w:rPr>
            </w:r>
            <w:r>
              <w:rPr>
                <w:sz w:val="20"/>
                <w:szCs w:val="20"/>
              </w:rPr>
            </w:r>
          </w:p>
          <w:p>
            <w:pPr>
              <w:jc w:val="center"/>
              <w:rPr>
                <w:sz w:val="20"/>
                <w:szCs w:val="20"/>
              </w:rPr>
            </w:pPr>
            <w:r>
              <w:rPr>
                <w:sz w:val="22"/>
                <w:szCs w:val="22"/>
              </w:rPr>
              <w:t xml:space="preserve">Куб.м./год</w:t>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t xml:space="preserve">2318</w:t>
            </w:r>
            <w:r>
              <w:rPr>
                <w:sz w:val="20"/>
                <w:szCs w:val="20"/>
              </w:rPr>
            </w:r>
            <w:r>
              <w:rPr>
                <w:sz w:val="20"/>
                <w:szCs w:val="20"/>
              </w:rPr>
            </w:r>
          </w:p>
          <w:p>
            <w:pPr>
              <w:jc w:val="center"/>
              <w:rPr>
                <w:sz w:val="20"/>
                <w:szCs w:val="20"/>
              </w:rPr>
            </w:pPr>
            <w:r>
              <w:rPr>
                <w:sz w:val="22"/>
                <w:szCs w:val="22"/>
              </w:rPr>
              <w:t xml:space="preserve">2707</w:t>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t xml:space="preserve">1189</w:t>
            </w:r>
            <w:r>
              <w:rPr>
                <w:sz w:val="20"/>
                <w:szCs w:val="20"/>
              </w:rPr>
            </w:r>
            <w:r>
              <w:rPr>
                <w:sz w:val="20"/>
                <w:szCs w:val="20"/>
              </w:rPr>
            </w:r>
          </w:p>
          <w:p>
            <w:pPr>
              <w:jc w:val="center"/>
              <w:rPr>
                <w:sz w:val="20"/>
                <w:szCs w:val="20"/>
              </w:rPr>
            </w:pPr>
            <w:r>
              <w:rPr>
                <w:sz w:val="22"/>
                <w:szCs w:val="22"/>
              </w:rPr>
              <w:t xml:space="preserve">1921</w:t>
            </w:r>
            <w:r>
              <w:rPr>
                <w:sz w:val="20"/>
                <w:szCs w:val="20"/>
              </w:rPr>
            </w:r>
            <w:r>
              <w:rPr>
                <w:sz w:val="20"/>
                <w:szCs w:val="20"/>
              </w:rPr>
            </w:r>
          </w:p>
        </w:tc>
      </w:tr>
      <w:tr>
        <w:tblPrEx/>
        <w:trPr/>
        <w:tc>
          <w:tcPr>
            <w:tcW w:w="455" w:type="pct"/>
            <w:textDirection w:val="lrTb"/>
            <w:noWrap w:val="false"/>
          </w:tcPr>
          <w:p>
            <w:pPr>
              <w:pStyle w:val="943"/>
              <w:numPr>
                <w:ilvl w:val="0"/>
                <w:numId w:val="20"/>
              </w:numPr>
              <w:contextualSpacing w:val="0"/>
              <w:ind w:left="0" w:firstLine="0"/>
              <w:jc w:val="center"/>
              <w:widowControl w:val="off"/>
              <w:rPr>
                <w:sz w:val="20"/>
                <w:szCs w:val="20"/>
              </w:rPr>
            </w:pPr>
            <w:r>
              <w:rPr>
                <w:sz w:val="22"/>
                <w:szCs w:val="22"/>
              </w:rPr>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Отношение величины технологических потерь тепловой энергии, теплоносителя к материальной характеристике тепловой сети, в том числе от источников:</w:t>
            </w:r>
            <w:r>
              <w:rPr>
                <w:sz w:val="20"/>
                <w:szCs w:val="20"/>
              </w:rPr>
            </w:r>
            <w:r>
              <w:rPr>
                <w:sz w:val="20"/>
                <w:szCs w:val="20"/>
              </w:rPr>
            </w:r>
          </w:p>
        </w:tc>
        <w:tc>
          <w:tcPr>
            <w:gridSpan w:val="2"/>
            <w:tcW w:w="867" w:type="pct"/>
            <w:vAlign w:val="center"/>
            <w:textDirection w:val="lrTb"/>
            <w:noWrap w:val="false"/>
          </w:tcPr>
          <w:p>
            <w:pPr>
              <w:jc w:val="center"/>
              <w:rPr>
                <w:sz w:val="20"/>
                <w:szCs w:val="20"/>
              </w:rPr>
            </w:pPr>
            <w:r>
              <w:rPr>
                <w:sz w:val="22"/>
                <w:szCs w:val="22"/>
              </w:rPr>
              <w:t xml:space="preserve">Гкал/м²</w:t>
            </w:r>
            <w:r>
              <w:rPr>
                <w:sz w:val="20"/>
                <w:szCs w:val="20"/>
              </w:rPr>
            </w:r>
            <w:r>
              <w:rPr>
                <w:sz w:val="20"/>
                <w:szCs w:val="20"/>
              </w:rPr>
            </w:r>
          </w:p>
          <w:p>
            <w:pPr>
              <w:jc w:val="center"/>
              <w:rPr>
                <w:sz w:val="20"/>
                <w:szCs w:val="20"/>
              </w:rPr>
            </w:pPr>
            <w:r>
              <w:rPr>
                <w:sz w:val="22"/>
                <w:szCs w:val="22"/>
              </w:rPr>
              <w:t xml:space="preserve">Куб.м./м²</w:t>
            </w:r>
            <w:r>
              <w:rPr>
                <w:sz w:val="20"/>
                <w:szCs w:val="20"/>
              </w:rPr>
            </w:r>
            <w:r>
              <w:rPr>
                <w:sz w:val="20"/>
                <w:szCs w:val="20"/>
              </w:rPr>
            </w:r>
          </w:p>
          <w:p>
            <w:pPr>
              <w:jc w:val="center"/>
              <w:rPr>
                <w:sz w:val="20"/>
                <w:szCs w:val="20"/>
              </w:rPr>
            </w:pPr>
            <w:r>
              <w:rPr>
                <w:sz w:val="22"/>
                <w:szCs w:val="22"/>
              </w:rPr>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t xml:space="preserve">2,54</w:t>
            </w:r>
            <w:r>
              <w:rPr>
                <w:sz w:val="20"/>
                <w:szCs w:val="20"/>
              </w:rPr>
            </w:r>
            <w:r>
              <w:rPr>
                <w:sz w:val="20"/>
                <w:szCs w:val="20"/>
              </w:rPr>
            </w:r>
          </w:p>
          <w:p>
            <w:pPr>
              <w:jc w:val="center"/>
              <w:rPr>
                <w:sz w:val="20"/>
                <w:szCs w:val="20"/>
              </w:rPr>
            </w:pPr>
            <w:r>
              <w:rPr>
                <w:sz w:val="22"/>
                <w:szCs w:val="22"/>
              </w:rPr>
              <w:t xml:space="preserve">2,56</w:t>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t xml:space="preserve">1,44</w:t>
            </w:r>
            <w:r>
              <w:rPr>
                <w:sz w:val="20"/>
                <w:szCs w:val="20"/>
              </w:rPr>
            </w:r>
            <w:r>
              <w:rPr>
                <w:sz w:val="20"/>
                <w:szCs w:val="20"/>
              </w:rPr>
            </w:r>
          </w:p>
          <w:p>
            <w:pPr>
              <w:jc w:val="center"/>
              <w:rPr>
                <w:sz w:val="20"/>
                <w:szCs w:val="20"/>
              </w:rPr>
            </w:pPr>
            <w:r>
              <w:rPr>
                <w:sz w:val="22"/>
                <w:szCs w:val="22"/>
              </w:rPr>
              <w:t xml:space="preserve">1,99</w:t>
            </w:r>
            <w:r>
              <w:rPr>
                <w:sz w:val="20"/>
                <w:szCs w:val="20"/>
              </w:rPr>
            </w:r>
            <w:r>
              <w:rPr>
                <w:sz w:val="20"/>
                <w:szCs w:val="20"/>
              </w:rPr>
            </w:r>
          </w:p>
        </w:tc>
      </w:tr>
      <w:tr>
        <w:tblPrEx/>
        <w:trPr/>
        <w:tc>
          <w:tcPr>
            <w:tcW w:w="455" w:type="pct"/>
            <w:textDirection w:val="lrTb"/>
            <w:noWrap w:val="false"/>
          </w:tcPr>
          <w:p>
            <w:pPr>
              <w:pStyle w:val="943"/>
              <w:ind w:left="0"/>
              <w:jc w:val="center"/>
              <w:rPr>
                <w:sz w:val="20"/>
                <w:szCs w:val="20"/>
              </w:rPr>
            </w:pPr>
            <w:r>
              <w:rPr>
                <w:sz w:val="22"/>
                <w:szCs w:val="22"/>
              </w:rPr>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Котельная № 13/73 п.г.т. Печенга.</w:t>
            </w:r>
            <w:r>
              <w:rPr>
                <w:sz w:val="20"/>
                <w:szCs w:val="20"/>
              </w:rPr>
            </w:r>
            <w:r>
              <w:rPr>
                <w:sz w:val="20"/>
                <w:szCs w:val="20"/>
              </w:rPr>
            </w:r>
          </w:p>
        </w:tc>
        <w:tc>
          <w:tcPr>
            <w:gridSpan w:val="2"/>
            <w:tcW w:w="867" w:type="pct"/>
            <w:vAlign w:val="center"/>
            <w:textDirection w:val="lrTb"/>
            <w:noWrap w:val="false"/>
          </w:tcPr>
          <w:p>
            <w:pPr>
              <w:jc w:val="center"/>
              <w:rPr>
                <w:sz w:val="20"/>
                <w:szCs w:val="20"/>
              </w:rPr>
            </w:pPr>
            <w:r>
              <w:rPr>
                <w:sz w:val="22"/>
                <w:szCs w:val="22"/>
              </w:rPr>
              <w:t xml:space="preserve">Гкал/м²</w:t>
            </w:r>
            <w:r>
              <w:rPr>
                <w:sz w:val="20"/>
                <w:szCs w:val="20"/>
              </w:rPr>
            </w:r>
            <w:r>
              <w:rPr>
                <w:sz w:val="20"/>
                <w:szCs w:val="20"/>
              </w:rPr>
            </w:r>
          </w:p>
          <w:p>
            <w:pPr>
              <w:jc w:val="center"/>
              <w:rPr>
                <w:sz w:val="20"/>
                <w:szCs w:val="20"/>
              </w:rPr>
            </w:pPr>
            <w:r>
              <w:rPr>
                <w:sz w:val="22"/>
                <w:szCs w:val="22"/>
              </w:rPr>
              <w:t xml:space="preserve">Куб.м./м²</w:t>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t xml:space="preserve">2,73</w:t>
            </w:r>
            <w:r>
              <w:rPr>
                <w:sz w:val="20"/>
                <w:szCs w:val="20"/>
              </w:rPr>
            </w:r>
            <w:r>
              <w:rPr>
                <w:sz w:val="20"/>
                <w:szCs w:val="20"/>
              </w:rPr>
            </w:r>
          </w:p>
          <w:p>
            <w:pPr>
              <w:jc w:val="center"/>
              <w:rPr>
                <w:sz w:val="20"/>
                <w:szCs w:val="20"/>
              </w:rPr>
            </w:pPr>
            <w:r>
              <w:rPr>
                <w:sz w:val="22"/>
                <w:szCs w:val="22"/>
              </w:rPr>
              <w:t xml:space="preserve">2,19</w:t>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t xml:space="preserve">1,51</w:t>
            </w:r>
            <w:r>
              <w:rPr>
                <w:sz w:val="20"/>
                <w:szCs w:val="20"/>
              </w:rPr>
            </w:r>
            <w:r>
              <w:rPr>
                <w:sz w:val="20"/>
                <w:szCs w:val="20"/>
              </w:rPr>
            </w:r>
          </w:p>
          <w:p>
            <w:pPr>
              <w:jc w:val="center"/>
              <w:rPr>
                <w:sz w:val="20"/>
                <w:szCs w:val="20"/>
              </w:rPr>
            </w:pPr>
            <w:r>
              <w:rPr>
                <w:sz w:val="22"/>
                <w:szCs w:val="22"/>
              </w:rPr>
              <w:t xml:space="preserve">1,58</w:t>
            </w:r>
            <w:r>
              <w:rPr>
                <w:sz w:val="20"/>
                <w:szCs w:val="20"/>
              </w:rPr>
            </w:r>
            <w:r>
              <w:rPr>
                <w:sz w:val="20"/>
                <w:szCs w:val="20"/>
              </w:rPr>
            </w:r>
          </w:p>
        </w:tc>
      </w:tr>
      <w:tr>
        <w:tblPrEx/>
        <w:trPr/>
        <w:tc>
          <w:tcPr>
            <w:tcW w:w="455" w:type="pct"/>
            <w:textDirection w:val="lrTb"/>
            <w:noWrap w:val="false"/>
          </w:tcPr>
          <w:p>
            <w:pPr>
              <w:pStyle w:val="943"/>
              <w:ind w:left="0"/>
              <w:jc w:val="center"/>
              <w:rPr>
                <w:sz w:val="20"/>
                <w:szCs w:val="20"/>
              </w:rPr>
            </w:pPr>
            <w:r>
              <w:rPr>
                <w:sz w:val="22"/>
                <w:szCs w:val="22"/>
              </w:rPr>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Котельная № 13/55 п.г.т. Печена.</w:t>
            </w:r>
            <w:r>
              <w:rPr>
                <w:sz w:val="20"/>
                <w:szCs w:val="20"/>
              </w:rPr>
            </w:r>
            <w:r>
              <w:rPr>
                <w:sz w:val="20"/>
                <w:szCs w:val="20"/>
              </w:rPr>
            </w:r>
          </w:p>
        </w:tc>
        <w:tc>
          <w:tcPr>
            <w:gridSpan w:val="2"/>
            <w:tcW w:w="867" w:type="pct"/>
            <w:vAlign w:val="center"/>
            <w:textDirection w:val="lrTb"/>
            <w:noWrap w:val="false"/>
          </w:tcPr>
          <w:p>
            <w:pPr>
              <w:jc w:val="center"/>
              <w:rPr>
                <w:sz w:val="20"/>
                <w:szCs w:val="20"/>
              </w:rPr>
            </w:pPr>
            <w:r>
              <w:rPr>
                <w:sz w:val="22"/>
                <w:szCs w:val="22"/>
              </w:rPr>
              <w:t xml:space="preserve">Гкал/м²</w:t>
            </w:r>
            <w:r>
              <w:rPr>
                <w:sz w:val="20"/>
                <w:szCs w:val="20"/>
              </w:rPr>
            </w:r>
            <w:r>
              <w:rPr>
                <w:sz w:val="20"/>
                <w:szCs w:val="20"/>
              </w:rPr>
            </w:r>
          </w:p>
          <w:p>
            <w:pPr>
              <w:jc w:val="center"/>
              <w:rPr>
                <w:sz w:val="20"/>
                <w:szCs w:val="20"/>
              </w:rPr>
            </w:pPr>
            <w:r>
              <w:rPr>
                <w:sz w:val="22"/>
                <w:szCs w:val="22"/>
              </w:rPr>
              <w:t xml:space="preserve">Куб.м./м²</w:t>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t xml:space="preserve">2,51</w:t>
            </w:r>
            <w:r>
              <w:rPr>
                <w:sz w:val="20"/>
                <w:szCs w:val="20"/>
              </w:rPr>
            </w:r>
            <w:r>
              <w:rPr>
                <w:sz w:val="20"/>
                <w:szCs w:val="20"/>
              </w:rPr>
            </w:r>
          </w:p>
          <w:p>
            <w:pPr>
              <w:jc w:val="center"/>
              <w:rPr>
                <w:sz w:val="20"/>
                <w:szCs w:val="20"/>
              </w:rPr>
            </w:pPr>
            <w:r>
              <w:rPr>
                <w:sz w:val="22"/>
                <w:szCs w:val="22"/>
              </w:rPr>
              <w:t xml:space="preserve">2,12</w:t>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t xml:space="preserve">1,39</w:t>
            </w:r>
            <w:r>
              <w:rPr>
                <w:sz w:val="20"/>
                <w:szCs w:val="20"/>
              </w:rPr>
            </w:r>
            <w:r>
              <w:rPr>
                <w:sz w:val="20"/>
                <w:szCs w:val="20"/>
              </w:rPr>
            </w:r>
          </w:p>
          <w:p>
            <w:pPr>
              <w:jc w:val="center"/>
              <w:rPr>
                <w:sz w:val="20"/>
                <w:szCs w:val="20"/>
              </w:rPr>
            </w:pPr>
            <w:r>
              <w:rPr>
                <w:sz w:val="22"/>
                <w:szCs w:val="22"/>
              </w:rPr>
              <w:t xml:space="preserve">1,27</w:t>
            </w:r>
            <w:r>
              <w:rPr>
                <w:sz w:val="20"/>
                <w:szCs w:val="20"/>
              </w:rPr>
            </w:r>
            <w:r>
              <w:rPr>
                <w:sz w:val="20"/>
                <w:szCs w:val="20"/>
              </w:rPr>
            </w:r>
          </w:p>
        </w:tc>
      </w:tr>
      <w:tr>
        <w:tblPrEx/>
        <w:trPr/>
        <w:tc>
          <w:tcPr>
            <w:tcW w:w="455" w:type="pct"/>
            <w:textDirection w:val="lrTb"/>
            <w:noWrap w:val="false"/>
          </w:tcPr>
          <w:p>
            <w:pPr>
              <w:pStyle w:val="943"/>
              <w:ind w:left="0"/>
              <w:jc w:val="center"/>
              <w:rPr>
                <w:sz w:val="20"/>
                <w:szCs w:val="20"/>
              </w:rPr>
            </w:pPr>
            <w:r>
              <w:rPr>
                <w:sz w:val="22"/>
                <w:szCs w:val="22"/>
              </w:rPr>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Котельная № 4/152 ж/д ст. 19 км. п.г.т. Печенга.</w:t>
            </w:r>
            <w:r>
              <w:rPr>
                <w:sz w:val="20"/>
                <w:szCs w:val="20"/>
              </w:rPr>
            </w:r>
            <w:r>
              <w:rPr>
                <w:sz w:val="20"/>
                <w:szCs w:val="20"/>
              </w:rPr>
            </w:r>
          </w:p>
        </w:tc>
        <w:tc>
          <w:tcPr>
            <w:gridSpan w:val="2"/>
            <w:tcW w:w="867" w:type="pct"/>
            <w:vAlign w:val="center"/>
            <w:textDirection w:val="lrTb"/>
            <w:noWrap w:val="false"/>
          </w:tcPr>
          <w:p>
            <w:pPr>
              <w:jc w:val="center"/>
              <w:rPr>
                <w:sz w:val="20"/>
                <w:szCs w:val="20"/>
              </w:rPr>
            </w:pPr>
            <w:r>
              <w:rPr>
                <w:sz w:val="22"/>
                <w:szCs w:val="22"/>
              </w:rPr>
              <w:t xml:space="preserve">Гкал/м²</w:t>
            </w:r>
            <w:r>
              <w:rPr>
                <w:sz w:val="20"/>
                <w:szCs w:val="20"/>
              </w:rPr>
            </w:r>
            <w:r>
              <w:rPr>
                <w:sz w:val="20"/>
                <w:szCs w:val="20"/>
              </w:rPr>
            </w:r>
          </w:p>
          <w:p>
            <w:pPr>
              <w:jc w:val="center"/>
              <w:rPr>
                <w:sz w:val="20"/>
                <w:szCs w:val="20"/>
              </w:rPr>
            </w:pPr>
            <w:r>
              <w:rPr>
                <w:sz w:val="22"/>
                <w:szCs w:val="22"/>
              </w:rPr>
              <w:t xml:space="preserve">Куб.м./м²</w:t>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t xml:space="preserve">2,04</w:t>
            </w:r>
            <w:r>
              <w:rPr>
                <w:sz w:val="20"/>
                <w:szCs w:val="20"/>
              </w:rPr>
            </w:r>
            <w:r>
              <w:rPr>
                <w:sz w:val="20"/>
                <w:szCs w:val="20"/>
              </w:rPr>
            </w:r>
          </w:p>
          <w:p>
            <w:pPr>
              <w:jc w:val="center"/>
              <w:rPr>
                <w:sz w:val="20"/>
                <w:szCs w:val="20"/>
              </w:rPr>
            </w:pPr>
            <w:r>
              <w:rPr>
                <w:sz w:val="22"/>
                <w:szCs w:val="22"/>
              </w:rPr>
              <w:t xml:space="preserve">1,72</w:t>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t xml:space="preserve">1,53</w:t>
            </w:r>
            <w:r>
              <w:rPr>
                <w:sz w:val="20"/>
                <w:szCs w:val="20"/>
              </w:rPr>
            </w:r>
            <w:r>
              <w:rPr>
                <w:sz w:val="20"/>
                <w:szCs w:val="20"/>
              </w:rPr>
            </w:r>
          </w:p>
          <w:p>
            <w:pPr>
              <w:jc w:val="center"/>
              <w:rPr>
                <w:sz w:val="20"/>
                <w:szCs w:val="20"/>
              </w:rPr>
            </w:pPr>
            <w:r>
              <w:rPr>
                <w:sz w:val="22"/>
                <w:szCs w:val="22"/>
              </w:rPr>
              <w:t xml:space="preserve">2,11</w:t>
            </w:r>
            <w:r>
              <w:rPr>
                <w:sz w:val="20"/>
                <w:szCs w:val="20"/>
              </w:rPr>
            </w:r>
            <w:r>
              <w:rPr>
                <w:sz w:val="20"/>
                <w:szCs w:val="20"/>
              </w:rPr>
            </w:r>
          </w:p>
        </w:tc>
      </w:tr>
      <w:tr>
        <w:tblPrEx/>
        <w:trPr/>
        <w:tc>
          <w:tcPr>
            <w:tcW w:w="455" w:type="pct"/>
            <w:textDirection w:val="lrTb"/>
            <w:noWrap w:val="false"/>
          </w:tcPr>
          <w:p>
            <w:pPr>
              <w:pStyle w:val="943"/>
              <w:ind w:left="0"/>
              <w:jc w:val="center"/>
              <w:rPr>
                <w:sz w:val="20"/>
                <w:szCs w:val="20"/>
              </w:rPr>
            </w:pPr>
            <w:r>
              <w:rPr>
                <w:sz w:val="22"/>
                <w:szCs w:val="22"/>
              </w:rPr>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Котельная № 42/138 н.п. Спутник.</w:t>
            </w:r>
            <w:r>
              <w:rPr>
                <w:sz w:val="20"/>
                <w:szCs w:val="20"/>
              </w:rPr>
            </w:r>
            <w:r>
              <w:rPr>
                <w:sz w:val="20"/>
                <w:szCs w:val="20"/>
              </w:rPr>
            </w:r>
          </w:p>
        </w:tc>
        <w:tc>
          <w:tcPr>
            <w:gridSpan w:val="2"/>
            <w:tcW w:w="867" w:type="pct"/>
            <w:vAlign w:val="center"/>
            <w:textDirection w:val="lrTb"/>
            <w:noWrap w:val="false"/>
          </w:tcPr>
          <w:p>
            <w:pPr>
              <w:jc w:val="center"/>
              <w:rPr>
                <w:sz w:val="20"/>
                <w:szCs w:val="20"/>
              </w:rPr>
            </w:pPr>
            <w:r>
              <w:rPr>
                <w:sz w:val="22"/>
                <w:szCs w:val="22"/>
              </w:rPr>
              <w:t xml:space="preserve">Гкал/м²</w:t>
            </w:r>
            <w:r>
              <w:rPr>
                <w:sz w:val="20"/>
                <w:szCs w:val="20"/>
              </w:rPr>
            </w:r>
            <w:r>
              <w:rPr>
                <w:sz w:val="20"/>
                <w:szCs w:val="20"/>
              </w:rPr>
            </w:r>
          </w:p>
          <w:p>
            <w:pPr>
              <w:jc w:val="center"/>
              <w:rPr>
                <w:sz w:val="20"/>
                <w:szCs w:val="20"/>
              </w:rPr>
            </w:pPr>
            <w:r>
              <w:rPr>
                <w:sz w:val="22"/>
                <w:szCs w:val="22"/>
              </w:rPr>
              <w:t xml:space="preserve">Куб.м./м²</w:t>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t xml:space="preserve">2,7</w:t>
            </w:r>
            <w:r>
              <w:rPr>
                <w:sz w:val="20"/>
                <w:szCs w:val="20"/>
              </w:rPr>
            </w:r>
            <w:r>
              <w:rPr>
                <w:sz w:val="20"/>
                <w:szCs w:val="20"/>
              </w:rPr>
            </w:r>
          </w:p>
          <w:p>
            <w:pPr>
              <w:jc w:val="center"/>
              <w:rPr>
                <w:sz w:val="20"/>
                <w:szCs w:val="20"/>
              </w:rPr>
            </w:pPr>
            <w:r>
              <w:rPr>
                <w:sz w:val="22"/>
                <w:szCs w:val="22"/>
              </w:rPr>
              <w:t xml:space="preserve">3,16</w:t>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t xml:space="preserve">1,39</w:t>
            </w:r>
            <w:r>
              <w:rPr>
                <w:sz w:val="20"/>
                <w:szCs w:val="20"/>
              </w:rPr>
            </w:r>
            <w:r>
              <w:rPr>
                <w:sz w:val="20"/>
                <w:szCs w:val="20"/>
              </w:rPr>
            </w:r>
          </w:p>
          <w:p>
            <w:pPr>
              <w:jc w:val="center"/>
              <w:rPr>
                <w:sz w:val="20"/>
                <w:szCs w:val="20"/>
              </w:rPr>
            </w:pPr>
            <w:r>
              <w:rPr>
                <w:sz w:val="22"/>
                <w:szCs w:val="22"/>
              </w:rPr>
              <w:t xml:space="preserve">2,24</w:t>
            </w:r>
            <w:r>
              <w:rPr>
                <w:sz w:val="20"/>
                <w:szCs w:val="20"/>
              </w:rPr>
            </w:r>
            <w:r>
              <w:rPr>
                <w:sz w:val="20"/>
                <w:szCs w:val="20"/>
              </w:rPr>
            </w:r>
          </w:p>
        </w:tc>
      </w:tr>
      <w:tr>
        <w:tblPrEx/>
        <w:trPr/>
        <w:tc>
          <w:tcPr>
            <w:tcW w:w="455" w:type="pct"/>
            <w:textDirection w:val="lrTb"/>
            <w:noWrap w:val="false"/>
          </w:tcPr>
          <w:p>
            <w:pPr>
              <w:pStyle w:val="943"/>
              <w:numPr>
                <w:ilvl w:val="0"/>
                <w:numId w:val="20"/>
              </w:numPr>
              <w:contextualSpacing w:val="0"/>
              <w:ind w:left="0" w:firstLine="0"/>
              <w:jc w:val="center"/>
              <w:widowControl w:val="off"/>
              <w:rPr>
                <w:sz w:val="20"/>
                <w:szCs w:val="20"/>
              </w:rPr>
            </w:pPr>
            <w:r>
              <w:rPr>
                <w:sz w:val="22"/>
                <w:szCs w:val="22"/>
              </w:rPr>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Материальная характеристика тепловой сети, в том числе от источников:</w:t>
            </w:r>
            <w:r>
              <w:rPr>
                <w:sz w:val="20"/>
                <w:szCs w:val="20"/>
              </w:rPr>
            </w:r>
            <w:r>
              <w:rPr>
                <w:sz w:val="20"/>
                <w:szCs w:val="20"/>
              </w:rPr>
            </w:r>
          </w:p>
        </w:tc>
        <w:tc>
          <w:tcPr>
            <w:gridSpan w:val="2"/>
            <w:tcW w:w="867" w:type="pct"/>
            <w:vAlign w:val="center"/>
            <w:textDirection w:val="lrTb"/>
            <w:noWrap w:val="false"/>
          </w:tcPr>
          <w:p>
            <w:pPr>
              <w:jc w:val="center"/>
              <w:rPr>
                <w:sz w:val="20"/>
                <w:szCs w:val="20"/>
              </w:rPr>
            </w:pPr>
            <w:r>
              <w:rPr>
                <w:sz w:val="22"/>
                <w:szCs w:val="22"/>
              </w:rPr>
              <w:t xml:space="preserve">М</w:t>
            </w:r>
            <w:r>
              <w:rPr>
                <w:sz w:val="22"/>
                <w:szCs w:val="22"/>
                <w:vertAlign w:val="superscript"/>
              </w:rPr>
              <w:t xml:space="preserve">2</w:t>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t xml:space="preserve">1719,9</w:t>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t xml:space="preserve">1742,4</w:t>
            </w:r>
            <w:r>
              <w:rPr>
                <w:sz w:val="20"/>
                <w:szCs w:val="20"/>
              </w:rPr>
            </w:r>
            <w:r>
              <w:rPr>
                <w:sz w:val="20"/>
                <w:szCs w:val="20"/>
              </w:rPr>
            </w:r>
          </w:p>
        </w:tc>
      </w:tr>
      <w:tr>
        <w:tblPrEx/>
        <w:trPr/>
        <w:tc>
          <w:tcPr>
            <w:tcW w:w="455" w:type="pct"/>
            <w:textDirection w:val="lrTb"/>
            <w:noWrap w:val="false"/>
          </w:tcPr>
          <w:p>
            <w:pPr>
              <w:pStyle w:val="943"/>
              <w:ind w:left="0"/>
              <w:jc w:val="center"/>
              <w:rPr>
                <w:sz w:val="20"/>
                <w:szCs w:val="20"/>
              </w:rPr>
            </w:pPr>
            <w:r>
              <w:rPr>
                <w:sz w:val="22"/>
                <w:szCs w:val="22"/>
              </w:rPr>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Котельная № 13/73 п.г.т. Печенга.</w:t>
            </w:r>
            <w:r>
              <w:rPr>
                <w:sz w:val="20"/>
                <w:szCs w:val="20"/>
              </w:rPr>
            </w:r>
            <w:r>
              <w:rPr>
                <w:sz w:val="20"/>
                <w:szCs w:val="20"/>
              </w:rPr>
            </w:r>
          </w:p>
        </w:tc>
        <w:tc>
          <w:tcPr>
            <w:gridSpan w:val="2"/>
            <w:tcW w:w="867" w:type="pct"/>
            <w:textDirection w:val="lrTb"/>
            <w:noWrap w:val="false"/>
          </w:tcPr>
          <w:p>
            <w:pPr>
              <w:jc w:val="center"/>
              <w:rPr>
                <w:sz w:val="20"/>
                <w:szCs w:val="20"/>
              </w:rPr>
            </w:pPr>
            <w:r>
              <w:rPr>
                <w:sz w:val="22"/>
                <w:szCs w:val="22"/>
              </w:rPr>
              <w:t xml:space="preserve">М</w:t>
            </w:r>
            <w:r>
              <w:rPr>
                <w:sz w:val="22"/>
                <w:szCs w:val="22"/>
                <w:vertAlign w:val="superscript"/>
              </w:rPr>
              <w:t xml:space="preserve">2</w:t>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t xml:space="preserve">278,4</w:t>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t xml:space="preserve">300,7</w:t>
            </w:r>
            <w:r>
              <w:rPr>
                <w:sz w:val="20"/>
                <w:szCs w:val="20"/>
              </w:rPr>
            </w:r>
            <w:r>
              <w:rPr>
                <w:sz w:val="20"/>
                <w:szCs w:val="20"/>
              </w:rPr>
            </w:r>
          </w:p>
        </w:tc>
      </w:tr>
      <w:tr>
        <w:tblPrEx/>
        <w:trPr/>
        <w:tc>
          <w:tcPr>
            <w:tcW w:w="455" w:type="pct"/>
            <w:textDirection w:val="lrTb"/>
            <w:noWrap w:val="false"/>
          </w:tcPr>
          <w:p>
            <w:pPr>
              <w:pStyle w:val="943"/>
              <w:ind w:left="0"/>
              <w:jc w:val="center"/>
              <w:rPr>
                <w:sz w:val="20"/>
                <w:szCs w:val="20"/>
              </w:rPr>
            </w:pPr>
            <w:r>
              <w:rPr>
                <w:sz w:val="22"/>
                <w:szCs w:val="22"/>
              </w:rPr>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Котельная № 13/55 п.г.т. Печена.</w:t>
            </w:r>
            <w:r>
              <w:rPr>
                <w:sz w:val="20"/>
                <w:szCs w:val="20"/>
              </w:rPr>
            </w:r>
            <w:r>
              <w:rPr>
                <w:sz w:val="20"/>
                <w:szCs w:val="20"/>
              </w:rPr>
            </w:r>
          </w:p>
        </w:tc>
        <w:tc>
          <w:tcPr>
            <w:gridSpan w:val="2"/>
            <w:tcW w:w="867" w:type="pct"/>
            <w:textDirection w:val="lrTb"/>
            <w:noWrap w:val="false"/>
          </w:tcPr>
          <w:p>
            <w:pPr>
              <w:jc w:val="center"/>
              <w:rPr>
                <w:sz w:val="20"/>
                <w:szCs w:val="20"/>
              </w:rPr>
            </w:pPr>
            <w:r>
              <w:rPr>
                <w:sz w:val="22"/>
                <w:szCs w:val="22"/>
              </w:rPr>
              <w:t xml:space="preserve">М</w:t>
            </w:r>
            <w:r>
              <w:rPr>
                <w:sz w:val="22"/>
                <w:szCs w:val="22"/>
                <w:vertAlign w:val="superscript"/>
              </w:rPr>
              <w:t xml:space="preserve">2</w:t>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t xml:space="preserve">186,3</w:t>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t xml:space="preserve">186,6</w:t>
            </w:r>
            <w:r>
              <w:rPr>
                <w:sz w:val="20"/>
                <w:szCs w:val="20"/>
              </w:rPr>
            </w:r>
            <w:r>
              <w:rPr>
                <w:sz w:val="20"/>
                <w:szCs w:val="20"/>
              </w:rPr>
            </w:r>
          </w:p>
        </w:tc>
      </w:tr>
      <w:tr>
        <w:tblPrEx/>
        <w:trPr/>
        <w:tc>
          <w:tcPr>
            <w:tcW w:w="455" w:type="pct"/>
            <w:textDirection w:val="lrTb"/>
            <w:noWrap w:val="false"/>
          </w:tcPr>
          <w:p>
            <w:pPr>
              <w:pStyle w:val="943"/>
              <w:ind w:left="0"/>
              <w:jc w:val="center"/>
              <w:rPr>
                <w:sz w:val="20"/>
                <w:szCs w:val="20"/>
              </w:rPr>
            </w:pPr>
            <w:r>
              <w:rPr>
                <w:sz w:val="22"/>
                <w:szCs w:val="22"/>
              </w:rPr>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Котельная № 4/152 ж/д ст. 19 км. п.г.т. Печенга.</w:t>
            </w:r>
            <w:r>
              <w:rPr>
                <w:sz w:val="20"/>
                <w:szCs w:val="20"/>
              </w:rPr>
            </w:r>
            <w:r>
              <w:rPr>
                <w:sz w:val="20"/>
                <w:szCs w:val="20"/>
              </w:rPr>
            </w:r>
          </w:p>
        </w:tc>
        <w:tc>
          <w:tcPr>
            <w:gridSpan w:val="2"/>
            <w:tcW w:w="867" w:type="pct"/>
            <w:textDirection w:val="lrTb"/>
            <w:noWrap w:val="false"/>
          </w:tcPr>
          <w:p>
            <w:pPr>
              <w:jc w:val="center"/>
              <w:rPr>
                <w:sz w:val="20"/>
                <w:szCs w:val="20"/>
              </w:rPr>
            </w:pPr>
            <w:r>
              <w:rPr>
                <w:sz w:val="22"/>
                <w:szCs w:val="22"/>
              </w:rPr>
              <w:t xml:space="preserve">М</w:t>
            </w:r>
            <w:r>
              <w:rPr>
                <w:sz w:val="22"/>
                <w:szCs w:val="22"/>
                <w:vertAlign w:val="superscript"/>
              </w:rPr>
              <w:t xml:space="preserve">2</w:t>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t xml:space="preserve">398,2</w:t>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t xml:space="preserve">398,2</w:t>
            </w:r>
            <w:r>
              <w:rPr>
                <w:sz w:val="20"/>
                <w:szCs w:val="20"/>
              </w:rPr>
            </w:r>
            <w:r>
              <w:rPr>
                <w:sz w:val="20"/>
                <w:szCs w:val="20"/>
              </w:rPr>
            </w:r>
          </w:p>
        </w:tc>
      </w:tr>
      <w:tr>
        <w:tblPrEx/>
        <w:trPr/>
        <w:tc>
          <w:tcPr>
            <w:tcW w:w="455" w:type="pct"/>
            <w:textDirection w:val="lrTb"/>
            <w:noWrap w:val="false"/>
          </w:tcPr>
          <w:p>
            <w:pPr>
              <w:pStyle w:val="943"/>
              <w:ind w:left="0"/>
              <w:jc w:val="center"/>
              <w:rPr>
                <w:sz w:val="20"/>
                <w:szCs w:val="20"/>
              </w:rPr>
            </w:pPr>
            <w:r>
              <w:rPr>
                <w:sz w:val="22"/>
                <w:szCs w:val="22"/>
              </w:rPr>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Котельная № 42/138 н.п. Спутник.</w:t>
            </w:r>
            <w:r>
              <w:rPr>
                <w:sz w:val="20"/>
                <w:szCs w:val="20"/>
              </w:rPr>
            </w:r>
            <w:r>
              <w:rPr>
                <w:sz w:val="20"/>
                <w:szCs w:val="20"/>
              </w:rPr>
            </w:r>
          </w:p>
        </w:tc>
        <w:tc>
          <w:tcPr>
            <w:gridSpan w:val="2"/>
            <w:tcW w:w="867" w:type="pct"/>
            <w:textDirection w:val="lrTb"/>
            <w:noWrap w:val="false"/>
          </w:tcPr>
          <w:p>
            <w:pPr>
              <w:jc w:val="center"/>
              <w:rPr>
                <w:sz w:val="20"/>
                <w:szCs w:val="20"/>
              </w:rPr>
            </w:pPr>
            <w:r>
              <w:rPr>
                <w:sz w:val="22"/>
                <w:szCs w:val="22"/>
              </w:rPr>
              <w:t xml:space="preserve">М</w:t>
            </w:r>
            <w:r>
              <w:rPr>
                <w:sz w:val="22"/>
                <w:szCs w:val="22"/>
                <w:vertAlign w:val="superscript"/>
              </w:rPr>
              <w:t xml:space="preserve">2</w:t>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t xml:space="preserve">857</w:t>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t xml:space="preserve">857</w:t>
            </w:r>
            <w:r>
              <w:rPr>
                <w:sz w:val="20"/>
                <w:szCs w:val="20"/>
              </w:rPr>
            </w:r>
            <w:r>
              <w:rPr>
                <w:sz w:val="20"/>
                <w:szCs w:val="20"/>
              </w:rPr>
            </w:r>
          </w:p>
        </w:tc>
      </w:tr>
      <w:tr>
        <w:tblPrEx/>
        <w:trPr/>
        <w:tc>
          <w:tcPr>
            <w:tcW w:w="455" w:type="pct"/>
            <w:textDirection w:val="lrTb"/>
            <w:noWrap w:val="false"/>
          </w:tcPr>
          <w:p>
            <w:pPr>
              <w:pStyle w:val="943"/>
              <w:numPr>
                <w:ilvl w:val="0"/>
                <w:numId w:val="20"/>
              </w:numPr>
              <w:contextualSpacing w:val="0"/>
              <w:ind w:left="0" w:firstLine="0"/>
              <w:jc w:val="center"/>
              <w:widowControl w:val="off"/>
              <w:rPr>
                <w:sz w:val="20"/>
                <w:szCs w:val="20"/>
              </w:rPr>
            </w:pPr>
            <w:r>
              <w:rPr>
                <w:sz w:val="22"/>
                <w:szCs w:val="22"/>
              </w:rPr>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Средневзвешенный диаметр сети, в том числе от источников:</w:t>
            </w:r>
            <w:r>
              <w:rPr>
                <w:sz w:val="20"/>
                <w:szCs w:val="20"/>
              </w:rPr>
            </w:r>
            <w:r>
              <w:rPr>
                <w:sz w:val="20"/>
                <w:szCs w:val="20"/>
              </w:rPr>
            </w:r>
          </w:p>
        </w:tc>
        <w:tc>
          <w:tcPr>
            <w:gridSpan w:val="2"/>
            <w:tcW w:w="867" w:type="pct"/>
            <w:vAlign w:val="center"/>
            <w:textDirection w:val="lrTb"/>
            <w:noWrap w:val="false"/>
          </w:tcPr>
          <w:p>
            <w:pPr>
              <w:jc w:val="center"/>
              <w:rPr>
                <w:sz w:val="20"/>
                <w:szCs w:val="20"/>
              </w:rPr>
            </w:pPr>
            <w:r>
              <w:rPr>
                <w:sz w:val="22"/>
                <w:szCs w:val="22"/>
              </w:rPr>
              <w:t xml:space="preserve">мм</w:t>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t xml:space="preserve">131,7</w:t>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t xml:space="preserve">132,8</w:t>
            </w:r>
            <w:r>
              <w:rPr>
                <w:sz w:val="20"/>
                <w:szCs w:val="20"/>
              </w:rPr>
            </w:r>
            <w:r>
              <w:rPr>
                <w:sz w:val="20"/>
                <w:szCs w:val="20"/>
              </w:rPr>
            </w:r>
          </w:p>
        </w:tc>
      </w:tr>
      <w:tr>
        <w:tblPrEx/>
        <w:trPr/>
        <w:tc>
          <w:tcPr>
            <w:tcW w:w="455" w:type="pct"/>
            <w:textDirection w:val="lrTb"/>
            <w:noWrap w:val="false"/>
          </w:tcPr>
          <w:p>
            <w:pPr>
              <w:pStyle w:val="943"/>
              <w:ind w:left="0"/>
              <w:jc w:val="center"/>
              <w:rPr>
                <w:sz w:val="20"/>
                <w:szCs w:val="20"/>
              </w:rPr>
            </w:pPr>
            <w:r>
              <w:rPr>
                <w:sz w:val="22"/>
                <w:szCs w:val="22"/>
              </w:rPr>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Котельная № 13/73 п.г.т. Печенга.</w:t>
            </w:r>
            <w:r>
              <w:rPr>
                <w:sz w:val="20"/>
                <w:szCs w:val="20"/>
              </w:rPr>
            </w:r>
            <w:r>
              <w:rPr>
                <w:sz w:val="20"/>
                <w:szCs w:val="20"/>
              </w:rPr>
            </w:r>
          </w:p>
        </w:tc>
        <w:tc>
          <w:tcPr>
            <w:gridSpan w:val="2"/>
            <w:tcW w:w="867" w:type="pct"/>
            <w:textDirection w:val="lrTb"/>
            <w:noWrap w:val="false"/>
          </w:tcPr>
          <w:p>
            <w:pPr>
              <w:jc w:val="center"/>
              <w:rPr>
                <w:sz w:val="20"/>
                <w:szCs w:val="20"/>
              </w:rPr>
            </w:pPr>
            <w:r>
              <w:rPr>
                <w:sz w:val="22"/>
                <w:szCs w:val="22"/>
              </w:rPr>
              <w:t xml:space="preserve">мм</w:t>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t xml:space="preserve">108,94</w:t>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t xml:space="preserve">117,23</w:t>
            </w:r>
            <w:r>
              <w:rPr>
                <w:sz w:val="20"/>
                <w:szCs w:val="20"/>
              </w:rPr>
            </w:r>
            <w:r>
              <w:rPr>
                <w:sz w:val="20"/>
                <w:szCs w:val="20"/>
              </w:rPr>
            </w:r>
          </w:p>
        </w:tc>
      </w:tr>
      <w:tr>
        <w:tblPrEx/>
        <w:trPr/>
        <w:tc>
          <w:tcPr>
            <w:tcW w:w="455" w:type="pct"/>
            <w:textDirection w:val="lrTb"/>
            <w:noWrap w:val="false"/>
          </w:tcPr>
          <w:p>
            <w:pPr>
              <w:pStyle w:val="943"/>
              <w:ind w:left="0"/>
              <w:jc w:val="center"/>
              <w:rPr>
                <w:sz w:val="20"/>
                <w:szCs w:val="20"/>
              </w:rPr>
            </w:pPr>
            <w:r>
              <w:rPr>
                <w:sz w:val="22"/>
                <w:szCs w:val="22"/>
              </w:rPr>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Котельная № 13/55 п.г.т. Печена.</w:t>
            </w:r>
            <w:r>
              <w:rPr>
                <w:sz w:val="20"/>
                <w:szCs w:val="20"/>
              </w:rPr>
            </w:r>
            <w:r>
              <w:rPr>
                <w:sz w:val="20"/>
                <w:szCs w:val="20"/>
              </w:rPr>
            </w:r>
          </w:p>
        </w:tc>
        <w:tc>
          <w:tcPr>
            <w:gridSpan w:val="2"/>
            <w:tcW w:w="867" w:type="pct"/>
            <w:textDirection w:val="lrTb"/>
            <w:noWrap w:val="false"/>
          </w:tcPr>
          <w:p>
            <w:pPr>
              <w:jc w:val="center"/>
              <w:rPr>
                <w:sz w:val="20"/>
                <w:szCs w:val="20"/>
              </w:rPr>
            </w:pPr>
            <w:r>
              <w:rPr>
                <w:sz w:val="22"/>
                <w:szCs w:val="22"/>
              </w:rPr>
              <w:t xml:space="preserve">мм</w:t>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t xml:space="preserve">143,76</w:t>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t xml:space="preserve">137,79</w:t>
            </w:r>
            <w:r>
              <w:rPr>
                <w:sz w:val="20"/>
                <w:szCs w:val="20"/>
              </w:rPr>
            </w:r>
            <w:r>
              <w:rPr>
                <w:sz w:val="20"/>
                <w:szCs w:val="20"/>
              </w:rPr>
            </w:r>
          </w:p>
        </w:tc>
      </w:tr>
      <w:tr>
        <w:tblPrEx/>
        <w:trPr/>
        <w:tc>
          <w:tcPr>
            <w:tcW w:w="455" w:type="pct"/>
            <w:textDirection w:val="lrTb"/>
            <w:noWrap w:val="false"/>
          </w:tcPr>
          <w:p>
            <w:pPr>
              <w:pStyle w:val="943"/>
              <w:ind w:left="0"/>
              <w:jc w:val="center"/>
              <w:rPr>
                <w:sz w:val="20"/>
                <w:szCs w:val="20"/>
              </w:rPr>
            </w:pPr>
            <w:r>
              <w:rPr>
                <w:sz w:val="22"/>
                <w:szCs w:val="22"/>
              </w:rPr>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Котельная № 4/152 ж/д ст. 19 км. п.г.т. Печенга.</w:t>
            </w:r>
            <w:r>
              <w:rPr>
                <w:sz w:val="20"/>
                <w:szCs w:val="20"/>
              </w:rPr>
            </w:r>
            <w:r>
              <w:rPr>
                <w:sz w:val="20"/>
                <w:szCs w:val="20"/>
              </w:rPr>
            </w:r>
          </w:p>
        </w:tc>
        <w:tc>
          <w:tcPr>
            <w:gridSpan w:val="2"/>
            <w:tcW w:w="867" w:type="pct"/>
            <w:textDirection w:val="lrTb"/>
            <w:noWrap w:val="false"/>
          </w:tcPr>
          <w:p>
            <w:pPr>
              <w:jc w:val="center"/>
              <w:rPr>
                <w:sz w:val="20"/>
                <w:szCs w:val="20"/>
              </w:rPr>
            </w:pPr>
            <w:r>
              <w:rPr>
                <w:sz w:val="22"/>
                <w:szCs w:val="22"/>
              </w:rPr>
              <w:t xml:space="preserve">мм</w:t>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t xml:space="preserve">130,73</w:t>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t xml:space="preserve">130,73</w:t>
            </w:r>
            <w:r>
              <w:rPr>
                <w:sz w:val="20"/>
                <w:szCs w:val="20"/>
              </w:rPr>
            </w:r>
            <w:r>
              <w:rPr>
                <w:sz w:val="20"/>
                <w:szCs w:val="20"/>
              </w:rPr>
            </w:r>
          </w:p>
        </w:tc>
      </w:tr>
      <w:tr>
        <w:tblPrEx/>
        <w:trPr/>
        <w:tc>
          <w:tcPr>
            <w:tcW w:w="455" w:type="pct"/>
            <w:textDirection w:val="lrTb"/>
            <w:noWrap w:val="false"/>
          </w:tcPr>
          <w:p>
            <w:pPr>
              <w:pStyle w:val="943"/>
              <w:ind w:left="0"/>
              <w:jc w:val="center"/>
              <w:rPr>
                <w:sz w:val="20"/>
                <w:szCs w:val="20"/>
              </w:rPr>
            </w:pPr>
            <w:r>
              <w:rPr>
                <w:sz w:val="22"/>
                <w:szCs w:val="22"/>
              </w:rPr>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Котельная № 42/138 н.п. Спутник.</w:t>
            </w:r>
            <w:r>
              <w:rPr>
                <w:sz w:val="20"/>
                <w:szCs w:val="20"/>
              </w:rPr>
            </w:r>
            <w:r>
              <w:rPr>
                <w:sz w:val="20"/>
                <w:szCs w:val="20"/>
              </w:rPr>
            </w:r>
          </w:p>
        </w:tc>
        <w:tc>
          <w:tcPr>
            <w:gridSpan w:val="2"/>
            <w:tcW w:w="867" w:type="pct"/>
            <w:textDirection w:val="lrTb"/>
            <w:noWrap w:val="false"/>
          </w:tcPr>
          <w:p>
            <w:pPr>
              <w:jc w:val="center"/>
              <w:rPr>
                <w:sz w:val="20"/>
                <w:szCs w:val="20"/>
              </w:rPr>
            </w:pPr>
            <w:r>
              <w:rPr>
                <w:sz w:val="22"/>
                <w:szCs w:val="22"/>
              </w:rPr>
              <w:t xml:space="preserve">мм</w:t>
            </w:r>
            <w:r>
              <w:rPr>
                <w:sz w:val="20"/>
                <w:szCs w:val="20"/>
              </w:rPr>
            </w:r>
            <w:r>
              <w:rPr>
                <w:sz w:val="20"/>
                <w:szCs w:val="20"/>
              </w:rPr>
            </w:r>
          </w:p>
        </w:tc>
        <w:tc>
          <w:tcPr>
            <w:tcW w:w="694" w:type="pct"/>
            <w:vAlign w:val="center"/>
            <w:textDirection w:val="lrTb"/>
            <w:noWrap w:val="false"/>
          </w:tcPr>
          <w:p>
            <w:pPr>
              <w:jc w:val="center"/>
              <w:rPr>
                <w:sz w:val="20"/>
                <w:szCs w:val="20"/>
              </w:rPr>
            </w:pPr>
            <w:r>
              <w:rPr>
                <w:sz w:val="22"/>
                <w:szCs w:val="22"/>
              </w:rPr>
              <w:t xml:space="preserve">139,12</w:t>
            </w:r>
            <w:r>
              <w:rPr>
                <w:sz w:val="20"/>
                <w:szCs w:val="20"/>
              </w:rPr>
            </w:r>
            <w:r>
              <w:rPr>
                <w:sz w:val="20"/>
                <w:szCs w:val="20"/>
              </w:rPr>
            </w:r>
          </w:p>
        </w:tc>
        <w:tc>
          <w:tcPr>
            <w:tcW w:w="833" w:type="pct"/>
            <w:vAlign w:val="center"/>
            <w:textDirection w:val="lrTb"/>
            <w:noWrap w:val="false"/>
          </w:tcPr>
          <w:p>
            <w:pPr>
              <w:jc w:val="center"/>
              <w:rPr>
                <w:sz w:val="20"/>
                <w:szCs w:val="20"/>
              </w:rPr>
            </w:pPr>
            <w:r>
              <w:rPr>
                <w:sz w:val="22"/>
                <w:szCs w:val="22"/>
              </w:rPr>
              <w:t xml:space="preserve">139,12</w:t>
            </w:r>
            <w:r>
              <w:rPr>
                <w:sz w:val="20"/>
                <w:szCs w:val="20"/>
              </w:rPr>
            </w:r>
            <w:r>
              <w:rPr>
                <w:sz w:val="20"/>
                <w:szCs w:val="20"/>
              </w:rPr>
            </w:r>
          </w:p>
        </w:tc>
      </w:tr>
      <w:tr>
        <w:tblPrEx/>
        <w:trPr>
          <w:trHeight w:val="462"/>
        </w:trPr>
        <w:tc>
          <w:tcPr>
            <w:tcW w:w="455" w:type="pct"/>
            <w:textDirection w:val="lrTb"/>
            <w:noWrap w:val="false"/>
          </w:tcPr>
          <w:p>
            <w:pPr>
              <w:pStyle w:val="943"/>
              <w:numPr>
                <w:ilvl w:val="0"/>
                <w:numId w:val="20"/>
              </w:numPr>
              <w:contextualSpacing w:val="0"/>
              <w:ind w:left="0" w:firstLine="0"/>
              <w:jc w:val="center"/>
              <w:widowControl w:val="off"/>
              <w:rPr>
                <w:sz w:val="20"/>
                <w:szCs w:val="20"/>
              </w:rPr>
            </w:pPr>
            <w:r>
              <w:rPr>
                <w:sz w:val="22"/>
                <w:szCs w:val="22"/>
              </w:rPr>
            </w:r>
            <w:r>
              <w:rPr>
                <w:sz w:val="20"/>
                <w:szCs w:val="20"/>
              </w:rPr>
            </w:r>
            <w:r>
              <w:rPr>
                <w:sz w:val="20"/>
                <w:szCs w:val="20"/>
              </w:rPr>
            </w:r>
          </w:p>
        </w:tc>
        <w:tc>
          <w:tcPr>
            <w:gridSpan w:val="2"/>
            <w:tcW w:w="2151" w:type="pct"/>
            <w:textDirection w:val="lrTb"/>
            <w:noWrap w:val="false"/>
          </w:tcPr>
          <w:p>
            <w:pPr>
              <w:jc w:val="both"/>
              <w:rPr>
                <w:sz w:val="20"/>
                <w:szCs w:val="20"/>
              </w:rPr>
            </w:pPr>
            <w:r>
              <w:rPr>
                <w:sz w:val="22"/>
                <w:szCs w:val="22"/>
              </w:rPr>
              <w:t xml:space="preserve">Необходимая валовая выручка.</w:t>
            </w:r>
            <w:r>
              <w:rPr>
                <w:sz w:val="20"/>
                <w:szCs w:val="20"/>
              </w:rPr>
            </w:r>
            <w:r>
              <w:rPr>
                <w:sz w:val="20"/>
                <w:szCs w:val="20"/>
              </w:rPr>
            </w:r>
          </w:p>
        </w:tc>
        <w:tc>
          <w:tcPr>
            <w:gridSpan w:val="2"/>
            <w:tcW w:w="867" w:type="pct"/>
            <w:vAlign w:val="center"/>
            <w:textDirection w:val="lrTb"/>
            <w:noWrap w:val="false"/>
          </w:tcPr>
          <w:p>
            <w:pPr>
              <w:jc w:val="center"/>
              <w:rPr>
                <w:sz w:val="20"/>
                <w:szCs w:val="20"/>
              </w:rPr>
            </w:pPr>
            <w:r>
              <w:rPr>
                <w:sz w:val="22"/>
                <w:szCs w:val="22"/>
              </w:rPr>
              <w:t xml:space="preserve">млн. руб.</w:t>
            </w:r>
            <w:r>
              <w:rPr>
                <w:sz w:val="20"/>
                <w:szCs w:val="20"/>
              </w:rPr>
            </w:r>
            <w:r>
              <w:rPr>
                <w:sz w:val="20"/>
                <w:szCs w:val="20"/>
              </w:rPr>
            </w:r>
          </w:p>
        </w:tc>
        <w:tc>
          <w:tcPr>
            <w:gridSpan w:val="2"/>
            <w:tcW w:w="1527" w:type="pct"/>
            <w:vAlign w:val="center"/>
            <w:textDirection w:val="lrTb"/>
            <w:noWrap w:val="false"/>
          </w:tcPr>
          <w:p>
            <w:pPr>
              <w:jc w:val="center"/>
              <w:rPr>
                <w:sz w:val="20"/>
                <w:szCs w:val="20"/>
              </w:rPr>
            </w:pPr>
            <w:r>
              <w:rPr>
                <w:sz w:val="22"/>
                <w:szCs w:val="22"/>
              </w:rPr>
              <w:t xml:space="preserve">В соотв. с приложением № 4</w:t>
            </w:r>
            <w:r>
              <w:rPr>
                <w:sz w:val="20"/>
                <w:szCs w:val="20"/>
              </w:rPr>
            </w:r>
            <w:r>
              <w:rPr>
                <w:sz w:val="20"/>
                <w:szCs w:val="20"/>
              </w:rPr>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c>
          <w:tcPr>
            <w:gridSpan w:val="2"/>
            <w:tcW w:w="1667" w:type="pct"/>
            <w:textDirection w:val="lrTb"/>
            <w:noWrap w:val="false"/>
          </w:tcPr>
          <w:p>
            <w:pPr>
              <w:jc w:val="center"/>
              <w:rPr>
                <w:b/>
                <w:sz w:val="20"/>
                <w:szCs w:val="20"/>
              </w:rPr>
            </w:pPr>
            <w:r>
              <w:rPr>
                <w:b/>
                <w:sz w:val="22"/>
                <w:szCs w:val="22"/>
              </w:rPr>
            </w:r>
            <w:r>
              <w:rPr>
                <w:b/>
                <w:sz w:val="20"/>
                <w:szCs w:val="20"/>
              </w:rPr>
            </w:r>
            <w:r>
              <w:rPr>
                <w:b/>
                <w:sz w:val="20"/>
                <w:szCs w:val="20"/>
              </w:rPr>
            </w:r>
          </w:p>
          <w:p>
            <w:pPr>
              <w:jc w:val="center"/>
              <w:rPr>
                <w:b/>
                <w:sz w:val="20"/>
                <w:szCs w:val="20"/>
              </w:rPr>
            </w:pPr>
            <w:r>
              <w:rPr>
                <w:b/>
                <w:sz w:val="22"/>
                <w:szCs w:val="22"/>
              </w:rPr>
              <w:t xml:space="preserve">Концедент</w:t>
            </w:r>
            <w:r>
              <w:rPr>
                <w:b/>
                <w:sz w:val="20"/>
                <w:szCs w:val="20"/>
              </w:rPr>
            </w:r>
            <w:r>
              <w:rPr>
                <w:b/>
                <w:sz w:val="20"/>
                <w:szCs w:val="20"/>
              </w:rPr>
            </w:r>
          </w:p>
        </w:tc>
        <w:tc>
          <w:tcPr>
            <w:gridSpan w:val="2"/>
            <w:tcW w:w="1667" w:type="pct"/>
            <w:textDirection w:val="lrTb"/>
            <w:noWrap w:val="false"/>
          </w:tcPr>
          <w:p>
            <w:pPr>
              <w:jc w:val="center"/>
              <w:rPr>
                <w:b/>
                <w:sz w:val="20"/>
                <w:szCs w:val="20"/>
              </w:rPr>
            </w:pPr>
            <w:r>
              <w:rPr>
                <w:b/>
                <w:sz w:val="22"/>
                <w:szCs w:val="22"/>
              </w:rPr>
            </w:r>
            <w:r>
              <w:rPr>
                <w:b/>
                <w:sz w:val="20"/>
                <w:szCs w:val="20"/>
              </w:rPr>
            </w:r>
            <w:r>
              <w:rPr>
                <w:b/>
                <w:sz w:val="20"/>
                <w:szCs w:val="20"/>
              </w:rPr>
            </w:r>
          </w:p>
          <w:p>
            <w:pPr>
              <w:jc w:val="center"/>
              <w:rPr>
                <w:b/>
                <w:sz w:val="20"/>
                <w:szCs w:val="20"/>
              </w:rPr>
            </w:pPr>
            <w:r>
              <w:rPr>
                <w:b/>
                <w:sz w:val="22"/>
                <w:szCs w:val="22"/>
              </w:rPr>
              <w:t xml:space="preserve">Концессионер</w:t>
            </w:r>
            <w:r>
              <w:rPr>
                <w:b/>
                <w:sz w:val="20"/>
                <w:szCs w:val="20"/>
              </w:rPr>
            </w:r>
            <w:r>
              <w:rPr>
                <w:b/>
                <w:sz w:val="20"/>
                <w:szCs w:val="20"/>
              </w:rPr>
            </w:r>
          </w:p>
        </w:tc>
        <w:tc>
          <w:tcPr>
            <w:gridSpan w:val="3"/>
            <w:tcW w:w="1666" w:type="pct"/>
            <w:textDirection w:val="lrTb"/>
            <w:noWrap w:val="false"/>
          </w:tcPr>
          <w:p>
            <w:pPr>
              <w:jc w:val="center"/>
              <w:rPr>
                <w:b/>
                <w:sz w:val="20"/>
                <w:szCs w:val="20"/>
              </w:rPr>
            </w:pPr>
            <w:r>
              <w:rPr>
                <w:b/>
                <w:sz w:val="22"/>
                <w:szCs w:val="22"/>
              </w:rPr>
            </w:r>
            <w:r>
              <w:rPr>
                <w:b/>
                <w:sz w:val="20"/>
                <w:szCs w:val="20"/>
              </w:rPr>
            </w:r>
            <w:r>
              <w:rPr>
                <w:b/>
                <w:sz w:val="20"/>
                <w:szCs w:val="20"/>
              </w:rPr>
            </w:r>
          </w:p>
          <w:p>
            <w:pPr>
              <w:jc w:val="center"/>
              <w:rPr>
                <w:b/>
                <w:sz w:val="20"/>
                <w:szCs w:val="20"/>
              </w:rPr>
            </w:pPr>
            <w:r>
              <w:rPr>
                <w:b/>
                <w:sz w:val="22"/>
                <w:szCs w:val="22"/>
              </w:rPr>
              <w:t xml:space="preserve">Субъект</w:t>
            </w:r>
            <w:r>
              <w:rPr>
                <w:b/>
                <w:sz w:val="20"/>
                <w:szCs w:val="20"/>
              </w:rPr>
            </w:r>
            <w:r>
              <w:rPr>
                <w:b/>
                <w:sz w:val="20"/>
                <w:szCs w:val="20"/>
              </w:rPr>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c>
          <w:tcPr>
            <w:gridSpan w:val="2"/>
            <w:tcW w:w="1667" w:type="pct"/>
            <w:textDirection w:val="lrTb"/>
            <w:noWrap w:val="false"/>
          </w:tcPr>
          <w:p>
            <w:pPr>
              <w:jc w:val="center"/>
              <w:rPr>
                <w:b/>
                <w:sz w:val="20"/>
                <w:szCs w:val="20"/>
              </w:rPr>
            </w:pPr>
            <w:r>
              <w:rPr>
                <w:b/>
                <w:sz w:val="22"/>
                <w:szCs w:val="22"/>
              </w:rPr>
              <w:t xml:space="preserve">Муниципальное образование Печенгский муниципальный округ Мурманской области</w:t>
            </w:r>
            <w:r>
              <w:rPr>
                <w:b/>
                <w:sz w:val="20"/>
                <w:szCs w:val="20"/>
              </w:rPr>
            </w:r>
            <w:r>
              <w:rPr>
                <w:b/>
                <w:sz w:val="20"/>
                <w:szCs w:val="20"/>
              </w:rPr>
            </w:r>
          </w:p>
        </w:tc>
        <w:tc>
          <w:tcPr>
            <w:gridSpan w:val="2"/>
            <w:tcW w:w="1667" w:type="pct"/>
            <w:textDirection w:val="lrTb"/>
            <w:noWrap w:val="false"/>
          </w:tcPr>
          <w:p>
            <w:pPr>
              <w:jc w:val="center"/>
              <w:rPr>
                <w:b/>
                <w:sz w:val="20"/>
                <w:szCs w:val="20"/>
              </w:rPr>
            </w:pPr>
            <w:r>
              <w:rPr>
                <w:b/>
                <w:sz w:val="22"/>
                <w:szCs w:val="22"/>
              </w:rPr>
              <w:t xml:space="preserve">Общество с ограниченной ответственностью «ПромВоенСтрой»</w:t>
            </w:r>
            <w:r>
              <w:rPr>
                <w:b/>
                <w:sz w:val="20"/>
                <w:szCs w:val="20"/>
              </w:rPr>
            </w:r>
            <w:r>
              <w:rPr>
                <w:b/>
                <w:sz w:val="20"/>
                <w:szCs w:val="20"/>
              </w:rPr>
            </w:r>
          </w:p>
        </w:tc>
        <w:tc>
          <w:tcPr>
            <w:gridSpan w:val="3"/>
            <w:tcW w:w="1666" w:type="pct"/>
            <w:textDirection w:val="lrTb"/>
            <w:noWrap w:val="false"/>
          </w:tcPr>
          <w:p>
            <w:pPr>
              <w:jc w:val="center"/>
              <w:rPr>
                <w:b/>
                <w:sz w:val="20"/>
                <w:szCs w:val="20"/>
              </w:rPr>
            </w:pPr>
            <w:r>
              <w:rPr>
                <w:b/>
                <w:sz w:val="22"/>
                <w:szCs w:val="22"/>
              </w:rPr>
              <w:t xml:space="preserve">Мурманская область</w:t>
            </w:r>
            <w:r>
              <w:rPr>
                <w:b/>
                <w:sz w:val="20"/>
                <w:szCs w:val="20"/>
              </w:rPr>
            </w:r>
            <w:r>
              <w:rPr>
                <w:b/>
                <w:sz w:val="20"/>
                <w:szCs w:val="20"/>
              </w:rPr>
            </w:r>
          </w:p>
          <w:p>
            <w:pPr>
              <w:jc w:val="center"/>
              <w:rPr>
                <w:b/>
                <w:sz w:val="20"/>
                <w:szCs w:val="20"/>
              </w:rPr>
            </w:pPr>
            <w:r>
              <w:rPr>
                <w:b/>
                <w:sz w:val="22"/>
                <w:szCs w:val="22"/>
              </w:rPr>
            </w:r>
            <w:r>
              <w:rPr>
                <w:b/>
                <w:sz w:val="20"/>
                <w:szCs w:val="20"/>
              </w:rPr>
            </w:r>
            <w:r>
              <w:rPr>
                <w:b/>
                <w:sz w:val="20"/>
                <w:szCs w:val="20"/>
              </w:rPr>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c>
          <w:tcPr>
            <w:gridSpan w:val="2"/>
            <w:tcW w:w="1667" w:type="pct"/>
            <w:textDirection w:val="lrTb"/>
            <w:noWrap w:val="false"/>
          </w:tcPr>
          <w:p>
            <w:pPr>
              <w:jc w:val="center"/>
              <w:rPr>
                <w:b/>
                <w:sz w:val="20"/>
                <w:szCs w:val="20"/>
              </w:rPr>
            </w:pPr>
            <w:r>
              <w:rPr>
                <w:b/>
                <w:sz w:val="22"/>
                <w:szCs w:val="22"/>
              </w:rPr>
            </w:r>
            <w:r>
              <w:rPr>
                <w:b/>
                <w:sz w:val="20"/>
                <w:szCs w:val="20"/>
              </w:rPr>
            </w:r>
            <w:r>
              <w:rPr>
                <w:b/>
                <w:sz w:val="20"/>
                <w:szCs w:val="20"/>
              </w:rPr>
            </w:r>
          </w:p>
        </w:tc>
        <w:tc>
          <w:tcPr>
            <w:gridSpan w:val="2"/>
            <w:tcW w:w="1667" w:type="pct"/>
            <w:textDirection w:val="lrTb"/>
            <w:noWrap w:val="false"/>
          </w:tcPr>
          <w:p>
            <w:pPr>
              <w:jc w:val="center"/>
              <w:rPr>
                <w:b/>
                <w:sz w:val="20"/>
                <w:szCs w:val="20"/>
              </w:rPr>
            </w:pPr>
            <w:r>
              <w:rPr>
                <w:b/>
                <w:sz w:val="22"/>
                <w:szCs w:val="22"/>
              </w:rPr>
            </w:r>
            <w:r>
              <w:rPr>
                <w:b/>
                <w:sz w:val="20"/>
                <w:szCs w:val="20"/>
              </w:rPr>
            </w:r>
            <w:r>
              <w:rPr>
                <w:b/>
                <w:sz w:val="20"/>
                <w:szCs w:val="20"/>
              </w:rPr>
            </w:r>
          </w:p>
        </w:tc>
        <w:tc>
          <w:tcPr>
            <w:gridSpan w:val="3"/>
            <w:tcW w:w="1666" w:type="pct"/>
            <w:textDirection w:val="lrTb"/>
            <w:noWrap w:val="false"/>
          </w:tcPr>
          <w:p>
            <w:pPr>
              <w:jc w:val="center"/>
              <w:rPr>
                <w:b/>
                <w:sz w:val="20"/>
                <w:szCs w:val="20"/>
              </w:rPr>
            </w:pPr>
            <w:r>
              <w:rPr>
                <w:b/>
                <w:sz w:val="22"/>
                <w:szCs w:val="22"/>
              </w:rPr>
            </w:r>
            <w:r>
              <w:rPr>
                <w:b/>
                <w:sz w:val="20"/>
                <w:szCs w:val="20"/>
              </w:rPr>
            </w:r>
            <w:r>
              <w:rPr>
                <w:b/>
                <w:sz w:val="20"/>
                <w:szCs w:val="20"/>
              </w:rPr>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c>
          <w:tcPr>
            <w:gridSpan w:val="2"/>
            <w:tcW w:w="1667" w:type="pct"/>
            <w:textDirection w:val="lrTb"/>
            <w:noWrap w:val="false"/>
          </w:tcPr>
          <w:p>
            <w:pPr>
              <w:jc w:val="center"/>
              <w:rPr>
                <w:b/>
                <w:sz w:val="20"/>
                <w:szCs w:val="20"/>
              </w:rPr>
            </w:pPr>
            <w:r>
              <w:rPr>
                <w:b/>
                <w:sz w:val="22"/>
                <w:szCs w:val="22"/>
              </w:rPr>
              <w:t xml:space="preserve">Глава округа</w:t>
            </w:r>
            <w:r>
              <w:rPr>
                <w:b/>
                <w:sz w:val="20"/>
                <w:szCs w:val="20"/>
              </w:rPr>
            </w:r>
            <w:r>
              <w:rPr>
                <w:b/>
                <w:sz w:val="20"/>
                <w:szCs w:val="20"/>
              </w:rPr>
            </w:r>
          </w:p>
        </w:tc>
        <w:tc>
          <w:tcPr>
            <w:gridSpan w:val="2"/>
            <w:tcW w:w="1667" w:type="pct"/>
            <w:textDirection w:val="lrTb"/>
            <w:noWrap w:val="false"/>
          </w:tcPr>
          <w:p>
            <w:pPr>
              <w:jc w:val="center"/>
              <w:rPr>
                <w:b/>
                <w:sz w:val="20"/>
                <w:szCs w:val="20"/>
              </w:rPr>
            </w:pPr>
            <w:r>
              <w:rPr>
                <w:b/>
                <w:sz w:val="22"/>
                <w:szCs w:val="22"/>
              </w:rPr>
              <w:t xml:space="preserve">Генеральный директор</w:t>
            </w:r>
            <w:r>
              <w:rPr>
                <w:b/>
                <w:sz w:val="20"/>
                <w:szCs w:val="20"/>
              </w:rPr>
            </w:r>
            <w:r>
              <w:rPr>
                <w:b/>
                <w:sz w:val="20"/>
                <w:szCs w:val="20"/>
              </w:rPr>
            </w:r>
          </w:p>
        </w:tc>
        <w:tc>
          <w:tcPr>
            <w:gridSpan w:val="3"/>
            <w:tcW w:w="1666" w:type="pct"/>
            <w:textDirection w:val="lrTb"/>
            <w:noWrap w:val="false"/>
          </w:tcPr>
          <w:p>
            <w:pPr>
              <w:jc w:val="center"/>
              <w:rPr>
                <w:b/>
                <w:sz w:val="20"/>
                <w:szCs w:val="20"/>
              </w:rPr>
            </w:pPr>
            <w:r>
              <w:rPr>
                <w:b/>
                <w:sz w:val="22"/>
                <w:szCs w:val="22"/>
              </w:rPr>
              <w:t xml:space="preserve">Губернатор</w:t>
            </w:r>
            <w:r>
              <w:rPr>
                <w:b/>
                <w:sz w:val="20"/>
                <w:szCs w:val="20"/>
              </w:rPr>
            </w:r>
            <w:r>
              <w:rPr>
                <w:b/>
                <w:sz w:val="20"/>
                <w:szCs w:val="20"/>
              </w:rPr>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67"/>
        </w:trPr>
        <w:tc>
          <w:tcPr>
            <w:gridSpan w:val="2"/>
            <w:tcW w:w="1667" w:type="pct"/>
            <w:vAlign w:val="bottom"/>
            <w:textDirection w:val="lrTb"/>
            <w:noWrap w:val="false"/>
          </w:tcPr>
          <w:p>
            <w:pPr>
              <w:jc w:val="center"/>
              <w:rPr>
                <w:b/>
                <w:sz w:val="20"/>
                <w:szCs w:val="20"/>
              </w:rPr>
            </w:pPr>
            <w:r>
              <w:rPr>
                <w:b/>
                <w:sz w:val="22"/>
                <w:szCs w:val="22"/>
              </w:rPr>
              <w:t xml:space="preserve">__________________________</w:t>
            </w:r>
            <w:r>
              <w:rPr>
                <w:b/>
                <w:sz w:val="20"/>
                <w:szCs w:val="20"/>
              </w:rPr>
            </w:r>
            <w:r>
              <w:rPr>
                <w:b/>
                <w:sz w:val="20"/>
                <w:szCs w:val="20"/>
              </w:rPr>
            </w:r>
          </w:p>
        </w:tc>
        <w:tc>
          <w:tcPr>
            <w:gridSpan w:val="2"/>
            <w:tcW w:w="1667" w:type="pct"/>
            <w:vAlign w:val="bottom"/>
            <w:textDirection w:val="lrTb"/>
            <w:noWrap w:val="false"/>
          </w:tcPr>
          <w:p>
            <w:pPr>
              <w:jc w:val="center"/>
              <w:rPr>
                <w:b/>
                <w:sz w:val="20"/>
                <w:szCs w:val="20"/>
              </w:rPr>
            </w:pPr>
            <w:r>
              <w:rPr>
                <w:b/>
                <w:sz w:val="22"/>
                <w:szCs w:val="22"/>
              </w:rPr>
              <w:t xml:space="preserve">__________________________</w:t>
            </w:r>
            <w:r>
              <w:rPr>
                <w:b/>
                <w:sz w:val="20"/>
                <w:szCs w:val="20"/>
              </w:rPr>
            </w:r>
            <w:r>
              <w:rPr>
                <w:b/>
                <w:sz w:val="20"/>
                <w:szCs w:val="20"/>
              </w:rPr>
            </w:r>
          </w:p>
        </w:tc>
        <w:tc>
          <w:tcPr>
            <w:gridSpan w:val="3"/>
            <w:tcW w:w="1666" w:type="pct"/>
            <w:vAlign w:val="bottom"/>
            <w:textDirection w:val="lrTb"/>
            <w:noWrap w:val="false"/>
          </w:tcPr>
          <w:p>
            <w:pPr>
              <w:jc w:val="center"/>
              <w:rPr>
                <w:b/>
                <w:sz w:val="20"/>
                <w:szCs w:val="20"/>
              </w:rPr>
            </w:pPr>
            <w:r>
              <w:rPr>
                <w:b/>
                <w:sz w:val="22"/>
                <w:szCs w:val="22"/>
              </w:rPr>
              <w:t xml:space="preserve">__________________________</w:t>
            </w:r>
            <w:r>
              <w:rPr>
                <w:b/>
                <w:sz w:val="20"/>
                <w:szCs w:val="20"/>
              </w:rPr>
            </w:r>
            <w:r>
              <w:rPr>
                <w:b/>
                <w:sz w:val="20"/>
                <w:szCs w:val="20"/>
              </w:rPr>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c>
          <w:tcPr>
            <w:gridSpan w:val="2"/>
            <w:tcW w:w="1667" w:type="pct"/>
            <w:textDirection w:val="lrTb"/>
            <w:noWrap w:val="false"/>
          </w:tcPr>
          <w:p>
            <w:pPr>
              <w:jc w:val="center"/>
              <w:rPr>
                <w:b/>
                <w:sz w:val="20"/>
                <w:szCs w:val="20"/>
              </w:rPr>
            </w:pPr>
            <w:r>
              <w:rPr>
                <w:sz w:val="22"/>
                <w:szCs w:val="22"/>
              </w:rPr>
              <w:t xml:space="preserve">МП      /Кузнецов А.В../</w:t>
            </w:r>
            <w:r>
              <w:rPr>
                <w:b/>
                <w:sz w:val="20"/>
                <w:szCs w:val="20"/>
              </w:rPr>
            </w:r>
            <w:r>
              <w:rPr>
                <w:b/>
                <w:sz w:val="20"/>
                <w:szCs w:val="20"/>
              </w:rPr>
            </w:r>
          </w:p>
        </w:tc>
        <w:tc>
          <w:tcPr>
            <w:gridSpan w:val="2"/>
            <w:tcW w:w="1667" w:type="pct"/>
            <w:textDirection w:val="lrTb"/>
            <w:noWrap w:val="false"/>
          </w:tcPr>
          <w:p>
            <w:pPr>
              <w:jc w:val="center"/>
              <w:rPr>
                <w:b/>
                <w:sz w:val="20"/>
                <w:szCs w:val="20"/>
              </w:rPr>
            </w:pPr>
            <w:r>
              <w:rPr>
                <w:sz w:val="22"/>
                <w:szCs w:val="22"/>
              </w:rPr>
              <w:t xml:space="preserve">МП       /Аршакян А.Р./</w:t>
            </w:r>
            <w:r>
              <w:rPr>
                <w:b/>
                <w:sz w:val="20"/>
                <w:szCs w:val="20"/>
              </w:rPr>
            </w:r>
            <w:r>
              <w:rPr>
                <w:b/>
                <w:sz w:val="20"/>
                <w:szCs w:val="20"/>
              </w:rPr>
            </w:r>
          </w:p>
        </w:tc>
        <w:tc>
          <w:tcPr>
            <w:gridSpan w:val="3"/>
            <w:tcW w:w="1666" w:type="pct"/>
            <w:textDirection w:val="lrTb"/>
            <w:noWrap w:val="false"/>
          </w:tcPr>
          <w:p>
            <w:pPr>
              <w:jc w:val="center"/>
              <w:rPr>
                <w:b/>
                <w:sz w:val="20"/>
                <w:szCs w:val="20"/>
              </w:rPr>
            </w:pPr>
            <w:r>
              <w:rPr>
                <w:sz w:val="22"/>
                <w:szCs w:val="22"/>
              </w:rPr>
              <w:t xml:space="preserve">МП         /Чибис А.В./</w:t>
            </w:r>
            <w:r>
              <w:rPr>
                <w:b/>
                <w:sz w:val="20"/>
                <w:szCs w:val="20"/>
              </w:rPr>
            </w:r>
            <w:r>
              <w:rPr>
                <w:b/>
                <w:sz w:val="20"/>
                <w:szCs w:val="20"/>
              </w:rPr>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c>
          <w:tcPr>
            <w:gridSpan w:val="2"/>
            <w:tcW w:w="1667" w:type="pct"/>
            <w:textDirection w:val="lrTb"/>
            <w:noWrap w:val="false"/>
          </w:tcPr>
          <w:p>
            <w:pPr>
              <w:jc w:val="center"/>
              <w:rPr>
                <w:b/>
                <w:sz w:val="20"/>
                <w:szCs w:val="20"/>
              </w:rPr>
            </w:pPr>
            <w:r>
              <w:rPr>
                <w:sz w:val="22"/>
                <w:szCs w:val="22"/>
              </w:rPr>
              <w:t xml:space="preserve">«___»____________ 20__ г.</w:t>
            </w:r>
            <w:r>
              <w:rPr>
                <w:b/>
                <w:sz w:val="20"/>
                <w:szCs w:val="20"/>
              </w:rPr>
            </w:r>
            <w:r>
              <w:rPr>
                <w:b/>
                <w:sz w:val="20"/>
                <w:szCs w:val="20"/>
              </w:rPr>
            </w:r>
          </w:p>
        </w:tc>
        <w:tc>
          <w:tcPr>
            <w:gridSpan w:val="2"/>
            <w:tcW w:w="1667" w:type="pct"/>
            <w:textDirection w:val="lrTb"/>
            <w:noWrap w:val="false"/>
          </w:tcPr>
          <w:p>
            <w:pPr>
              <w:jc w:val="center"/>
              <w:rPr>
                <w:sz w:val="20"/>
                <w:szCs w:val="20"/>
              </w:rPr>
            </w:pPr>
            <w:r>
              <w:rPr>
                <w:sz w:val="22"/>
                <w:szCs w:val="22"/>
              </w:rPr>
              <w:t xml:space="preserve">«___»____________ 20__ г.</w:t>
            </w:r>
            <w:r>
              <w:rPr>
                <w:sz w:val="20"/>
                <w:szCs w:val="20"/>
              </w:rPr>
            </w:r>
            <w:r>
              <w:rPr>
                <w:sz w:val="20"/>
                <w:szCs w:val="20"/>
              </w:rPr>
            </w:r>
          </w:p>
        </w:tc>
        <w:tc>
          <w:tcPr>
            <w:gridSpan w:val="3"/>
            <w:tcW w:w="1666" w:type="pct"/>
            <w:textDirection w:val="lrTb"/>
            <w:noWrap w:val="false"/>
          </w:tcPr>
          <w:p>
            <w:pPr>
              <w:jc w:val="center"/>
              <w:rPr>
                <w:b/>
                <w:sz w:val="20"/>
                <w:szCs w:val="20"/>
              </w:rPr>
            </w:pPr>
            <w:r>
              <w:rPr>
                <w:sz w:val="22"/>
                <w:szCs w:val="22"/>
              </w:rPr>
              <w:t xml:space="preserve">«___»____________ 20__ г.</w:t>
            </w:r>
            <w:r>
              <w:rPr>
                <w:b/>
                <w:sz w:val="20"/>
                <w:szCs w:val="20"/>
              </w:rPr>
            </w:r>
            <w:r>
              <w:rPr>
                <w:b/>
                <w:sz w:val="20"/>
                <w:szCs w:val="20"/>
              </w:rPr>
            </w:r>
          </w:p>
        </w:tc>
      </w:tr>
    </w:tbl>
    <w:p>
      <w:pPr>
        <w:ind w:firstLine="680"/>
        <w:jc w:val="both"/>
        <w:rPr>
          <w:sz w:val="24"/>
          <w:szCs w:val="24"/>
        </w:rPr>
      </w:pPr>
      <w:r>
        <w:rPr>
          <w:sz w:val="24"/>
          <w:szCs w:val="24"/>
        </w:rPr>
      </w:r>
      <w:r>
        <w:rPr>
          <w:sz w:val="24"/>
          <w:szCs w:val="24"/>
        </w:rPr>
      </w:r>
      <w:r>
        <w:rPr>
          <w:sz w:val="24"/>
          <w:szCs w:val="24"/>
        </w:rPr>
      </w:r>
    </w:p>
    <w:p>
      <w:pPr>
        <w:shd w:val="nil" w:color="auto"/>
        <w:rPr>
          <w:sz w:val="24"/>
          <w:szCs w:val="24"/>
        </w:rPr>
      </w:pPr>
      <w:r>
        <w:rPr>
          <w:sz w:val="24"/>
          <w:szCs w:val="24"/>
        </w:rPr>
        <w:br w:type="page" w:clear="all"/>
      </w:r>
      <w:r>
        <w:rPr>
          <w:sz w:val="24"/>
          <w:szCs w:val="24"/>
        </w:rPr>
      </w:r>
      <w:r>
        <w:rPr>
          <w:sz w:val="24"/>
          <w:szCs w:val="24"/>
        </w:rPr>
      </w:r>
    </w:p>
    <w:p>
      <w:pPr>
        <w:ind w:left="5528" w:right="0" w:firstLine="0"/>
        <w:jc w:val="both"/>
        <w:rPr>
          <w:sz w:val="24"/>
          <w:szCs w:val="24"/>
        </w:rPr>
      </w:pPr>
      <w:r>
        <w:rPr>
          <w:sz w:val="24"/>
          <w:szCs w:val="24"/>
        </w:rPr>
        <w:t xml:space="preserve">Приложение № 14</w:t>
      </w:r>
      <w:r>
        <w:rPr>
          <w:sz w:val="24"/>
          <w:szCs w:val="24"/>
        </w:rPr>
      </w:r>
      <w:r>
        <w:rPr>
          <w:sz w:val="24"/>
          <w:szCs w:val="24"/>
        </w:rPr>
      </w:r>
    </w:p>
    <w:p>
      <w:pPr>
        <w:ind w:left="5528" w:right="0" w:firstLine="0"/>
        <w:jc w:val="both"/>
        <w:rPr>
          <w:sz w:val="24"/>
          <w:szCs w:val="24"/>
        </w:rPr>
      </w:pPr>
      <w:r>
        <w:rPr>
          <w:sz w:val="24"/>
          <w:szCs w:val="24"/>
        </w:rPr>
        <w:t xml:space="preserve">к Концессионному соглашению</w:t>
      </w:r>
      <w:r>
        <w:rPr>
          <w:sz w:val="24"/>
          <w:szCs w:val="24"/>
        </w:rPr>
      </w:r>
      <w:r>
        <w:rPr>
          <w:sz w:val="24"/>
          <w:szCs w:val="24"/>
        </w:rPr>
      </w:r>
    </w:p>
    <w:p>
      <w:pPr>
        <w:ind w:left="5528" w:right="0" w:firstLine="0"/>
        <w:jc w:val="both"/>
        <w:rPr>
          <w:sz w:val="24"/>
          <w:szCs w:val="24"/>
        </w:rPr>
      </w:pPr>
      <w:r>
        <w:rPr>
          <w:sz w:val="24"/>
          <w:szCs w:val="24"/>
        </w:rPr>
        <w:t xml:space="preserve">от «__»______ 2024 года №______</w:t>
      </w:r>
      <w:r>
        <w:rPr>
          <w:sz w:val="24"/>
          <w:szCs w:val="24"/>
        </w:rPr>
      </w:r>
      <w:r>
        <w:rPr>
          <w:sz w:val="24"/>
          <w:szCs w:val="24"/>
        </w:rPr>
      </w:r>
    </w:p>
    <w:p>
      <w:pPr>
        <w:ind w:firstLine="680"/>
        <w:jc w:val="both"/>
        <w:rPr>
          <w:b/>
          <w:sz w:val="24"/>
          <w:szCs w:val="24"/>
        </w:rPr>
      </w:pPr>
      <w:r>
        <w:rPr>
          <w:b/>
          <w:sz w:val="24"/>
          <w:szCs w:val="24"/>
        </w:rPr>
      </w:r>
      <w:r>
        <w:rPr>
          <w:b/>
          <w:sz w:val="24"/>
          <w:szCs w:val="24"/>
        </w:rPr>
      </w:r>
      <w:r>
        <w:rPr>
          <w:b/>
          <w:sz w:val="24"/>
          <w:szCs w:val="24"/>
        </w:rPr>
      </w:r>
    </w:p>
    <w:p>
      <w:pPr>
        <w:ind w:firstLine="680"/>
        <w:jc w:val="center"/>
        <w:rPr>
          <w:b/>
          <w:sz w:val="24"/>
          <w:szCs w:val="24"/>
        </w:rPr>
      </w:pPr>
      <w:r>
        <w:rPr>
          <w:b/>
          <w:sz w:val="24"/>
          <w:szCs w:val="24"/>
        </w:rPr>
        <w:t xml:space="preserve">Порядок обмена информации между Концессионером, Концедентом и Субъектом.</w:t>
      </w:r>
      <w:r>
        <w:rPr>
          <w:b/>
          <w:sz w:val="24"/>
          <w:szCs w:val="24"/>
        </w:rPr>
      </w:r>
      <w:r>
        <w:rPr>
          <w:b/>
          <w:sz w:val="24"/>
          <w:szCs w:val="24"/>
        </w:rPr>
      </w:r>
    </w:p>
    <w:p>
      <w:pPr>
        <w:ind w:firstLine="680"/>
        <w:jc w:val="both"/>
        <w:rPr>
          <w:sz w:val="24"/>
          <w:szCs w:val="24"/>
        </w:rPr>
      </w:pPr>
      <w:r>
        <w:rPr>
          <w:sz w:val="24"/>
          <w:szCs w:val="24"/>
        </w:rPr>
      </w:r>
      <w:r>
        <w:rPr>
          <w:sz w:val="24"/>
          <w:szCs w:val="24"/>
        </w:rPr>
      </w:r>
      <w:r>
        <w:rPr>
          <w:sz w:val="24"/>
          <w:szCs w:val="24"/>
        </w:rPr>
      </w:r>
    </w:p>
    <w:p>
      <w:pPr>
        <w:pStyle w:val="943"/>
        <w:numPr>
          <w:ilvl w:val="0"/>
          <w:numId w:val="18"/>
        </w:numPr>
        <w:contextualSpacing w:val="0"/>
        <w:ind w:left="0" w:firstLine="680"/>
        <w:jc w:val="both"/>
        <w:widowControl w:val="off"/>
        <w:rPr>
          <w:sz w:val="24"/>
          <w:szCs w:val="24"/>
          <w:lang w:val="ru-RU"/>
        </w:rPr>
      </w:pPr>
      <w:r>
        <w:rPr>
          <w:sz w:val="24"/>
          <w:szCs w:val="24"/>
          <w:lang w:val="ru-RU"/>
        </w:rPr>
        <w:t xml:space="preserve">Концедент и (или) Субъект направляют зап</w:t>
      </w:r>
      <w:r>
        <w:rPr>
          <w:sz w:val="24"/>
          <w:szCs w:val="24"/>
          <w:lang w:val="ru-RU"/>
        </w:rPr>
        <w:t xml:space="preserve">рос Концессионеру о предоставлении информации и (или) документов об исполнении последним условий настоящего Соглашения по электронной почте в установленном настоящим контрактом порядке и (или) высылается по почте заказным письмом с уведомлением о вручении.</w:t>
      </w:r>
      <w:r>
        <w:rPr>
          <w:sz w:val="24"/>
          <w:szCs w:val="24"/>
          <w:lang w:val="ru-RU"/>
        </w:rPr>
      </w:r>
      <w:r>
        <w:rPr>
          <w:sz w:val="24"/>
          <w:szCs w:val="24"/>
          <w:lang w:val="ru-RU"/>
        </w:rPr>
      </w:r>
    </w:p>
    <w:p>
      <w:pPr>
        <w:pStyle w:val="943"/>
        <w:numPr>
          <w:ilvl w:val="0"/>
          <w:numId w:val="18"/>
        </w:numPr>
        <w:contextualSpacing w:val="0"/>
        <w:ind w:left="0" w:firstLine="680"/>
        <w:jc w:val="both"/>
        <w:widowControl w:val="off"/>
        <w:rPr>
          <w:sz w:val="24"/>
          <w:szCs w:val="24"/>
          <w:lang w:val="ru-RU"/>
        </w:rPr>
      </w:pPr>
      <w:r>
        <w:rPr>
          <w:sz w:val="24"/>
          <w:szCs w:val="24"/>
          <w:lang w:val="ru-RU"/>
        </w:rPr>
        <w:t xml:space="preserve">Концессионер обязан рассмотреть и ответить на запрос в течение 15 рабочих дней с момента получения запроса.</w:t>
      </w:r>
      <w:r>
        <w:rPr>
          <w:sz w:val="24"/>
          <w:szCs w:val="24"/>
          <w:lang w:val="ru-RU"/>
        </w:rPr>
      </w:r>
      <w:r>
        <w:rPr>
          <w:sz w:val="24"/>
          <w:szCs w:val="24"/>
          <w:lang w:val="ru-RU"/>
        </w:rPr>
      </w:r>
    </w:p>
    <w:p>
      <w:pPr>
        <w:pStyle w:val="943"/>
        <w:numPr>
          <w:ilvl w:val="0"/>
          <w:numId w:val="18"/>
        </w:numPr>
        <w:contextualSpacing w:val="0"/>
        <w:ind w:left="0" w:firstLine="680"/>
        <w:jc w:val="both"/>
        <w:widowControl w:val="off"/>
        <w:rPr>
          <w:sz w:val="24"/>
          <w:szCs w:val="24"/>
          <w:lang w:val="ru-RU"/>
        </w:rPr>
      </w:pPr>
      <w:r>
        <w:rPr>
          <w:sz w:val="24"/>
          <w:szCs w:val="24"/>
          <w:lang w:val="ru-RU"/>
        </w:rPr>
        <w:t xml:space="preserve">Доказательством получения запроса является выписка с официального сайта Почты России - </w:t>
      </w:r>
      <w:hyperlink r:id="rId15" w:tooltip="http://www.pochta.ru" w:history="1">
        <w:r>
          <w:rPr>
            <w:rStyle w:val="950"/>
            <w:sz w:val="24"/>
            <w:szCs w:val="24"/>
          </w:rPr>
          <w:t xml:space="preserve">www</w:t>
        </w:r>
        <w:r>
          <w:rPr>
            <w:rStyle w:val="950"/>
            <w:sz w:val="24"/>
            <w:szCs w:val="24"/>
            <w:lang w:val="ru-RU"/>
          </w:rPr>
          <w:t xml:space="preserve">.</w:t>
        </w:r>
        <w:r>
          <w:rPr>
            <w:rStyle w:val="950"/>
            <w:sz w:val="24"/>
            <w:szCs w:val="24"/>
          </w:rPr>
          <w:t xml:space="preserve">pochta</w:t>
        </w:r>
        <w:r>
          <w:rPr>
            <w:rStyle w:val="950"/>
            <w:sz w:val="24"/>
            <w:szCs w:val="24"/>
            <w:lang w:val="ru-RU"/>
          </w:rPr>
          <w:t xml:space="preserve">.</w:t>
        </w:r>
        <w:r>
          <w:rPr>
            <w:rStyle w:val="950"/>
            <w:sz w:val="24"/>
            <w:szCs w:val="24"/>
          </w:rPr>
          <w:t xml:space="preserve">ru</w:t>
        </w:r>
      </w:hyperlink>
      <w:r>
        <w:rPr>
          <w:sz w:val="24"/>
          <w:szCs w:val="24"/>
          <w:lang w:val="ru-RU"/>
        </w:rPr>
        <w:t xml:space="preserve">.</w:t>
      </w:r>
      <w:r>
        <w:rPr>
          <w:sz w:val="24"/>
          <w:szCs w:val="24"/>
          <w:lang w:val="ru-RU"/>
        </w:rPr>
      </w:r>
      <w:r>
        <w:rPr>
          <w:sz w:val="24"/>
          <w:szCs w:val="24"/>
          <w:lang w:val="ru-RU"/>
        </w:rPr>
      </w:r>
    </w:p>
    <w:p>
      <w:pPr>
        <w:pStyle w:val="943"/>
        <w:numPr>
          <w:ilvl w:val="0"/>
          <w:numId w:val="18"/>
        </w:numPr>
        <w:contextualSpacing w:val="0"/>
        <w:ind w:left="0" w:firstLine="680"/>
        <w:jc w:val="both"/>
        <w:widowControl w:val="off"/>
        <w:rPr>
          <w:sz w:val="24"/>
          <w:szCs w:val="24"/>
          <w:lang w:val="ru-RU"/>
        </w:rPr>
      </w:pPr>
      <w:r>
        <w:rPr>
          <w:sz w:val="24"/>
          <w:szCs w:val="24"/>
          <w:lang w:val="ru-RU"/>
        </w:rPr>
        <w:t xml:space="preserve">Ответ на запрос направляется по электронной почте и одновременно высылается по почте заказным письмом с уведомлением о вручении.</w:t>
      </w:r>
      <w:r>
        <w:rPr>
          <w:sz w:val="24"/>
          <w:szCs w:val="24"/>
          <w:lang w:val="ru-RU"/>
        </w:rPr>
      </w:r>
      <w:r>
        <w:rPr>
          <w:sz w:val="24"/>
          <w:szCs w:val="24"/>
          <w:lang w:val="ru-RU"/>
        </w:rPr>
      </w:r>
    </w:p>
    <w:p>
      <w:pPr>
        <w:pStyle w:val="943"/>
        <w:numPr>
          <w:ilvl w:val="0"/>
          <w:numId w:val="18"/>
        </w:numPr>
        <w:contextualSpacing w:val="0"/>
        <w:ind w:left="0" w:firstLine="680"/>
        <w:jc w:val="both"/>
        <w:widowControl w:val="off"/>
        <w:rPr>
          <w:sz w:val="24"/>
          <w:szCs w:val="24"/>
          <w:lang w:val="ru-RU"/>
        </w:rPr>
      </w:pPr>
      <w:r>
        <w:rPr>
          <w:sz w:val="24"/>
          <w:szCs w:val="24"/>
          <w:lang w:val="ru-RU"/>
        </w:rPr>
        <w:t xml:space="preserve">Документы, направляемые по электронной почте и почте, имеют равную юридическую силу.</w:t>
      </w:r>
      <w:r>
        <w:rPr>
          <w:sz w:val="24"/>
          <w:szCs w:val="24"/>
          <w:lang w:val="ru-RU"/>
        </w:rPr>
      </w:r>
      <w:r>
        <w:rPr>
          <w:sz w:val="24"/>
          <w:szCs w:val="24"/>
          <w:lang w:val="ru-RU"/>
        </w:rPr>
      </w:r>
    </w:p>
    <w:p>
      <w:pPr>
        <w:pStyle w:val="943"/>
        <w:numPr>
          <w:ilvl w:val="0"/>
          <w:numId w:val="18"/>
        </w:numPr>
        <w:contextualSpacing w:val="0"/>
        <w:ind w:left="0" w:firstLine="680"/>
        <w:jc w:val="both"/>
        <w:widowControl w:val="off"/>
        <w:rPr>
          <w:sz w:val="24"/>
          <w:szCs w:val="24"/>
          <w:lang w:val="ru-RU"/>
        </w:rPr>
      </w:pPr>
      <w:r>
        <w:rPr>
          <w:sz w:val="24"/>
          <w:szCs w:val="24"/>
          <w:lang w:val="ru-RU"/>
        </w:rPr>
        <w:t xml:space="preserve">Документы, приложенные к ответу на запрос представляются в подлиннике или в форме надлежащим образом заверенной копии. </w:t>
      </w:r>
      <w:r>
        <w:rPr>
          <w:sz w:val="24"/>
          <w:szCs w:val="24"/>
          <w:lang w:val="ru-RU"/>
        </w:rPr>
      </w:r>
      <w:r>
        <w:rPr>
          <w:sz w:val="24"/>
          <w:szCs w:val="24"/>
          <w:lang w:val="ru-RU"/>
        </w:rPr>
      </w:r>
    </w:p>
    <w:p>
      <w:pPr>
        <w:pStyle w:val="943"/>
        <w:numPr>
          <w:ilvl w:val="0"/>
          <w:numId w:val="18"/>
        </w:numPr>
        <w:contextualSpacing w:val="0"/>
        <w:ind w:left="0" w:firstLine="680"/>
        <w:jc w:val="both"/>
        <w:widowControl w:val="off"/>
        <w:rPr>
          <w:sz w:val="24"/>
          <w:szCs w:val="24"/>
          <w:lang w:val="ru-RU"/>
        </w:rPr>
      </w:pPr>
      <w:r>
        <w:rPr>
          <w:sz w:val="24"/>
          <w:szCs w:val="24"/>
          <w:lang w:val="ru-RU"/>
        </w:rPr>
        <w:t xml:space="preserve">В случае отправления запроса (ответа на запрос) посредством электронной почты документы считаются полученными Стороной в день их отправки (дата отправки подтверждается распечатанным на бумажном носителе электронным письмом). </w:t>
      </w:r>
      <w:r>
        <w:rPr>
          <w:sz w:val="24"/>
          <w:szCs w:val="24"/>
          <w:lang w:val="ru-RU"/>
        </w:rPr>
      </w:r>
      <w:r>
        <w:rPr>
          <w:sz w:val="24"/>
          <w:szCs w:val="24"/>
          <w:lang w:val="ru-RU"/>
        </w:rPr>
      </w:r>
    </w:p>
    <w:p>
      <w:pPr>
        <w:ind w:firstLine="680"/>
        <w:jc w:val="both"/>
        <w:rPr>
          <w:sz w:val="24"/>
          <w:szCs w:val="24"/>
        </w:rPr>
      </w:pPr>
      <w:r>
        <w:rPr>
          <w:sz w:val="24"/>
          <w:szCs w:val="24"/>
        </w:rPr>
      </w:r>
      <w:r>
        <w:rPr>
          <w:sz w:val="24"/>
          <w:szCs w:val="24"/>
        </w:rPr>
      </w:r>
      <w:r>
        <w:rPr>
          <w:sz w:val="24"/>
          <w:szCs w:val="24"/>
        </w:rPr>
      </w:r>
    </w:p>
    <w:p>
      <w:pPr>
        <w:ind w:firstLine="680"/>
        <w:jc w:val="both"/>
        <w:rPr>
          <w:sz w:val="24"/>
          <w:szCs w:val="24"/>
        </w:rPr>
      </w:pPr>
      <w:r>
        <w:rPr>
          <w:sz w:val="24"/>
          <w:szCs w:val="24"/>
        </w:rPr>
      </w:r>
      <w:r>
        <w:rPr>
          <w:sz w:val="24"/>
          <w:szCs w:val="24"/>
        </w:rPr>
      </w:r>
      <w:r>
        <w:rPr>
          <w:sz w:val="24"/>
          <w:szCs w:val="24"/>
        </w:rPr>
      </w:r>
    </w:p>
    <w:tbl>
      <w:tblPr>
        <w:tblStyle w:val="937"/>
        <w:tblW w:w="5000" w:type="pc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190"/>
        <w:gridCol w:w="3190"/>
        <w:gridCol w:w="3190"/>
      </w:tblGrid>
      <w:tr>
        <w:tblPrEx/>
        <w:trPr/>
        <w:tc>
          <w:tcPr>
            <w:tcW w:w="1667" w:type="pct"/>
            <w:textDirection w:val="lrTb"/>
            <w:noWrap w:val="false"/>
          </w:tcPr>
          <w:p>
            <w:pPr>
              <w:jc w:val="both"/>
              <w:rPr>
                <w:b/>
                <w:sz w:val="24"/>
                <w:szCs w:val="24"/>
              </w:rPr>
            </w:pPr>
            <w:r>
              <w:rPr>
                <w:b/>
                <w:sz w:val="24"/>
                <w:szCs w:val="24"/>
              </w:rPr>
              <w:t xml:space="preserve">Концедент</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Концессионер</w:t>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t xml:space="preserve">Субъект</w:t>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t xml:space="preserve">Муниципальное образование Печенгский муниципальный округ Мурманской области</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Общество с ограниченной ответственностью «ПромВоенСтрой»</w:t>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t xml:space="preserve">Мурманская область</w:t>
            </w:r>
            <w:r>
              <w:rPr>
                <w:b/>
                <w:sz w:val="24"/>
                <w:szCs w:val="24"/>
              </w:rPr>
            </w:r>
            <w:r>
              <w:rPr>
                <w:b/>
                <w:sz w:val="24"/>
                <w:szCs w:val="24"/>
              </w:rPr>
            </w:r>
          </w:p>
          <w:p>
            <w:pPr>
              <w:jc w:val="both"/>
              <w:rPr>
                <w:b/>
                <w:sz w:val="24"/>
                <w:szCs w:val="24"/>
              </w:rPr>
            </w:pPr>
            <w:r>
              <w:rPr>
                <w:b/>
                <w:sz w:val="24"/>
                <w:szCs w:val="24"/>
              </w:rPr>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t xml:space="preserve">Глава округа</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Генеральный директор</w:t>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t xml:space="preserve">Губернатор</w:t>
            </w:r>
            <w:r>
              <w:rPr>
                <w:b/>
                <w:sz w:val="24"/>
                <w:szCs w:val="24"/>
              </w:rPr>
            </w:r>
            <w:r>
              <w:rPr>
                <w:b/>
                <w:sz w:val="24"/>
                <w:szCs w:val="24"/>
              </w:rPr>
            </w:r>
          </w:p>
        </w:tc>
      </w:tr>
      <w:tr>
        <w:tblPrEx/>
        <w:trPr>
          <w:trHeight w:val="567"/>
        </w:trPr>
        <w:tc>
          <w:tcPr>
            <w:tcW w:w="1667" w:type="pct"/>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c>
          <w:tcPr>
            <w:tcW w:w="1667" w:type="pct"/>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c>
          <w:tcPr>
            <w:tcW w:w="1666" w:type="pct"/>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r>
      <w:tr>
        <w:tblPrEx/>
        <w:trPr/>
        <w:tc>
          <w:tcPr>
            <w:tcW w:w="1667" w:type="pct"/>
            <w:textDirection w:val="lrTb"/>
            <w:noWrap w:val="false"/>
          </w:tcPr>
          <w:p>
            <w:pPr>
              <w:jc w:val="both"/>
              <w:rPr>
                <w:b/>
                <w:sz w:val="24"/>
                <w:szCs w:val="24"/>
              </w:rPr>
            </w:pPr>
            <w:r>
              <w:rPr>
                <w:sz w:val="24"/>
                <w:szCs w:val="24"/>
              </w:rPr>
              <w:t xml:space="preserve">МП      /Кузнецов А.В../</w:t>
            </w:r>
            <w:r>
              <w:rPr>
                <w:b/>
                <w:sz w:val="24"/>
                <w:szCs w:val="24"/>
              </w:rPr>
            </w:r>
            <w:r>
              <w:rPr>
                <w:b/>
                <w:sz w:val="24"/>
                <w:szCs w:val="24"/>
              </w:rPr>
            </w:r>
          </w:p>
        </w:tc>
        <w:tc>
          <w:tcPr>
            <w:tcW w:w="1667" w:type="pct"/>
            <w:textDirection w:val="lrTb"/>
            <w:noWrap w:val="false"/>
          </w:tcPr>
          <w:p>
            <w:pPr>
              <w:jc w:val="both"/>
              <w:rPr>
                <w:b/>
                <w:sz w:val="24"/>
                <w:szCs w:val="24"/>
              </w:rPr>
            </w:pPr>
            <w:r>
              <w:rPr>
                <w:sz w:val="24"/>
                <w:szCs w:val="24"/>
              </w:rPr>
              <w:t xml:space="preserve">МП       /Аршакян А.Р./</w:t>
            </w:r>
            <w:r>
              <w:rPr>
                <w:b/>
                <w:sz w:val="24"/>
                <w:szCs w:val="24"/>
              </w:rPr>
            </w:r>
            <w:r>
              <w:rPr>
                <w:b/>
                <w:sz w:val="24"/>
                <w:szCs w:val="24"/>
              </w:rPr>
            </w:r>
          </w:p>
        </w:tc>
        <w:tc>
          <w:tcPr>
            <w:tcW w:w="1666" w:type="pct"/>
            <w:textDirection w:val="lrTb"/>
            <w:noWrap w:val="false"/>
          </w:tcPr>
          <w:p>
            <w:pPr>
              <w:jc w:val="both"/>
              <w:rPr>
                <w:b/>
                <w:sz w:val="24"/>
                <w:szCs w:val="24"/>
              </w:rPr>
            </w:pPr>
            <w:r>
              <w:rPr>
                <w:sz w:val="24"/>
                <w:szCs w:val="24"/>
              </w:rPr>
              <w:t xml:space="preserve">МП         /Чибис А.В./</w:t>
            </w:r>
            <w:r>
              <w:rPr>
                <w:b/>
                <w:sz w:val="24"/>
                <w:szCs w:val="24"/>
              </w:rPr>
            </w:r>
            <w:r>
              <w:rPr>
                <w:b/>
                <w:sz w:val="24"/>
                <w:szCs w:val="24"/>
              </w:rPr>
            </w:r>
          </w:p>
        </w:tc>
      </w:tr>
      <w:tr>
        <w:tblPrEx/>
        <w:trPr/>
        <w:tc>
          <w:tcPr>
            <w:tcW w:w="1667" w:type="pct"/>
            <w:textDirection w:val="lrTb"/>
            <w:noWrap w:val="false"/>
          </w:tcPr>
          <w:p>
            <w:pPr>
              <w:jc w:val="both"/>
              <w:rPr>
                <w:b/>
                <w:sz w:val="24"/>
                <w:szCs w:val="24"/>
              </w:rPr>
            </w:pPr>
            <w:r>
              <w:rPr>
                <w:sz w:val="24"/>
                <w:szCs w:val="24"/>
              </w:rPr>
              <w:t xml:space="preserve">«___»____________ 20__ г.</w:t>
            </w:r>
            <w:r>
              <w:rPr>
                <w:b/>
                <w:sz w:val="24"/>
                <w:szCs w:val="24"/>
              </w:rPr>
            </w:r>
            <w:r>
              <w:rPr>
                <w:b/>
                <w:sz w:val="24"/>
                <w:szCs w:val="24"/>
              </w:rPr>
            </w:r>
          </w:p>
        </w:tc>
        <w:tc>
          <w:tcPr>
            <w:tcW w:w="1667" w:type="pct"/>
            <w:textDirection w:val="lrTb"/>
            <w:noWrap w:val="false"/>
          </w:tcPr>
          <w:p>
            <w:pPr>
              <w:jc w:val="both"/>
              <w:rPr>
                <w:b/>
                <w:sz w:val="24"/>
                <w:szCs w:val="24"/>
              </w:rPr>
            </w:pPr>
            <w:r>
              <w:rPr>
                <w:sz w:val="24"/>
                <w:szCs w:val="24"/>
              </w:rPr>
              <w:t xml:space="preserve">«___»____________ 20__ г</w:t>
            </w:r>
            <w:r>
              <w:rPr>
                <w:b/>
                <w:sz w:val="24"/>
                <w:szCs w:val="24"/>
              </w:rPr>
              <w:t xml:space="preserve">.</w:t>
            </w:r>
            <w:r>
              <w:rPr>
                <w:b/>
                <w:sz w:val="24"/>
                <w:szCs w:val="24"/>
              </w:rPr>
            </w:r>
            <w:r>
              <w:rPr>
                <w:b/>
                <w:sz w:val="24"/>
                <w:szCs w:val="24"/>
              </w:rPr>
            </w:r>
          </w:p>
        </w:tc>
        <w:tc>
          <w:tcPr>
            <w:tcW w:w="1666" w:type="pct"/>
            <w:textDirection w:val="lrTb"/>
            <w:noWrap w:val="false"/>
          </w:tcPr>
          <w:p>
            <w:pPr>
              <w:jc w:val="both"/>
              <w:rPr>
                <w:b/>
                <w:sz w:val="24"/>
                <w:szCs w:val="24"/>
              </w:rPr>
            </w:pPr>
            <w:r>
              <w:rPr>
                <w:sz w:val="24"/>
                <w:szCs w:val="24"/>
              </w:rPr>
              <w:t xml:space="preserve">«___»____________ 20__ г.</w:t>
            </w:r>
            <w:r>
              <w:rPr>
                <w:b/>
                <w:sz w:val="24"/>
                <w:szCs w:val="24"/>
              </w:rPr>
            </w:r>
            <w:r>
              <w:rPr>
                <w:b/>
                <w:sz w:val="24"/>
                <w:szCs w:val="24"/>
              </w:rPr>
            </w:r>
          </w:p>
        </w:tc>
      </w:tr>
    </w:tbl>
    <w:p>
      <w:pPr>
        <w:ind w:firstLine="680"/>
        <w:jc w:val="both"/>
        <w:rPr>
          <w:sz w:val="24"/>
          <w:szCs w:val="24"/>
        </w:rPr>
      </w:pPr>
      <w:r>
        <w:rPr>
          <w:sz w:val="24"/>
          <w:szCs w:val="24"/>
        </w:rPr>
      </w:r>
      <w:r>
        <w:rPr>
          <w:sz w:val="24"/>
          <w:szCs w:val="24"/>
        </w:rPr>
      </w:r>
      <w:r>
        <w:rPr>
          <w:sz w:val="24"/>
          <w:szCs w:val="24"/>
        </w:rPr>
      </w:r>
    </w:p>
    <w:p>
      <w:pPr>
        <w:ind w:firstLine="680"/>
        <w:jc w:val="both"/>
        <w:rPr>
          <w:sz w:val="24"/>
          <w:szCs w:val="24"/>
        </w:rPr>
      </w:pPr>
      <w:r>
        <w:rPr>
          <w:sz w:val="24"/>
          <w:szCs w:val="24"/>
        </w:rPr>
      </w:r>
      <w:r>
        <w:rPr>
          <w:sz w:val="24"/>
          <w:szCs w:val="24"/>
        </w:rPr>
      </w:r>
      <w:r>
        <w:rPr>
          <w:sz w:val="24"/>
          <w:szCs w:val="24"/>
        </w:rPr>
      </w:r>
    </w:p>
    <w:tbl>
      <w:tblPr>
        <w:tblStyle w:val="937"/>
        <w:tblW w:w="5000" w:type="pc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9570"/>
      </w:tblGrid>
      <w:tr>
        <w:tblPrEx/>
        <w:trPr>
          <w:trHeight w:val="4671"/>
        </w:trPr>
        <w:tc>
          <w:tcPr>
            <w:tcW w:w="5000" w:type="pct"/>
            <w:textDirection w:val="lrTb"/>
            <w:noWrap w:val="false"/>
          </w:tcPr>
          <w:p>
            <w:pPr>
              <w:ind w:left="5528" w:right="0" w:firstLine="0"/>
              <w:jc w:val="both"/>
              <w:rPr>
                <w:sz w:val="24"/>
                <w:szCs w:val="24"/>
              </w:rPr>
            </w:pPr>
            <w:r>
              <w:rPr>
                <w:sz w:val="24"/>
                <w:szCs w:val="24"/>
              </w:rPr>
              <w:t xml:space="preserve">Приложение № 15</w:t>
            </w:r>
            <w:r>
              <w:rPr>
                <w:sz w:val="24"/>
                <w:szCs w:val="24"/>
              </w:rPr>
            </w:r>
            <w:r>
              <w:rPr>
                <w:sz w:val="24"/>
                <w:szCs w:val="24"/>
              </w:rPr>
            </w:r>
          </w:p>
          <w:p>
            <w:pPr>
              <w:ind w:left="5528" w:right="0" w:firstLine="0"/>
              <w:jc w:val="both"/>
              <w:rPr>
                <w:sz w:val="24"/>
                <w:szCs w:val="24"/>
              </w:rPr>
            </w:pPr>
            <w:r>
              <w:rPr>
                <w:sz w:val="24"/>
                <w:szCs w:val="24"/>
              </w:rPr>
              <w:t xml:space="preserve">к Концессионному соглашению</w:t>
            </w:r>
            <w:r>
              <w:rPr>
                <w:sz w:val="24"/>
                <w:szCs w:val="24"/>
              </w:rPr>
            </w:r>
            <w:r>
              <w:rPr>
                <w:sz w:val="24"/>
                <w:szCs w:val="24"/>
              </w:rPr>
            </w:r>
          </w:p>
          <w:p>
            <w:pPr>
              <w:ind w:left="5528" w:right="0" w:firstLine="0"/>
              <w:jc w:val="both"/>
              <w:rPr>
                <w:sz w:val="24"/>
                <w:szCs w:val="24"/>
              </w:rPr>
            </w:pPr>
            <w:r>
              <w:rPr>
                <w:sz w:val="24"/>
                <w:szCs w:val="24"/>
              </w:rPr>
              <w:t xml:space="preserve">от «__»______ 2024 года №______</w:t>
            </w:r>
            <w:r>
              <w:rPr>
                <w:sz w:val="24"/>
                <w:szCs w:val="24"/>
              </w:rPr>
            </w:r>
            <w:r>
              <w:rPr>
                <w:sz w:val="24"/>
                <w:szCs w:val="24"/>
              </w:rPr>
            </w:r>
          </w:p>
          <w:p>
            <w:pPr>
              <w:ind w:firstLine="680"/>
              <w:jc w:val="both"/>
              <w:rPr>
                <w:sz w:val="24"/>
                <w:szCs w:val="24"/>
              </w:rPr>
            </w:pPr>
            <w:r>
              <w:rPr>
                <w:sz w:val="24"/>
                <w:szCs w:val="24"/>
              </w:rPr>
            </w:r>
            <w:r>
              <w:rPr>
                <w:sz w:val="24"/>
                <w:szCs w:val="24"/>
              </w:rPr>
            </w:r>
            <w:r>
              <w:rPr>
                <w:sz w:val="24"/>
                <w:szCs w:val="24"/>
              </w:rPr>
            </w:r>
          </w:p>
          <w:p>
            <w:pPr>
              <w:ind w:firstLine="680"/>
              <w:jc w:val="both"/>
              <w:rPr>
                <w:sz w:val="24"/>
                <w:szCs w:val="24"/>
              </w:rPr>
            </w:pPr>
            <w:r>
              <w:rPr>
                <w:sz w:val="24"/>
                <w:szCs w:val="24"/>
              </w:rPr>
            </w:r>
            <w:r>
              <w:rPr>
                <w:sz w:val="24"/>
                <w:szCs w:val="24"/>
              </w:rPr>
            </w:r>
            <w:r>
              <w:rPr>
                <w:sz w:val="24"/>
                <w:szCs w:val="24"/>
              </w:rPr>
            </w:r>
          </w:p>
          <w:p>
            <w:pPr>
              <w:ind w:firstLine="680"/>
              <w:jc w:val="center"/>
              <w:rPr>
                <w:b/>
                <w:sz w:val="24"/>
                <w:szCs w:val="24"/>
              </w:rPr>
            </w:pPr>
            <w:r>
              <w:rPr>
                <w:b/>
                <w:sz w:val="24"/>
                <w:szCs w:val="24"/>
              </w:rPr>
              <w:t xml:space="preserve">Договора аренды земельного участка № ___</w:t>
            </w:r>
            <w:r>
              <w:rPr>
                <w:b/>
                <w:sz w:val="24"/>
                <w:szCs w:val="24"/>
              </w:rPr>
            </w:r>
            <w:r>
              <w:rPr>
                <w:b/>
                <w:sz w:val="24"/>
                <w:szCs w:val="24"/>
              </w:rPr>
            </w:r>
          </w:p>
          <w:p>
            <w:pPr>
              <w:ind w:firstLine="680"/>
              <w:jc w:val="center"/>
              <w:rPr>
                <w:b/>
                <w:sz w:val="24"/>
                <w:szCs w:val="24"/>
              </w:rPr>
            </w:pPr>
            <w:r>
              <w:rPr>
                <w:b/>
                <w:sz w:val="24"/>
                <w:szCs w:val="24"/>
              </w:rPr>
              <w:t xml:space="preserve">ПРОЕКТ</w:t>
            </w:r>
            <w:r>
              <w:rPr>
                <w:b/>
                <w:sz w:val="24"/>
                <w:szCs w:val="24"/>
              </w:rPr>
            </w:r>
            <w:r>
              <w:rPr>
                <w:b/>
                <w:sz w:val="24"/>
                <w:szCs w:val="24"/>
              </w:rPr>
            </w:r>
          </w:p>
          <w:p>
            <w:pPr>
              <w:jc w:val="both"/>
              <w:rPr>
                <w:sz w:val="24"/>
                <w:szCs w:val="24"/>
              </w:rPr>
            </w:pPr>
            <w:r>
              <w:rPr>
                <w:sz w:val="24"/>
                <w:szCs w:val="24"/>
              </w:rPr>
              <w:t xml:space="preserve">г.п. Печенга                                               </w:t>
            </w:r>
            <w:r>
              <w:rPr>
                <w:sz w:val="24"/>
                <w:szCs w:val="24"/>
              </w:rPr>
              <w:t xml:space="preserve">                                                    </w:t>
            </w:r>
            <w:r>
              <w:rPr>
                <w:sz w:val="24"/>
                <w:szCs w:val="24"/>
              </w:rPr>
              <w:t xml:space="preserve">«__» _______ 2024 г.</w:t>
            </w:r>
            <w:r>
              <w:rPr>
                <w:sz w:val="24"/>
                <w:szCs w:val="24"/>
              </w:rPr>
            </w:r>
            <w:r>
              <w:rPr>
                <w:sz w:val="24"/>
                <w:szCs w:val="24"/>
              </w:rPr>
            </w:r>
          </w:p>
          <w:p>
            <w:pPr>
              <w:ind w:firstLine="680"/>
              <w:jc w:val="both"/>
              <w:rPr>
                <w:sz w:val="24"/>
                <w:szCs w:val="24"/>
              </w:rPr>
            </w:pPr>
            <w:r>
              <w:rPr>
                <w:sz w:val="24"/>
                <w:szCs w:val="24"/>
              </w:rPr>
            </w:r>
            <w:r>
              <w:rPr>
                <w:sz w:val="24"/>
                <w:szCs w:val="24"/>
              </w:rPr>
            </w:r>
            <w:r>
              <w:rPr>
                <w:sz w:val="24"/>
                <w:szCs w:val="24"/>
              </w:rPr>
            </w:r>
          </w:p>
          <w:p>
            <w:pPr>
              <w:ind w:firstLine="680"/>
              <w:jc w:val="both"/>
              <w:rPr>
                <w:sz w:val="24"/>
                <w:szCs w:val="24"/>
              </w:rPr>
            </w:pPr>
            <w:r>
              <w:rPr>
                <w:b/>
                <w:sz w:val="24"/>
                <w:szCs w:val="24"/>
              </w:rPr>
              <w:t xml:space="preserve">Комитет по управлению имуществом администрации муниципального образования Печенгского муниципального округа  Мурманской области</w:t>
            </w:r>
            <w:r>
              <w:rPr>
                <w:sz w:val="24"/>
                <w:szCs w:val="24"/>
              </w:rPr>
              <w:t xml:space="preserve">, в лице Председателя комитета  Лаврущик Светланы Сергеевны, действующего на основании ______________________с одной стороны, именуемый в дальнейшем «Арендодатель»,  и,</w:t>
            </w:r>
            <w:r>
              <w:rPr>
                <w:sz w:val="24"/>
                <w:szCs w:val="24"/>
              </w:rPr>
            </w:r>
            <w:r>
              <w:rPr>
                <w:sz w:val="24"/>
                <w:szCs w:val="24"/>
              </w:rPr>
            </w:r>
          </w:p>
          <w:p>
            <w:pPr>
              <w:ind w:firstLine="680"/>
              <w:jc w:val="both"/>
              <w:rPr>
                <w:sz w:val="24"/>
                <w:szCs w:val="24"/>
              </w:rPr>
            </w:pPr>
            <w:r>
              <w:rPr>
                <w:sz w:val="24"/>
                <w:szCs w:val="24"/>
              </w:rPr>
              <w:t xml:space="preserve"> и </w:t>
            </w:r>
            <w:r>
              <w:rPr>
                <w:b/>
                <w:sz w:val="24"/>
                <w:szCs w:val="24"/>
              </w:rPr>
              <w:t xml:space="preserve">Общество с ограниченной ответственностью «Промвоенстрой»</w:t>
            </w:r>
            <w:r>
              <w:rPr>
                <w:sz w:val="24"/>
                <w:szCs w:val="24"/>
              </w:rPr>
              <w:t xml:space="preserve"> (далее - ООО «Промвоенстрой»), в лице генерального директора </w:t>
            </w:r>
            <w:r>
              <w:rPr>
                <w:b/>
                <w:sz w:val="24"/>
                <w:szCs w:val="24"/>
              </w:rPr>
              <w:t xml:space="preserve">Аршакяна Армена Рубеновича</w:t>
            </w:r>
            <w:r>
              <w:rPr>
                <w:sz w:val="24"/>
                <w:szCs w:val="24"/>
              </w:rPr>
              <w:t xml:space="preserve">, действующего на основании Устава,  именуемый</w:t>
            </w:r>
            <w:r>
              <w:rPr>
                <w:sz w:val="24"/>
                <w:szCs w:val="24"/>
              </w:rPr>
              <w:tab/>
              <w:t xml:space="preserve"> в дальнейшем «Арендатор», с другой стороны, именуемые вместе  Стороны, заключили настоящий договор о нижеследующем:</w:t>
            </w:r>
            <w:r>
              <w:rPr>
                <w:sz w:val="24"/>
                <w:szCs w:val="24"/>
              </w:rPr>
            </w:r>
            <w:r>
              <w:rPr>
                <w:sz w:val="24"/>
                <w:szCs w:val="24"/>
              </w:rPr>
            </w:r>
          </w:p>
          <w:p>
            <w:pPr>
              <w:ind w:firstLine="680"/>
              <w:jc w:val="both"/>
              <w:rPr>
                <w:sz w:val="24"/>
                <w:szCs w:val="24"/>
              </w:rPr>
            </w:pPr>
            <w:r>
              <w:rPr>
                <w:sz w:val="24"/>
                <w:szCs w:val="24"/>
              </w:rPr>
            </w:r>
            <w:r>
              <w:rPr>
                <w:sz w:val="24"/>
                <w:szCs w:val="24"/>
              </w:rPr>
            </w:r>
            <w:r>
              <w:rPr>
                <w:sz w:val="24"/>
                <w:szCs w:val="24"/>
              </w:rPr>
            </w:r>
          </w:p>
          <w:p>
            <w:pPr>
              <w:pStyle w:val="943"/>
              <w:numPr>
                <w:ilvl w:val="0"/>
                <w:numId w:val="19"/>
              </w:numPr>
              <w:contextualSpacing w:val="0"/>
              <w:ind w:left="0" w:firstLine="680"/>
              <w:jc w:val="center"/>
              <w:widowControl w:val="off"/>
              <w:rPr>
                <w:b/>
                <w:sz w:val="24"/>
                <w:szCs w:val="24"/>
              </w:rPr>
            </w:pPr>
            <w:r>
              <w:rPr>
                <w:b/>
                <w:sz w:val="24"/>
                <w:szCs w:val="24"/>
              </w:rPr>
              <w:t xml:space="preserve">Предмет Договора</w:t>
            </w:r>
            <w:r>
              <w:rPr>
                <w:b/>
                <w:sz w:val="24"/>
                <w:szCs w:val="24"/>
              </w:rPr>
            </w:r>
            <w:r>
              <w:rPr>
                <w:b/>
                <w:sz w:val="24"/>
                <w:szCs w:val="24"/>
              </w:rPr>
            </w:r>
          </w:p>
          <w:p>
            <w:pPr>
              <w:ind w:firstLine="680"/>
              <w:jc w:val="both"/>
              <w:rPr>
                <w:sz w:val="24"/>
                <w:szCs w:val="24"/>
              </w:rPr>
            </w:pPr>
            <w:r>
              <w:rPr>
                <w:sz w:val="24"/>
                <w:szCs w:val="24"/>
              </w:rPr>
            </w:r>
            <w:r>
              <w:rPr>
                <w:sz w:val="24"/>
                <w:szCs w:val="24"/>
              </w:rPr>
            </w:r>
            <w:r>
              <w:rPr>
                <w:sz w:val="24"/>
                <w:szCs w:val="24"/>
              </w:rPr>
            </w:r>
          </w:p>
          <w:p>
            <w:pPr>
              <w:pStyle w:val="943"/>
              <w:numPr>
                <w:ilvl w:val="1"/>
                <w:numId w:val="19"/>
              </w:numPr>
              <w:contextualSpacing w:val="0"/>
              <w:ind w:left="0" w:firstLine="680"/>
              <w:jc w:val="both"/>
              <w:widowControl w:val="off"/>
              <w:rPr>
                <w:sz w:val="24"/>
                <w:szCs w:val="24"/>
                <w:lang w:val="ru-RU"/>
              </w:rPr>
            </w:pPr>
            <w:r>
              <w:rPr>
                <w:sz w:val="24"/>
                <w:szCs w:val="24"/>
                <w:lang w:val="ru-RU"/>
              </w:rPr>
              <w:t xml:space="preserve">Арендодатель предоставляет, а Арендатор принимает в аренду земельный уч</w:t>
            </w:r>
            <w:r>
              <w:rPr>
                <w:sz w:val="24"/>
                <w:szCs w:val="24"/>
                <w:lang w:val="ru-RU"/>
              </w:rPr>
              <w:t xml:space="preserve">асток (далее – Участок) с кадастровым номером: __________________, площадью __________ кв.м., из категории земель: земли населенных пунктов. Земельный участок расположен по адресу: Мурманская область, Печенгский муниципальный округ, ______________________.</w:t>
            </w:r>
            <w:r>
              <w:rPr>
                <w:sz w:val="24"/>
                <w:szCs w:val="24"/>
                <w:lang w:val="ru-RU"/>
              </w:rPr>
            </w:r>
            <w:r>
              <w:rPr>
                <w:sz w:val="24"/>
                <w:szCs w:val="24"/>
                <w:lang w:val="ru-RU"/>
              </w:rPr>
            </w:r>
          </w:p>
          <w:p>
            <w:pPr>
              <w:pStyle w:val="943"/>
              <w:numPr>
                <w:ilvl w:val="1"/>
                <w:numId w:val="19"/>
              </w:numPr>
              <w:contextualSpacing w:val="0"/>
              <w:ind w:left="0" w:firstLine="680"/>
              <w:jc w:val="both"/>
              <w:widowControl w:val="off"/>
              <w:rPr>
                <w:sz w:val="24"/>
                <w:szCs w:val="24"/>
                <w:lang w:val="ru-RU"/>
              </w:rPr>
            </w:pPr>
            <w:r>
              <w:rPr>
                <w:sz w:val="24"/>
                <w:szCs w:val="24"/>
                <w:lang w:val="ru-RU"/>
              </w:rPr>
              <w:t xml:space="preserve">На земельном участке расположено Здание Нежилое «Котельная №______», с кадастровым номером _____________________.</w:t>
            </w:r>
            <w:r>
              <w:rPr>
                <w:sz w:val="24"/>
                <w:szCs w:val="24"/>
                <w:lang w:val="ru-RU"/>
              </w:rPr>
            </w:r>
            <w:r>
              <w:rPr>
                <w:sz w:val="24"/>
                <w:szCs w:val="24"/>
                <w:lang w:val="ru-RU"/>
              </w:rPr>
            </w:r>
          </w:p>
          <w:p>
            <w:pPr>
              <w:ind w:firstLine="680"/>
              <w:jc w:val="both"/>
              <w:rPr>
                <w:sz w:val="24"/>
                <w:szCs w:val="24"/>
              </w:rPr>
            </w:pPr>
            <w:r>
              <w:rPr>
                <w:sz w:val="24"/>
                <w:szCs w:val="24"/>
              </w:rPr>
            </w:r>
            <w:r>
              <w:rPr>
                <w:sz w:val="24"/>
                <w:szCs w:val="24"/>
              </w:rPr>
            </w:r>
            <w:r>
              <w:rPr>
                <w:sz w:val="24"/>
                <w:szCs w:val="24"/>
              </w:rPr>
            </w:r>
          </w:p>
          <w:p>
            <w:pPr>
              <w:pStyle w:val="943"/>
              <w:numPr>
                <w:ilvl w:val="0"/>
                <w:numId w:val="19"/>
              </w:numPr>
              <w:contextualSpacing w:val="0"/>
              <w:ind w:left="0" w:firstLine="680"/>
              <w:jc w:val="center"/>
              <w:widowControl w:val="off"/>
              <w:rPr>
                <w:b/>
                <w:sz w:val="24"/>
                <w:szCs w:val="24"/>
              </w:rPr>
            </w:pPr>
            <w:r>
              <w:rPr>
                <w:b/>
                <w:sz w:val="24"/>
                <w:szCs w:val="24"/>
              </w:rPr>
              <w:t xml:space="preserve">Срок Договора</w:t>
            </w:r>
            <w:r>
              <w:rPr>
                <w:b/>
                <w:sz w:val="24"/>
                <w:szCs w:val="24"/>
              </w:rPr>
            </w:r>
            <w:r>
              <w:rPr>
                <w:b/>
                <w:sz w:val="24"/>
                <w:szCs w:val="24"/>
              </w:rPr>
            </w:r>
          </w:p>
          <w:p>
            <w:pPr>
              <w:ind w:firstLine="680"/>
              <w:jc w:val="both"/>
              <w:rPr>
                <w:sz w:val="24"/>
                <w:szCs w:val="24"/>
              </w:rPr>
            </w:pPr>
            <w:r>
              <w:rPr>
                <w:sz w:val="24"/>
                <w:szCs w:val="24"/>
              </w:rPr>
            </w:r>
            <w:r>
              <w:rPr>
                <w:sz w:val="24"/>
                <w:szCs w:val="24"/>
              </w:rPr>
            </w:r>
            <w:r>
              <w:rPr>
                <w:sz w:val="24"/>
                <w:szCs w:val="24"/>
              </w:rPr>
            </w:r>
          </w:p>
          <w:p>
            <w:pPr>
              <w:pStyle w:val="943"/>
              <w:numPr>
                <w:ilvl w:val="1"/>
                <w:numId w:val="19"/>
              </w:numPr>
              <w:contextualSpacing w:val="0"/>
              <w:ind w:left="0" w:firstLine="680"/>
              <w:jc w:val="both"/>
              <w:widowControl w:val="off"/>
              <w:rPr>
                <w:sz w:val="24"/>
                <w:szCs w:val="24"/>
                <w:lang w:val="ru-RU"/>
              </w:rPr>
            </w:pPr>
            <w:r>
              <w:rPr>
                <w:sz w:val="24"/>
                <w:szCs w:val="24"/>
                <w:lang w:val="ru-RU"/>
              </w:rPr>
              <w:t xml:space="preserve">Срок действия настоящего Договора аренды Участка с «___» _____ 202_ г. по «31» декабря 2033 г.</w:t>
            </w:r>
            <w:r>
              <w:rPr>
                <w:sz w:val="24"/>
                <w:szCs w:val="24"/>
                <w:lang w:val="ru-RU"/>
              </w:rPr>
            </w:r>
            <w:r>
              <w:rPr>
                <w:sz w:val="24"/>
                <w:szCs w:val="24"/>
                <w:lang w:val="ru-RU"/>
              </w:rPr>
            </w:r>
          </w:p>
          <w:p>
            <w:pPr>
              <w:ind w:firstLine="680"/>
              <w:jc w:val="both"/>
              <w:rPr>
                <w:sz w:val="24"/>
                <w:szCs w:val="24"/>
              </w:rPr>
            </w:pPr>
            <w:r>
              <w:rPr>
                <w:sz w:val="24"/>
                <w:szCs w:val="24"/>
              </w:rPr>
            </w:r>
            <w:r>
              <w:rPr>
                <w:sz w:val="24"/>
                <w:szCs w:val="24"/>
              </w:rPr>
            </w:r>
            <w:r>
              <w:rPr>
                <w:sz w:val="24"/>
                <w:szCs w:val="24"/>
              </w:rPr>
            </w:r>
          </w:p>
          <w:p>
            <w:pPr>
              <w:pStyle w:val="943"/>
              <w:numPr>
                <w:ilvl w:val="0"/>
                <w:numId w:val="19"/>
              </w:numPr>
              <w:contextualSpacing w:val="0"/>
              <w:ind w:left="0" w:firstLine="680"/>
              <w:jc w:val="center"/>
              <w:widowControl w:val="off"/>
              <w:rPr>
                <w:b/>
                <w:sz w:val="24"/>
                <w:szCs w:val="24"/>
                <w:lang w:val="ru-RU"/>
              </w:rPr>
            </w:pPr>
            <w:r>
              <w:rPr>
                <w:b/>
                <w:sz w:val="24"/>
                <w:szCs w:val="24"/>
                <w:lang w:val="ru-RU"/>
              </w:rPr>
              <w:t xml:space="preserve">Размер и условия внесения арендной платы</w:t>
            </w:r>
            <w:r>
              <w:rPr>
                <w:b/>
                <w:sz w:val="24"/>
                <w:szCs w:val="24"/>
                <w:lang w:val="ru-RU"/>
              </w:rPr>
            </w:r>
            <w:r>
              <w:rPr>
                <w:b/>
                <w:sz w:val="24"/>
                <w:szCs w:val="24"/>
                <w:lang w:val="ru-RU"/>
              </w:rPr>
            </w:r>
          </w:p>
          <w:p>
            <w:pPr>
              <w:ind w:firstLine="680"/>
              <w:jc w:val="both"/>
              <w:rPr>
                <w:sz w:val="24"/>
                <w:szCs w:val="24"/>
              </w:rPr>
            </w:pPr>
            <w:r>
              <w:rPr>
                <w:sz w:val="24"/>
                <w:szCs w:val="24"/>
              </w:rPr>
            </w:r>
            <w:r>
              <w:rPr>
                <w:sz w:val="24"/>
                <w:szCs w:val="24"/>
              </w:rPr>
            </w:r>
            <w:r>
              <w:rPr>
                <w:sz w:val="24"/>
                <w:szCs w:val="24"/>
              </w:rPr>
            </w:r>
          </w:p>
          <w:p>
            <w:pPr>
              <w:pStyle w:val="943"/>
              <w:numPr>
                <w:ilvl w:val="1"/>
                <w:numId w:val="19"/>
              </w:numPr>
              <w:contextualSpacing w:val="0"/>
              <w:ind w:left="0" w:firstLine="680"/>
              <w:jc w:val="both"/>
              <w:widowControl w:val="off"/>
              <w:rPr>
                <w:sz w:val="24"/>
                <w:szCs w:val="24"/>
                <w:lang w:val="ru-RU"/>
              </w:rPr>
            </w:pPr>
            <w:r>
              <w:rPr>
                <w:sz w:val="24"/>
                <w:szCs w:val="24"/>
                <w:lang w:val="ru-RU"/>
              </w:rPr>
              <w:t xml:space="preserve">Арендная плата за пользование Участком рассчитывается в соответствии с Порядком определения размера арендной платы, порядке, условий и сроков внесения арендной платы за использование земельных участков, находящихся в муниципальной собственности, и </w:t>
            </w:r>
            <w:r>
              <w:rPr>
                <w:sz w:val="24"/>
                <w:szCs w:val="24"/>
                <w:lang w:val="ru-RU"/>
              </w:rPr>
              <w:t xml:space="preserve">земельных участков, государственная собственность на которые не разграничена, расположенных на территории Печенгского муниципального округа, утвержденным Решением Совета депутатов Печенгского муниципального округа Мурманской области от 16.04.2021 г. № 148:</w:t>
            </w:r>
            <w:r>
              <w:rPr>
                <w:sz w:val="24"/>
                <w:szCs w:val="24"/>
                <w:lang w:val="ru-RU"/>
              </w:rPr>
            </w:r>
            <w:r>
              <w:rPr>
                <w:sz w:val="24"/>
                <w:szCs w:val="24"/>
                <w:lang w:val="ru-RU"/>
              </w:rPr>
            </w:r>
          </w:p>
          <w:p>
            <w:pPr>
              <w:pStyle w:val="943"/>
              <w:numPr>
                <w:ilvl w:val="0"/>
                <w:numId w:val="33"/>
              </w:numPr>
              <w:contextualSpacing w:val="0"/>
              <w:jc w:val="both"/>
              <w:widowControl w:val="off"/>
              <w:rPr>
                <w:sz w:val="24"/>
                <w:szCs w:val="24"/>
              </w:rPr>
            </w:pPr>
            <w:r>
              <w:rPr>
                <w:sz w:val="24"/>
                <w:szCs w:val="24"/>
              </w:rPr>
              <w:t xml:space="preserve">Кадастровый номер участка:____________________</w:t>
            </w:r>
            <w:r>
              <w:rPr>
                <w:sz w:val="24"/>
                <w:szCs w:val="24"/>
              </w:rPr>
            </w:r>
            <w:r>
              <w:rPr>
                <w:sz w:val="24"/>
                <w:szCs w:val="24"/>
              </w:rPr>
            </w:r>
          </w:p>
          <w:p>
            <w:pPr>
              <w:pStyle w:val="943"/>
              <w:numPr>
                <w:ilvl w:val="0"/>
                <w:numId w:val="33"/>
              </w:numPr>
              <w:contextualSpacing w:val="0"/>
              <w:jc w:val="both"/>
              <w:widowControl w:val="off"/>
              <w:rPr>
                <w:sz w:val="24"/>
                <w:szCs w:val="24"/>
              </w:rPr>
            </w:pPr>
            <w:r>
              <w:rPr>
                <w:sz w:val="24"/>
                <w:szCs w:val="24"/>
              </w:rPr>
              <w:t xml:space="preserve">Кадастровая стоимость земельного участка: </w:t>
            </w:r>
            <w:r>
              <w:rPr>
                <w:b/>
                <w:sz w:val="24"/>
                <w:szCs w:val="24"/>
                <w:u w:val="single"/>
              </w:rPr>
              <w:t xml:space="preserve">А</w:t>
            </w:r>
            <w:r>
              <w:rPr>
                <w:sz w:val="24"/>
                <w:szCs w:val="24"/>
              </w:rPr>
            </w:r>
            <w:r>
              <w:rPr>
                <w:sz w:val="24"/>
                <w:szCs w:val="24"/>
              </w:rPr>
            </w:r>
          </w:p>
          <w:p>
            <w:pPr>
              <w:pStyle w:val="943"/>
              <w:numPr>
                <w:ilvl w:val="0"/>
                <w:numId w:val="33"/>
              </w:numPr>
              <w:contextualSpacing w:val="0"/>
              <w:jc w:val="both"/>
              <w:widowControl w:val="off"/>
              <w:rPr>
                <w:sz w:val="24"/>
                <w:szCs w:val="24"/>
              </w:rPr>
            </w:pPr>
            <w:r>
              <w:rPr>
                <w:sz w:val="24"/>
                <w:szCs w:val="24"/>
              </w:rPr>
              <w:t xml:space="preserve">Дифференцированный коэффициент – </w:t>
            </w:r>
            <w:r>
              <w:rPr>
                <w:b/>
                <w:sz w:val="24"/>
                <w:szCs w:val="24"/>
                <w:u w:val="single"/>
              </w:rPr>
              <w:t xml:space="preserve">0,9606</w:t>
            </w:r>
            <w:r>
              <w:rPr>
                <w:sz w:val="24"/>
                <w:szCs w:val="24"/>
              </w:rPr>
            </w:r>
            <w:r>
              <w:rPr>
                <w:sz w:val="24"/>
                <w:szCs w:val="24"/>
              </w:rPr>
            </w:r>
          </w:p>
          <w:p>
            <w:pPr>
              <w:pStyle w:val="943"/>
              <w:numPr>
                <w:ilvl w:val="0"/>
                <w:numId w:val="33"/>
              </w:numPr>
              <w:contextualSpacing w:val="0"/>
              <w:jc w:val="both"/>
              <w:widowControl w:val="off"/>
              <w:rPr>
                <w:b/>
                <w:sz w:val="24"/>
                <w:szCs w:val="24"/>
                <w:lang w:val="ru-RU"/>
              </w:rPr>
            </w:pPr>
            <w:r>
              <w:rPr>
                <w:sz w:val="24"/>
                <w:szCs w:val="24"/>
                <w:lang w:val="ru-RU"/>
              </w:rPr>
              <w:t xml:space="preserve">Показатель 1,5% кадастровой стоимости земельного участка – </w:t>
            </w:r>
            <w:r>
              <w:rPr>
                <w:b/>
                <w:sz w:val="24"/>
                <w:szCs w:val="24"/>
                <w:u w:val="single"/>
                <w:lang w:val="ru-RU"/>
              </w:rPr>
              <w:t xml:space="preserve">0,015</w:t>
            </w:r>
            <w:r>
              <w:rPr>
                <w:b/>
                <w:sz w:val="24"/>
                <w:szCs w:val="24"/>
                <w:lang w:val="ru-RU"/>
              </w:rPr>
            </w:r>
            <w:r>
              <w:rPr>
                <w:b/>
                <w:sz w:val="24"/>
                <w:szCs w:val="24"/>
                <w:lang w:val="ru-RU"/>
              </w:rPr>
            </w:r>
          </w:p>
          <w:p>
            <w:pPr>
              <w:pStyle w:val="943"/>
              <w:numPr>
                <w:ilvl w:val="0"/>
                <w:numId w:val="33"/>
              </w:numPr>
              <w:contextualSpacing w:val="0"/>
              <w:jc w:val="both"/>
              <w:widowControl w:val="off"/>
              <w:rPr>
                <w:sz w:val="24"/>
                <w:szCs w:val="24"/>
                <w:lang w:val="ru-RU"/>
              </w:rPr>
            </w:pPr>
            <w:r>
              <w:rPr>
                <w:sz w:val="24"/>
                <w:szCs w:val="24"/>
                <w:lang w:val="ru-RU"/>
              </w:rPr>
              <w:t xml:space="preserve">Расчет суммы арендной платы (кадастровая стоимость земельного участка*показатель кадастровой стоимости земельного участка*дифференцированный коэффициент): </w:t>
            </w:r>
            <w:r>
              <w:rPr>
                <w:b/>
                <w:sz w:val="24"/>
                <w:szCs w:val="24"/>
                <w:u w:val="single"/>
                <w:lang w:val="ru-RU"/>
              </w:rPr>
              <w:t xml:space="preserve">А*0,015*0,9606</w:t>
            </w:r>
            <w:r>
              <w:rPr>
                <w:sz w:val="24"/>
                <w:szCs w:val="24"/>
                <w:lang w:val="ru-RU"/>
              </w:rPr>
              <w:t xml:space="preserve">  рублей в год.</w:t>
            </w:r>
            <w:r>
              <w:rPr>
                <w:sz w:val="24"/>
                <w:szCs w:val="24"/>
                <w:lang w:val="ru-RU"/>
              </w:rPr>
            </w:r>
            <w:r>
              <w:rPr>
                <w:sz w:val="24"/>
                <w:szCs w:val="24"/>
                <w:lang w:val="ru-RU"/>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pStyle w:val="943"/>
              <w:numPr>
                <w:ilvl w:val="1"/>
                <w:numId w:val="19"/>
              </w:numPr>
              <w:contextualSpacing w:val="0"/>
              <w:ind w:left="0" w:firstLine="680"/>
              <w:jc w:val="both"/>
              <w:widowControl w:val="off"/>
              <w:rPr>
                <w:sz w:val="24"/>
                <w:szCs w:val="24"/>
                <w:lang w:val="ru-RU"/>
              </w:rPr>
            </w:pPr>
            <w:r>
              <w:rPr>
                <w:sz w:val="24"/>
                <w:szCs w:val="24"/>
                <w:lang w:val="ru-RU"/>
              </w:rPr>
              <w:t xml:space="preserve">Арендная  плата  вносится  Арендатором  ежеквартально равными долями не позднее 15 числа третьего месяца текущего квартала, а за  5 квартал не позднее 1 декабря путем перечисления на счет:</w:t>
            </w:r>
            <w:r>
              <w:rPr>
                <w:sz w:val="24"/>
                <w:szCs w:val="24"/>
                <w:lang w:val="ru-RU"/>
              </w:rPr>
            </w:r>
            <w:r>
              <w:rPr>
                <w:sz w:val="24"/>
                <w:szCs w:val="24"/>
                <w:lang w:val="ru-RU"/>
              </w:rPr>
            </w:r>
          </w:p>
          <w:p>
            <w:pPr>
              <w:ind w:firstLine="680"/>
              <w:jc w:val="both"/>
              <w:rPr>
                <w:sz w:val="24"/>
                <w:szCs w:val="24"/>
              </w:rPr>
            </w:pPr>
            <w:r>
              <w:rPr>
                <w:sz w:val="24"/>
                <w:szCs w:val="24"/>
              </w:rPr>
              <w:t xml:space="preserve">КБК 004 1 11 05024 14 0000 120</w:t>
            </w:r>
            <w:r>
              <w:rPr>
                <w:sz w:val="24"/>
                <w:szCs w:val="24"/>
              </w:rPr>
            </w:r>
            <w:r>
              <w:rPr>
                <w:sz w:val="24"/>
                <w:szCs w:val="24"/>
              </w:rPr>
            </w:r>
          </w:p>
          <w:p>
            <w:pPr>
              <w:ind w:firstLine="680"/>
              <w:jc w:val="both"/>
              <w:rPr>
                <w:sz w:val="24"/>
                <w:szCs w:val="24"/>
              </w:rPr>
            </w:pPr>
            <w:r>
              <w:rPr>
                <w:sz w:val="24"/>
                <w:szCs w:val="24"/>
              </w:rPr>
              <w:t xml:space="preserve">За ареду земельного участка, находящегося в муниципальной собственности получатель:</w:t>
            </w:r>
            <w:r>
              <w:rPr>
                <w:sz w:val="24"/>
                <w:szCs w:val="24"/>
              </w:rPr>
            </w:r>
            <w:r>
              <w:rPr>
                <w:sz w:val="24"/>
                <w:szCs w:val="24"/>
              </w:rPr>
            </w:r>
          </w:p>
          <w:p>
            <w:pPr>
              <w:ind w:firstLine="680"/>
              <w:jc w:val="both"/>
              <w:rPr>
                <w:sz w:val="24"/>
                <w:szCs w:val="24"/>
              </w:rPr>
            </w:pPr>
            <w:r>
              <w:rPr>
                <w:sz w:val="24"/>
                <w:szCs w:val="24"/>
              </w:rPr>
              <w:t xml:space="preserve">ИНН 5105013736, КПП 510501001,</w:t>
            </w:r>
            <w:r>
              <w:rPr>
                <w:sz w:val="24"/>
                <w:szCs w:val="24"/>
              </w:rPr>
            </w:r>
            <w:r>
              <w:rPr>
                <w:sz w:val="24"/>
                <w:szCs w:val="24"/>
              </w:rPr>
            </w:r>
          </w:p>
          <w:p>
            <w:pPr>
              <w:ind w:firstLine="680"/>
              <w:jc w:val="both"/>
              <w:rPr>
                <w:sz w:val="24"/>
                <w:szCs w:val="24"/>
              </w:rPr>
            </w:pPr>
            <w:r>
              <w:rPr>
                <w:sz w:val="24"/>
                <w:szCs w:val="24"/>
              </w:rPr>
              <w:t xml:space="preserve">УФК по Мурманской области (Комитет по управлению имуществом администрации Печенгского муниципального округа л/с 04493</w:t>
            </w:r>
            <w:r>
              <w:rPr>
                <w:sz w:val="24"/>
                <w:szCs w:val="24"/>
                <w:lang w:val="en-US"/>
              </w:rPr>
              <w:t xml:space="preserve">D</w:t>
            </w:r>
            <w:r>
              <w:rPr>
                <w:sz w:val="24"/>
                <w:szCs w:val="24"/>
              </w:rPr>
              <w:t xml:space="preserve">50420)</w:t>
            </w:r>
            <w:r>
              <w:rPr>
                <w:sz w:val="24"/>
                <w:szCs w:val="24"/>
              </w:rPr>
            </w:r>
            <w:r>
              <w:rPr>
                <w:sz w:val="24"/>
                <w:szCs w:val="24"/>
              </w:rPr>
            </w:r>
          </w:p>
          <w:p>
            <w:pPr>
              <w:ind w:firstLine="680"/>
              <w:jc w:val="both"/>
              <w:rPr>
                <w:sz w:val="24"/>
                <w:szCs w:val="24"/>
              </w:rPr>
            </w:pPr>
            <w:r>
              <w:rPr>
                <w:sz w:val="24"/>
                <w:szCs w:val="24"/>
              </w:rPr>
              <w:t xml:space="preserve">Расчетный счет: 03100643000000014900, БИК 014705901;</w:t>
            </w:r>
            <w:r>
              <w:rPr>
                <w:sz w:val="24"/>
                <w:szCs w:val="24"/>
              </w:rPr>
            </w:r>
            <w:r>
              <w:rPr>
                <w:sz w:val="24"/>
                <w:szCs w:val="24"/>
              </w:rPr>
            </w:r>
          </w:p>
          <w:p>
            <w:pPr>
              <w:ind w:firstLine="680"/>
              <w:jc w:val="both"/>
              <w:rPr>
                <w:sz w:val="24"/>
                <w:szCs w:val="24"/>
              </w:rPr>
            </w:pPr>
            <w:r>
              <w:rPr>
                <w:sz w:val="24"/>
                <w:szCs w:val="24"/>
              </w:rPr>
              <w:t xml:space="preserve">Отделении Мурманск Банка России //УФК по Мурманской области, г. Мурманск</w:t>
            </w:r>
            <w:r>
              <w:rPr>
                <w:sz w:val="24"/>
                <w:szCs w:val="24"/>
              </w:rPr>
            </w:r>
            <w:r>
              <w:rPr>
                <w:sz w:val="24"/>
                <w:szCs w:val="24"/>
              </w:rPr>
            </w:r>
          </w:p>
          <w:p>
            <w:pPr>
              <w:ind w:firstLine="680"/>
              <w:jc w:val="both"/>
              <w:rPr>
                <w:sz w:val="24"/>
                <w:szCs w:val="24"/>
              </w:rPr>
            </w:pPr>
            <w:r>
              <w:rPr>
                <w:sz w:val="24"/>
                <w:szCs w:val="24"/>
              </w:rPr>
              <w:t xml:space="preserve">Кор. Счет 40102810745380000041</w:t>
            </w:r>
            <w:r>
              <w:rPr>
                <w:sz w:val="24"/>
                <w:szCs w:val="24"/>
              </w:rPr>
            </w:r>
            <w:r>
              <w:rPr>
                <w:sz w:val="24"/>
                <w:szCs w:val="24"/>
              </w:rPr>
            </w:r>
          </w:p>
          <w:p>
            <w:pPr>
              <w:ind w:firstLine="680"/>
              <w:jc w:val="both"/>
              <w:rPr>
                <w:sz w:val="24"/>
                <w:szCs w:val="24"/>
              </w:rPr>
            </w:pPr>
            <w:r>
              <w:rPr>
                <w:sz w:val="24"/>
                <w:szCs w:val="24"/>
              </w:rPr>
              <w:t xml:space="preserve">ОКТМО 47515000.</w:t>
            </w:r>
            <w:r>
              <w:rPr>
                <w:sz w:val="24"/>
                <w:szCs w:val="24"/>
              </w:rPr>
            </w:r>
            <w:r>
              <w:rPr>
                <w:sz w:val="24"/>
                <w:szCs w:val="24"/>
              </w:rPr>
            </w:r>
          </w:p>
          <w:p>
            <w:pPr>
              <w:ind w:firstLine="680"/>
              <w:jc w:val="both"/>
              <w:rPr>
                <w:sz w:val="24"/>
                <w:szCs w:val="24"/>
              </w:rPr>
            </w:pPr>
            <w:r>
              <w:rPr>
                <w:sz w:val="24"/>
                <w:szCs w:val="24"/>
              </w:rPr>
            </w:r>
            <w:r>
              <w:rPr>
                <w:sz w:val="24"/>
                <w:szCs w:val="24"/>
              </w:rPr>
            </w:r>
            <w:r>
              <w:rPr>
                <w:sz w:val="24"/>
                <w:szCs w:val="24"/>
              </w:rPr>
            </w:r>
          </w:p>
          <w:p>
            <w:pPr>
              <w:ind w:firstLine="680"/>
              <w:jc w:val="both"/>
              <w:rPr>
                <w:sz w:val="24"/>
                <w:szCs w:val="24"/>
              </w:rPr>
            </w:pPr>
            <w:r>
              <w:rPr>
                <w:sz w:val="24"/>
                <w:szCs w:val="24"/>
              </w:rPr>
              <w:t xml:space="preserve">За нарушение сроков внесения арендной платы Арендатору начисляется пеня в размере не менее 0,1% за каждый день просрочки от невнесенной суммы арендной платы.</w:t>
            </w:r>
            <w:r>
              <w:rPr>
                <w:sz w:val="24"/>
                <w:szCs w:val="24"/>
              </w:rPr>
            </w:r>
            <w:r>
              <w:rPr>
                <w:sz w:val="24"/>
                <w:szCs w:val="24"/>
              </w:rPr>
            </w:r>
          </w:p>
          <w:p>
            <w:pPr>
              <w:ind w:firstLine="680"/>
              <w:jc w:val="both"/>
              <w:rPr>
                <w:sz w:val="24"/>
                <w:szCs w:val="24"/>
              </w:rPr>
            </w:pPr>
            <w:r>
              <w:rPr>
                <w:sz w:val="24"/>
                <w:szCs w:val="24"/>
              </w:rPr>
              <w:t xml:space="preserve"> </w:t>
            </w:r>
            <w:r>
              <w:rPr>
                <w:sz w:val="24"/>
                <w:szCs w:val="24"/>
              </w:rPr>
            </w:r>
            <w:r>
              <w:rPr>
                <w:sz w:val="24"/>
                <w:szCs w:val="24"/>
              </w:rPr>
            </w:r>
          </w:p>
          <w:p>
            <w:pPr>
              <w:pStyle w:val="943"/>
              <w:numPr>
                <w:ilvl w:val="1"/>
                <w:numId w:val="19"/>
              </w:numPr>
              <w:contextualSpacing w:val="0"/>
              <w:ind w:left="0" w:firstLine="680"/>
              <w:jc w:val="both"/>
              <w:widowControl w:val="off"/>
              <w:rPr>
                <w:sz w:val="24"/>
                <w:szCs w:val="24"/>
                <w:lang w:val="ru-RU"/>
              </w:rPr>
            </w:pPr>
            <w:r>
              <w:rPr>
                <w:sz w:val="24"/>
                <w:szCs w:val="24"/>
                <w:lang w:val="ru-RU"/>
              </w:rPr>
              <w:t xml:space="preserve">Арендная плата начисляется со дня подписания Сторонами ак</w:t>
            </w:r>
            <w:r>
              <w:rPr>
                <w:sz w:val="24"/>
                <w:szCs w:val="24"/>
                <w:lang w:val="ru-RU"/>
              </w:rPr>
              <w:t xml:space="preserve">та приема-передачи Участка. Обязательства по Договору возникают со дня подписания акта приема-передачи Участка. Обязательство по внесению арендной платы считается исполненным Арендатором со дня поступления денежных средств на счет, указанный Арендодателем.</w:t>
            </w:r>
            <w:r>
              <w:rPr>
                <w:sz w:val="24"/>
                <w:szCs w:val="24"/>
                <w:lang w:val="ru-RU"/>
              </w:rPr>
            </w:r>
            <w:r>
              <w:rPr>
                <w:sz w:val="24"/>
                <w:szCs w:val="24"/>
                <w:lang w:val="ru-RU"/>
              </w:rPr>
            </w:r>
          </w:p>
          <w:p>
            <w:pPr>
              <w:pStyle w:val="943"/>
              <w:numPr>
                <w:ilvl w:val="1"/>
                <w:numId w:val="19"/>
              </w:numPr>
              <w:contextualSpacing w:val="0"/>
              <w:ind w:left="0" w:firstLine="680"/>
              <w:jc w:val="both"/>
              <w:widowControl w:val="off"/>
              <w:rPr>
                <w:sz w:val="24"/>
                <w:szCs w:val="24"/>
                <w:lang w:val="ru-RU"/>
              </w:rPr>
            </w:pPr>
            <w:r>
              <w:rPr>
                <w:sz w:val="24"/>
                <w:szCs w:val="24"/>
                <w:lang w:val="ru-RU"/>
              </w:rPr>
              <w:t xml:space="preserve">Неиспользование земельного участка Арендатором не может служить основанием для невнесения арендной платы за землю.</w:t>
            </w:r>
            <w:r>
              <w:rPr>
                <w:sz w:val="24"/>
                <w:szCs w:val="24"/>
                <w:lang w:val="ru-RU"/>
              </w:rPr>
            </w:r>
            <w:r>
              <w:rPr>
                <w:sz w:val="24"/>
                <w:szCs w:val="24"/>
                <w:lang w:val="ru-RU"/>
              </w:rPr>
            </w:r>
          </w:p>
          <w:p>
            <w:pPr>
              <w:ind w:firstLine="680"/>
              <w:jc w:val="both"/>
              <w:rPr>
                <w:sz w:val="24"/>
                <w:szCs w:val="24"/>
              </w:rPr>
            </w:pPr>
            <w:r>
              <w:rPr>
                <w:sz w:val="24"/>
                <w:szCs w:val="24"/>
              </w:rPr>
            </w:r>
            <w:r>
              <w:rPr>
                <w:sz w:val="24"/>
                <w:szCs w:val="24"/>
              </w:rPr>
            </w:r>
            <w:r>
              <w:rPr>
                <w:sz w:val="24"/>
                <w:szCs w:val="24"/>
              </w:rPr>
            </w:r>
          </w:p>
          <w:p>
            <w:pPr>
              <w:pStyle w:val="943"/>
              <w:numPr>
                <w:ilvl w:val="0"/>
                <w:numId w:val="19"/>
              </w:numPr>
              <w:contextualSpacing w:val="0"/>
              <w:ind w:left="0" w:firstLine="680"/>
              <w:jc w:val="center"/>
              <w:widowControl w:val="off"/>
              <w:rPr>
                <w:b/>
                <w:sz w:val="24"/>
                <w:szCs w:val="24"/>
              </w:rPr>
            </w:pPr>
            <w:r>
              <w:rPr>
                <w:b/>
                <w:sz w:val="24"/>
                <w:szCs w:val="24"/>
              </w:rPr>
              <w:t xml:space="preserve">Права и обязанности Сторон</w:t>
            </w:r>
            <w:r>
              <w:rPr>
                <w:b/>
                <w:sz w:val="24"/>
                <w:szCs w:val="24"/>
              </w:rPr>
            </w:r>
            <w:r>
              <w:rPr>
                <w:b/>
                <w:sz w:val="24"/>
                <w:szCs w:val="24"/>
              </w:rPr>
            </w:r>
          </w:p>
          <w:p>
            <w:pPr>
              <w:ind w:firstLine="680"/>
              <w:jc w:val="both"/>
              <w:rPr>
                <w:sz w:val="24"/>
                <w:szCs w:val="24"/>
              </w:rPr>
            </w:pPr>
            <w:r>
              <w:rPr>
                <w:sz w:val="24"/>
                <w:szCs w:val="24"/>
              </w:rPr>
            </w:r>
            <w:r>
              <w:rPr>
                <w:sz w:val="24"/>
                <w:szCs w:val="24"/>
              </w:rPr>
            </w:r>
            <w:r>
              <w:rPr>
                <w:sz w:val="24"/>
                <w:szCs w:val="24"/>
              </w:rPr>
            </w:r>
          </w:p>
          <w:p>
            <w:pPr>
              <w:pStyle w:val="943"/>
              <w:numPr>
                <w:ilvl w:val="1"/>
                <w:numId w:val="19"/>
              </w:numPr>
              <w:contextualSpacing w:val="0"/>
              <w:ind w:left="0" w:firstLine="680"/>
              <w:jc w:val="both"/>
              <w:widowControl w:val="off"/>
              <w:rPr>
                <w:sz w:val="24"/>
                <w:szCs w:val="24"/>
              </w:rPr>
            </w:pPr>
            <w:r>
              <w:rPr>
                <w:sz w:val="24"/>
                <w:szCs w:val="24"/>
              </w:rPr>
              <w:t xml:space="preserve">Арендодатель имеет право:</w:t>
            </w:r>
            <w:r>
              <w:rPr>
                <w:sz w:val="24"/>
                <w:szCs w:val="24"/>
              </w:rPr>
            </w:r>
            <w:r>
              <w:rPr>
                <w:sz w:val="24"/>
                <w:szCs w:val="24"/>
              </w:rPr>
            </w:r>
          </w:p>
          <w:p>
            <w:pPr>
              <w:pStyle w:val="943"/>
              <w:numPr>
                <w:ilvl w:val="2"/>
                <w:numId w:val="19"/>
              </w:numPr>
              <w:contextualSpacing w:val="0"/>
              <w:ind w:left="0" w:firstLine="680"/>
              <w:jc w:val="both"/>
              <w:widowControl w:val="off"/>
              <w:rPr>
                <w:sz w:val="24"/>
                <w:szCs w:val="24"/>
                <w:lang w:val="ru-RU"/>
              </w:rPr>
            </w:pPr>
            <w:r>
              <w:rPr>
                <w:sz w:val="24"/>
                <w:szCs w:val="24"/>
                <w:lang w:val="ru-RU"/>
              </w:rPr>
              <w:t xml:space="preserve">На беспрепятственный доступ на территорию арендуемого земельного участка с целью его осмотра на предмет соблюдения условий Договора.</w:t>
            </w:r>
            <w:r>
              <w:rPr>
                <w:sz w:val="24"/>
                <w:szCs w:val="24"/>
                <w:lang w:val="ru-RU"/>
              </w:rPr>
            </w:r>
            <w:r>
              <w:rPr>
                <w:sz w:val="24"/>
                <w:szCs w:val="24"/>
                <w:lang w:val="ru-RU"/>
              </w:rPr>
            </w:r>
          </w:p>
          <w:p>
            <w:pPr>
              <w:pStyle w:val="943"/>
              <w:numPr>
                <w:ilvl w:val="2"/>
                <w:numId w:val="19"/>
              </w:numPr>
              <w:contextualSpacing w:val="0"/>
              <w:ind w:left="0" w:firstLine="680"/>
              <w:jc w:val="both"/>
              <w:widowControl w:val="off"/>
              <w:rPr>
                <w:sz w:val="24"/>
                <w:szCs w:val="24"/>
                <w:lang w:val="ru-RU"/>
              </w:rPr>
            </w:pPr>
            <w:r>
              <w:rPr>
                <w:sz w:val="24"/>
                <w:szCs w:val="24"/>
                <w:lang w:val="ru-RU"/>
              </w:rPr>
              <w:t xml:space="preserve">Приостанавливать работы, ведущиеся Арендатором с нарушением условий Договора, действующего законодательства.</w:t>
            </w:r>
            <w:r>
              <w:rPr>
                <w:sz w:val="24"/>
                <w:szCs w:val="24"/>
                <w:lang w:val="ru-RU"/>
              </w:rPr>
            </w:r>
            <w:r>
              <w:rPr>
                <w:sz w:val="24"/>
                <w:szCs w:val="24"/>
                <w:lang w:val="ru-RU"/>
              </w:rPr>
            </w:r>
          </w:p>
          <w:p>
            <w:pPr>
              <w:pStyle w:val="943"/>
              <w:numPr>
                <w:ilvl w:val="2"/>
                <w:numId w:val="19"/>
              </w:numPr>
              <w:contextualSpacing w:val="0"/>
              <w:ind w:left="0" w:firstLine="680"/>
              <w:jc w:val="both"/>
              <w:widowControl w:val="off"/>
              <w:rPr>
                <w:sz w:val="24"/>
                <w:szCs w:val="24"/>
                <w:lang w:val="ru-RU"/>
              </w:rPr>
            </w:pPr>
            <w:r>
              <w:rPr>
                <w:sz w:val="24"/>
                <w:szCs w:val="24"/>
                <w:lang w:val="ru-RU"/>
              </w:rPr>
              <w:t xml:space="preserve">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r>
              <w:rPr>
                <w:sz w:val="24"/>
                <w:szCs w:val="24"/>
                <w:lang w:val="ru-RU"/>
              </w:rPr>
            </w:r>
            <w:r>
              <w:rPr>
                <w:sz w:val="24"/>
                <w:szCs w:val="24"/>
                <w:lang w:val="ru-RU"/>
              </w:rPr>
            </w:r>
          </w:p>
          <w:p>
            <w:pPr>
              <w:pStyle w:val="943"/>
              <w:numPr>
                <w:ilvl w:val="2"/>
                <w:numId w:val="19"/>
              </w:numPr>
              <w:contextualSpacing w:val="0"/>
              <w:ind w:left="0" w:firstLine="680"/>
              <w:jc w:val="both"/>
              <w:widowControl w:val="off"/>
              <w:rPr>
                <w:sz w:val="24"/>
                <w:szCs w:val="24"/>
                <w:lang w:val="ru-RU"/>
              </w:rPr>
            </w:pPr>
            <w:r>
              <w:rPr>
                <w:sz w:val="24"/>
                <w:szCs w:val="24"/>
                <w:lang w:val="ru-RU"/>
              </w:rPr>
              <w:t xml:space="preserve">Досрочно расторгнуть Договор при использовании земельного участка не по целевому назначению, а также при использовании способами, приводящим</w:t>
            </w:r>
            <w:r>
              <w:rPr>
                <w:sz w:val="24"/>
                <w:szCs w:val="24"/>
                <w:lang w:val="ru-RU"/>
              </w:rPr>
              <w:t xml:space="preserve">и к его порче, в случае невнесения арендной платы в полном размере, не подписания Арендатором дополнительных соглашений к Договору в соответствии с п. 3.4 Договора и нарушения других условий Договора, а также в случае расторжения концессионного соглашения.</w:t>
            </w:r>
            <w:r>
              <w:rPr>
                <w:sz w:val="24"/>
                <w:szCs w:val="24"/>
                <w:lang w:val="ru-RU"/>
              </w:rPr>
            </w:r>
            <w:r>
              <w:rPr>
                <w:sz w:val="24"/>
                <w:szCs w:val="24"/>
                <w:lang w:val="ru-RU"/>
              </w:rPr>
            </w:r>
          </w:p>
          <w:p>
            <w:pPr>
              <w:pStyle w:val="943"/>
              <w:numPr>
                <w:ilvl w:val="1"/>
                <w:numId w:val="19"/>
              </w:numPr>
              <w:contextualSpacing w:val="0"/>
              <w:ind w:left="0" w:firstLine="680"/>
              <w:jc w:val="both"/>
              <w:widowControl w:val="off"/>
              <w:rPr>
                <w:sz w:val="24"/>
                <w:szCs w:val="24"/>
              </w:rPr>
            </w:pPr>
            <w:r>
              <w:rPr>
                <w:sz w:val="24"/>
                <w:szCs w:val="24"/>
              </w:rPr>
              <w:t xml:space="preserve">Арендодатель обязан:</w:t>
            </w:r>
            <w:r>
              <w:rPr>
                <w:sz w:val="24"/>
                <w:szCs w:val="24"/>
              </w:rPr>
            </w:r>
            <w:r>
              <w:rPr>
                <w:sz w:val="24"/>
                <w:szCs w:val="24"/>
              </w:rPr>
            </w:r>
          </w:p>
          <w:p>
            <w:pPr>
              <w:pStyle w:val="943"/>
              <w:numPr>
                <w:ilvl w:val="2"/>
                <w:numId w:val="19"/>
              </w:numPr>
              <w:contextualSpacing w:val="0"/>
              <w:ind w:left="0" w:firstLine="680"/>
              <w:jc w:val="both"/>
              <w:widowControl w:val="off"/>
              <w:rPr>
                <w:sz w:val="24"/>
                <w:szCs w:val="24"/>
                <w:lang w:val="ru-RU"/>
              </w:rPr>
            </w:pPr>
            <w:r>
              <w:rPr>
                <w:sz w:val="24"/>
                <w:szCs w:val="24"/>
                <w:lang w:val="ru-RU"/>
              </w:rPr>
              <w:t xml:space="preserve">Выполнять в полном объеме все условия Договора.</w:t>
            </w:r>
            <w:r>
              <w:rPr>
                <w:sz w:val="24"/>
                <w:szCs w:val="24"/>
                <w:lang w:val="ru-RU"/>
              </w:rPr>
            </w:r>
            <w:r>
              <w:rPr>
                <w:sz w:val="24"/>
                <w:szCs w:val="24"/>
                <w:lang w:val="ru-RU"/>
              </w:rPr>
            </w:r>
          </w:p>
          <w:p>
            <w:pPr>
              <w:pStyle w:val="943"/>
              <w:numPr>
                <w:ilvl w:val="2"/>
                <w:numId w:val="19"/>
              </w:numPr>
              <w:contextualSpacing w:val="0"/>
              <w:ind w:left="0" w:firstLine="680"/>
              <w:jc w:val="both"/>
              <w:widowControl w:val="off"/>
              <w:rPr>
                <w:sz w:val="24"/>
                <w:szCs w:val="24"/>
                <w:lang w:val="ru-RU"/>
              </w:rPr>
            </w:pPr>
            <w:r>
              <w:rPr>
                <w:sz w:val="24"/>
                <w:szCs w:val="24"/>
                <w:lang w:val="ru-RU"/>
              </w:rPr>
              <w:t xml:space="preserve">Передать Арендатору Участок по акту приема-передачи.</w:t>
            </w:r>
            <w:r>
              <w:rPr>
                <w:sz w:val="24"/>
                <w:szCs w:val="24"/>
                <w:lang w:val="ru-RU"/>
              </w:rPr>
            </w:r>
            <w:r>
              <w:rPr>
                <w:sz w:val="24"/>
                <w:szCs w:val="24"/>
                <w:lang w:val="ru-RU"/>
              </w:rPr>
            </w:r>
          </w:p>
          <w:p>
            <w:pPr>
              <w:pStyle w:val="943"/>
              <w:numPr>
                <w:ilvl w:val="2"/>
                <w:numId w:val="19"/>
              </w:numPr>
              <w:contextualSpacing w:val="0"/>
              <w:ind w:left="0" w:firstLine="680"/>
              <w:jc w:val="both"/>
              <w:widowControl w:val="off"/>
              <w:rPr>
                <w:sz w:val="24"/>
                <w:szCs w:val="24"/>
                <w:lang w:val="ru-RU"/>
              </w:rPr>
            </w:pPr>
            <w:r>
              <w:rPr>
                <w:sz w:val="24"/>
                <w:szCs w:val="24"/>
                <w:lang w:val="ru-RU"/>
              </w:rPr>
              <w:t xml:space="preserve">Письменно в десятидневный срок уведомить Арендатора об изменении реквизитов для перечисления арендной платы, указанных в п. 3.2 Договора.</w:t>
            </w:r>
            <w:r>
              <w:rPr>
                <w:sz w:val="24"/>
                <w:szCs w:val="24"/>
                <w:lang w:val="ru-RU"/>
              </w:rPr>
            </w:r>
            <w:r>
              <w:rPr>
                <w:sz w:val="24"/>
                <w:szCs w:val="24"/>
                <w:lang w:val="ru-RU"/>
              </w:rPr>
            </w:r>
          </w:p>
          <w:p>
            <w:pPr>
              <w:pStyle w:val="943"/>
              <w:numPr>
                <w:ilvl w:val="2"/>
                <w:numId w:val="19"/>
              </w:numPr>
              <w:contextualSpacing w:val="0"/>
              <w:ind w:left="0" w:firstLine="680"/>
              <w:jc w:val="both"/>
              <w:widowControl w:val="off"/>
              <w:rPr>
                <w:sz w:val="24"/>
                <w:szCs w:val="24"/>
                <w:lang w:val="ru-RU"/>
              </w:rPr>
            </w:pPr>
            <w:r>
              <w:rPr>
                <w:sz w:val="24"/>
                <w:szCs w:val="24"/>
                <w:lang w:val="ru-RU"/>
              </w:rPr>
              <w:t xml:space="preserve">Своевременно производить перерасчет арендной платы и своевременно информировать об этом Арендатора.</w:t>
            </w:r>
            <w:r>
              <w:rPr>
                <w:sz w:val="24"/>
                <w:szCs w:val="24"/>
                <w:lang w:val="ru-RU"/>
              </w:rPr>
            </w:r>
            <w:r>
              <w:rPr>
                <w:sz w:val="24"/>
                <w:szCs w:val="24"/>
                <w:lang w:val="ru-RU"/>
              </w:rPr>
            </w:r>
          </w:p>
          <w:p>
            <w:pPr>
              <w:pStyle w:val="943"/>
              <w:numPr>
                <w:ilvl w:val="1"/>
                <w:numId w:val="19"/>
              </w:numPr>
              <w:contextualSpacing w:val="0"/>
              <w:ind w:left="0" w:firstLine="680"/>
              <w:jc w:val="both"/>
              <w:widowControl w:val="off"/>
              <w:rPr>
                <w:sz w:val="24"/>
                <w:szCs w:val="24"/>
              </w:rPr>
            </w:pPr>
            <w:r>
              <w:rPr>
                <w:sz w:val="24"/>
                <w:szCs w:val="24"/>
              </w:rPr>
              <w:t xml:space="preserve">Арендатор имеет право:</w:t>
            </w:r>
            <w:r>
              <w:rPr>
                <w:sz w:val="24"/>
                <w:szCs w:val="24"/>
              </w:rPr>
            </w:r>
            <w:r>
              <w:rPr>
                <w:sz w:val="24"/>
                <w:szCs w:val="24"/>
              </w:rPr>
            </w:r>
          </w:p>
          <w:p>
            <w:pPr>
              <w:pStyle w:val="943"/>
              <w:numPr>
                <w:ilvl w:val="2"/>
                <w:numId w:val="19"/>
              </w:numPr>
              <w:contextualSpacing w:val="0"/>
              <w:ind w:left="0" w:firstLine="680"/>
              <w:jc w:val="both"/>
              <w:widowControl w:val="off"/>
              <w:rPr>
                <w:sz w:val="24"/>
                <w:szCs w:val="24"/>
                <w:lang w:val="ru-RU"/>
              </w:rPr>
            </w:pPr>
            <w:r>
              <w:rPr>
                <w:sz w:val="24"/>
                <w:szCs w:val="24"/>
                <w:lang w:val="ru-RU"/>
              </w:rPr>
              <w:t xml:space="preserve">Использовать Участок на условиях, установленных Договором.</w:t>
            </w:r>
            <w:r>
              <w:rPr>
                <w:sz w:val="24"/>
                <w:szCs w:val="24"/>
                <w:lang w:val="ru-RU"/>
              </w:rPr>
            </w:r>
            <w:r>
              <w:rPr>
                <w:sz w:val="24"/>
                <w:szCs w:val="24"/>
                <w:lang w:val="ru-RU"/>
              </w:rPr>
            </w:r>
          </w:p>
          <w:p>
            <w:pPr>
              <w:pStyle w:val="943"/>
              <w:numPr>
                <w:ilvl w:val="1"/>
                <w:numId w:val="19"/>
              </w:numPr>
              <w:contextualSpacing w:val="0"/>
              <w:ind w:left="0" w:firstLine="680"/>
              <w:jc w:val="both"/>
              <w:widowControl w:val="off"/>
              <w:rPr>
                <w:sz w:val="24"/>
                <w:szCs w:val="24"/>
              </w:rPr>
            </w:pPr>
            <w:r>
              <w:rPr>
                <w:sz w:val="24"/>
                <w:szCs w:val="24"/>
              </w:rPr>
              <w:t xml:space="preserve">Арендатор обязан:</w:t>
            </w:r>
            <w:r>
              <w:rPr>
                <w:sz w:val="24"/>
                <w:szCs w:val="24"/>
              </w:rPr>
            </w:r>
            <w:r>
              <w:rPr>
                <w:sz w:val="24"/>
                <w:szCs w:val="24"/>
              </w:rPr>
            </w:r>
          </w:p>
          <w:p>
            <w:pPr>
              <w:pStyle w:val="943"/>
              <w:numPr>
                <w:ilvl w:val="2"/>
                <w:numId w:val="19"/>
              </w:numPr>
              <w:contextualSpacing w:val="0"/>
              <w:ind w:left="0" w:firstLine="680"/>
              <w:jc w:val="both"/>
              <w:widowControl w:val="off"/>
              <w:rPr>
                <w:sz w:val="24"/>
                <w:szCs w:val="24"/>
                <w:lang w:val="ru-RU"/>
              </w:rPr>
            </w:pPr>
            <w:r>
              <w:rPr>
                <w:sz w:val="24"/>
                <w:szCs w:val="24"/>
                <w:lang w:val="ru-RU"/>
              </w:rPr>
              <w:t xml:space="preserve">Выполнять в полном объеме все условия Договора.</w:t>
            </w:r>
            <w:r>
              <w:rPr>
                <w:sz w:val="24"/>
                <w:szCs w:val="24"/>
                <w:lang w:val="ru-RU"/>
              </w:rPr>
            </w:r>
            <w:r>
              <w:rPr>
                <w:sz w:val="24"/>
                <w:szCs w:val="24"/>
                <w:lang w:val="ru-RU"/>
              </w:rPr>
            </w:r>
          </w:p>
          <w:p>
            <w:pPr>
              <w:pStyle w:val="943"/>
              <w:numPr>
                <w:ilvl w:val="2"/>
                <w:numId w:val="19"/>
              </w:numPr>
              <w:contextualSpacing w:val="0"/>
              <w:ind w:left="0" w:firstLine="680"/>
              <w:jc w:val="both"/>
              <w:widowControl w:val="off"/>
              <w:rPr>
                <w:sz w:val="24"/>
                <w:szCs w:val="24"/>
                <w:lang w:val="ru-RU"/>
              </w:rPr>
            </w:pPr>
            <w:r>
              <w:rPr>
                <w:sz w:val="24"/>
                <w:szCs w:val="24"/>
                <w:lang w:val="ru-RU"/>
              </w:rPr>
              <w:t xml:space="preserve">Использовать Участок в соответствии с целевым назначением и разрешенным использованием.</w:t>
            </w:r>
            <w:r>
              <w:rPr>
                <w:sz w:val="24"/>
                <w:szCs w:val="24"/>
                <w:lang w:val="ru-RU"/>
              </w:rPr>
            </w:r>
            <w:r>
              <w:rPr>
                <w:sz w:val="24"/>
                <w:szCs w:val="24"/>
                <w:lang w:val="ru-RU"/>
              </w:rPr>
            </w:r>
          </w:p>
          <w:p>
            <w:pPr>
              <w:pStyle w:val="943"/>
              <w:numPr>
                <w:ilvl w:val="2"/>
                <w:numId w:val="19"/>
              </w:numPr>
              <w:contextualSpacing w:val="0"/>
              <w:ind w:left="0" w:firstLine="680"/>
              <w:jc w:val="both"/>
              <w:widowControl w:val="off"/>
              <w:rPr>
                <w:sz w:val="24"/>
                <w:szCs w:val="24"/>
                <w:lang w:val="ru-RU"/>
              </w:rPr>
            </w:pPr>
            <w:r>
              <w:rPr>
                <w:sz w:val="24"/>
                <w:szCs w:val="24"/>
                <w:lang w:val="ru-RU"/>
              </w:rPr>
              <w:t xml:space="preserve">Уплачивать в размере и на условиях, установленных Договором, арендную плату.</w:t>
            </w:r>
            <w:r>
              <w:rPr>
                <w:sz w:val="24"/>
                <w:szCs w:val="24"/>
                <w:lang w:val="ru-RU"/>
              </w:rPr>
            </w:r>
            <w:r>
              <w:rPr>
                <w:sz w:val="24"/>
                <w:szCs w:val="24"/>
                <w:lang w:val="ru-RU"/>
              </w:rPr>
            </w:r>
          </w:p>
          <w:p>
            <w:pPr>
              <w:pStyle w:val="943"/>
              <w:numPr>
                <w:ilvl w:val="2"/>
                <w:numId w:val="19"/>
              </w:numPr>
              <w:contextualSpacing w:val="0"/>
              <w:ind w:left="0" w:firstLine="680"/>
              <w:jc w:val="both"/>
              <w:widowControl w:val="off"/>
              <w:rPr>
                <w:sz w:val="24"/>
                <w:szCs w:val="24"/>
                <w:lang w:val="ru-RU"/>
              </w:rPr>
            </w:pPr>
            <w:r>
              <w:rPr>
                <w:sz w:val="24"/>
                <w:szCs w:val="24"/>
                <w:lang w:val="ru-RU"/>
              </w:rPr>
              <w:t xml:space="preserve">Обеспечить Арендодателю (его законным представителям), представителям органов государственного и муниципального земельного контроля доступ на Участок по их требованию.</w:t>
            </w:r>
            <w:r>
              <w:rPr>
                <w:sz w:val="24"/>
                <w:szCs w:val="24"/>
                <w:lang w:val="ru-RU"/>
              </w:rPr>
            </w:r>
            <w:r>
              <w:rPr>
                <w:sz w:val="24"/>
                <w:szCs w:val="24"/>
                <w:lang w:val="ru-RU"/>
              </w:rPr>
            </w:r>
          </w:p>
          <w:p>
            <w:pPr>
              <w:pStyle w:val="943"/>
              <w:numPr>
                <w:ilvl w:val="2"/>
                <w:numId w:val="19"/>
              </w:numPr>
              <w:contextualSpacing w:val="0"/>
              <w:ind w:left="0" w:firstLine="680"/>
              <w:jc w:val="both"/>
              <w:widowControl w:val="off"/>
              <w:rPr>
                <w:sz w:val="24"/>
                <w:szCs w:val="24"/>
                <w:lang w:val="ru-RU"/>
              </w:rPr>
            </w:pPr>
            <w:r>
              <w:rPr>
                <w:sz w:val="24"/>
                <w:szCs w:val="24"/>
                <w:lang w:val="ru-RU"/>
              </w:rPr>
              <w:t xml:space="preserve">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r>
              <w:rPr>
                <w:sz w:val="24"/>
                <w:szCs w:val="24"/>
                <w:lang w:val="ru-RU"/>
              </w:rPr>
            </w:r>
            <w:r>
              <w:rPr>
                <w:sz w:val="24"/>
                <w:szCs w:val="24"/>
                <w:lang w:val="ru-RU"/>
              </w:rPr>
            </w:r>
          </w:p>
          <w:p>
            <w:pPr>
              <w:pStyle w:val="943"/>
              <w:numPr>
                <w:ilvl w:val="2"/>
                <w:numId w:val="19"/>
              </w:numPr>
              <w:contextualSpacing w:val="0"/>
              <w:ind w:left="0" w:firstLine="680"/>
              <w:jc w:val="both"/>
              <w:widowControl w:val="off"/>
              <w:rPr>
                <w:sz w:val="24"/>
                <w:szCs w:val="24"/>
                <w:lang w:val="ru-RU"/>
              </w:rPr>
            </w:pPr>
            <w:r>
              <w:rPr>
                <w:sz w:val="24"/>
                <w:szCs w:val="24"/>
                <w:lang w:val="ru-RU"/>
              </w:rPr>
              <w:t xml:space="preserve">Незамедлительно извещать Арендодателя и соответствующие государственные органы о всякой аварии или ином событии, нанесшим (или грозящим нанести) </w:t>
            </w:r>
            <w:r>
              <w:rPr>
                <w:sz w:val="24"/>
                <w:szCs w:val="24"/>
                <w:lang w:val="ru-RU"/>
              </w:rPr>
              <w:t xml:space="preserve">Участку и находящимся на нем объектам, перечисленным в п. 1.2 Договора, а также близлежащим участкам ущерб. Своевременно принимать все возможные меры по предотвращению угрозы и дальнейшего разрушения или повреждения Участка и расположенных на нем объектов.</w:t>
            </w:r>
            <w:r>
              <w:rPr>
                <w:sz w:val="24"/>
                <w:szCs w:val="24"/>
                <w:lang w:val="ru-RU"/>
              </w:rPr>
            </w:r>
            <w:r>
              <w:rPr>
                <w:sz w:val="24"/>
                <w:szCs w:val="24"/>
                <w:lang w:val="ru-RU"/>
              </w:rPr>
            </w:r>
          </w:p>
          <w:p>
            <w:pPr>
              <w:pStyle w:val="943"/>
              <w:numPr>
                <w:ilvl w:val="2"/>
                <w:numId w:val="19"/>
              </w:numPr>
              <w:contextualSpacing w:val="0"/>
              <w:ind w:left="0" w:firstLine="680"/>
              <w:jc w:val="both"/>
              <w:widowControl w:val="off"/>
              <w:rPr>
                <w:sz w:val="24"/>
                <w:szCs w:val="24"/>
                <w:lang w:val="ru-RU"/>
              </w:rPr>
            </w:pPr>
            <w:r>
              <w:rPr>
                <w:sz w:val="24"/>
                <w:szCs w:val="24"/>
                <w:lang w:val="ru-RU"/>
              </w:rPr>
              <w:t xml:space="preserve">Письменно в десятидневный срок уведомить Арендодателя об изменении своих реквизитов. В случае неисполнения этого условия направленные Арендодателем Арендатору документы или уведомления являются надлежащим извещением Арендатора о соответствующих изменениях.</w:t>
            </w:r>
            <w:r>
              <w:rPr>
                <w:sz w:val="24"/>
                <w:szCs w:val="24"/>
                <w:lang w:val="ru-RU"/>
              </w:rPr>
            </w:r>
            <w:r>
              <w:rPr>
                <w:sz w:val="24"/>
                <w:szCs w:val="24"/>
                <w:lang w:val="ru-RU"/>
              </w:rPr>
            </w:r>
          </w:p>
          <w:p>
            <w:pPr>
              <w:pStyle w:val="943"/>
              <w:numPr>
                <w:ilvl w:val="1"/>
                <w:numId w:val="19"/>
              </w:numPr>
              <w:contextualSpacing w:val="0"/>
              <w:ind w:left="0" w:firstLine="680"/>
              <w:jc w:val="both"/>
              <w:widowControl w:val="off"/>
              <w:rPr>
                <w:sz w:val="24"/>
                <w:szCs w:val="24"/>
                <w:lang w:val="ru-RU"/>
              </w:rPr>
            </w:pPr>
            <w:r>
              <w:rPr>
                <w:sz w:val="24"/>
                <w:szCs w:val="24"/>
                <w:lang w:val="ru-RU"/>
              </w:rPr>
              <w:t xml:space="preserve">Арендодатель и Арендатор имеют иные права и несут иные обязанности, установленные законодательством Российской Федерации.</w:t>
            </w:r>
            <w:r>
              <w:rPr>
                <w:sz w:val="24"/>
                <w:szCs w:val="24"/>
                <w:lang w:val="ru-RU"/>
              </w:rPr>
            </w:r>
            <w:r>
              <w:rPr>
                <w:sz w:val="24"/>
                <w:szCs w:val="24"/>
                <w:lang w:val="ru-RU"/>
              </w:rPr>
            </w:r>
          </w:p>
          <w:p>
            <w:pPr>
              <w:ind w:firstLine="680"/>
              <w:jc w:val="both"/>
              <w:rPr>
                <w:sz w:val="24"/>
                <w:szCs w:val="24"/>
              </w:rPr>
            </w:pPr>
            <w:r>
              <w:rPr>
                <w:sz w:val="24"/>
                <w:szCs w:val="24"/>
              </w:rPr>
            </w:r>
            <w:r>
              <w:rPr>
                <w:sz w:val="24"/>
                <w:szCs w:val="24"/>
              </w:rPr>
            </w:r>
            <w:r>
              <w:rPr>
                <w:sz w:val="24"/>
                <w:szCs w:val="24"/>
              </w:rPr>
            </w:r>
          </w:p>
          <w:p>
            <w:pPr>
              <w:pStyle w:val="943"/>
              <w:numPr>
                <w:ilvl w:val="0"/>
                <w:numId w:val="19"/>
              </w:numPr>
              <w:contextualSpacing w:val="0"/>
              <w:ind w:left="0" w:firstLine="680"/>
              <w:jc w:val="center"/>
              <w:widowControl w:val="off"/>
              <w:rPr>
                <w:b/>
                <w:sz w:val="24"/>
                <w:szCs w:val="24"/>
              </w:rPr>
            </w:pPr>
            <w:r>
              <w:rPr>
                <w:b/>
                <w:sz w:val="24"/>
                <w:szCs w:val="24"/>
              </w:rPr>
              <w:t xml:space="preserve">Ответственность Сторон</w:t>
            </w:r>
            <w:r>
              <w:rPr>
                <w:b/>
                <w:sz w:val="24"/>
                <w:szCs w:val="24"/>
              </w:rPr>
            </w:r>
            <w:r>
              <w:rPr>
                <w:b/>
                <w:sz w:val="24"/>
                <w:szCs w:val="24"/>
              </w:rPr>
            </w:r>
          </w:p>
          <w:p>
            <w:pPr>
              <w:ind w:firstLine="680"/>
              <w:jc w:val="both"/>
              <w:rPr>
                <w:sz w:val="24"/>
                <w:szCs w:val="24"/>
              </w:rPr>
            </w:pPr>
            <w:r>
              <w:rPr>
                <w:sz w:val="24"/>
                <w:szCs w:val="24"/>
              </w:rPr>
            </w:r>
            <w:r>
              <w:rPr>
                <w:sz w:val="24"/>
                <w:szCs w:val="24"/>
              </w:rPr>
            </w:r>
            <w:r>
              <w:rPr>
                <w:sz w:val="24"/>
                <w:szCs w:val="24"/>
              </w:rPr>
            </w:r>
          </w:p>
          <w:p>
            <w:pPr>
              <w:pStyle w:val="943"/>
              <w:numPr>
                <w:ilvl w:val="1"/>
                <w:numId w:val="19"/>
              </w:numPr>
              <w:contextualSpacing w:val="0"/>
              <w:ind w:left="0" w:firstLine="680"/>
              <w:jc w:val="both"/>
              <w:widowControl w:val="off"/>
              <w:rPr>
                <w:sz w:val="24"/>
                <w:szCs w:val="24"/>
                <w:lang w:val="ru-RU"/>
              </w:rPr>
            </w:pPr>
            <w:r>
              <w:rPr>
                <w:sz w:val="24"/>
                <w:szCs w:val="24"/>
                <w:lang w:val="ru-RU"/>
              </w:rPr>
              <w:t xml:space="preserve">За нарушение условий Договора Стороны несут ответственность, предусмотренную законодательством Российской Федерации.</w:t>
            </w:r>
            <w:r>
              <w:rPr>
                <w:sz w:val="24"/>
                <w:szCs w:val="24"/>
                <w:lang w:val="ru-RU"/>
              </w:rPr>
            </w:r>
            <w:r>
              <w:rPr>
                <w:sz w:val="24"/>
                <w:szCs w:val="24"/>
                <w:lang w:val="ru-RU"/>
              </w:rPr>
            </w:r>
          </w:p>
          <w:p>
            <w:pPr>
              <w:pStyle w:val="943"/>
              <w:numPr>
                <w:ilvl w:val="1"/>
                <w:numId w:val="19"/>
              </w:numPr>
              <w:contextualSpacing w:val="0"/>
              <w:ind w:left="0" w:firstLine="680"/>
              <w:jc w:val="both"/>
              <w:widowControl w:val="off"/>
              <w:rPr>
                <w:sz w:val="24"/>
                <w:szCs w:val="24"/>
                <w:lang w:val="ru-RU"/>
              </w:rPr>
            </w:pPr>
            <w:r>
              <w:rPr>
                <w:sz w:val="24"/>
                <w:szCs w:val="24"/>
                <w:lang w:val="ru-RU"/>
              </w:rPr>
              <w:t xml:space="preserve">Уплата неустойки (штрафа, пени) не освобождает Стороны от выполнения лежащих на них обязательств по Договору.</w:t>
            </w:r>
            <w:r>
              <w:rPr>
                <w:sz w:val="24"/>
                <w:szCs w:val="24"/>
                <w:lang w:val="ru-RU"/>
              </w:rPr>
            </w:r>
            <w:r>
              <w:rPr>
                <w:sz w:val="24"/>
                <w:szCs w:val="24"/>
                <w:lang w:val="ru-RU"/>
              </w:rPr>
            </w:r>
          </w:p>
          <w:p>
            <w:pPr>
              <w:pStyle w:val="943"/>
              <w:numPr>
                <w:ilvl w:val="1"/>
                <w:numId w:val="19"/>
              </w:numPr>
              <w:contextualSpacing w:val="0"/>
              <w:ind w:left="0" w:firstLine="680"/>
              <w:jc w:val="both"/>
              <w:widowControl w:val="off"/>
              <w:rPr>
                <w:sz w:val="24"/>
                <w:szCs w:val="24"/>
                <w:lang w:val="ru-RU"/>
              </w:rPr>
            </w:pPr>
            <w:r>
              <w:rPr>
                <w:sz w:val="24"/>
                <w:szCs w:val="24"/>
                <w:lang w:val="ru-RU"/>
              </w:rPr>
              <w:t xml:space="preserve">Ответственность Сторон за нарушение обязательств по Договору, вызванных действием обстоятельств непреодолимой силы, регулируется законодательством Российской Федерации.</w:t>
            </w:r>
            <w:r>
              <w:rPr>
                <w:sz w:val="24"/>
                <w:szCs w:val="24"/>
                <w:lang w:val="ru-RU"/>
              </w:rPr>
            </w:r>
            <w:r>
              <w:rPr>
                <w:sz w:val="24"/>
                <w:szCs w:val="24"/>
                <w:lang w:val="ru-RU"/>
              </w:rPr>
            </w:r>
          </w:p>
          <w:p>
            <w:pPr>
              <w:ind w:firstLine="680"/>
              <w:jc w:val="both"/>
              <w:rPr>
                <w:sz w:val="24"/>
                <w:szCs w:val="24"/>
              </w:rPr>
            </w:pPr>
            <w:r>
              <w:rPr>
                <w:sz w:val="24"/>
                <w:szCs w:val="24"/>
              </w:rPr>
            </w:r>
            <w:r>
              <w:rPr>
                <w:sz w:val="24"/>
                <w:szCs w:val="24"/>
              </w:rPr>
            </w:r>
            <w:r>
              <w:rPr>
                <w:sz w:val="24"/>
                <w:szCs w:val="24"/>
              </w:rPr>
            </w:r>
          </w:p>
          <w:p>
            <w:pPr>
              <w:pStyle w:val="943"/>
              <w:numPr>
                <w:ilvl w:val="0"/>
                <w:numId w:val="19"/>
              </w:numPr>
              <w:contextualSpacing w:val="0"/>
              <w:ind w:left="0" w:firstLine="680"/>
              <w:jc w:val="center"/>
              <w:widowControl w:val="off"/>
              <w:rPr>
                <w:b/>
                <w:sz w:val="24"/>
                <w:szCs w:val="24"/>
                <w:lang w:val="ru-RU"/>
              </w:rPr>
            </w:pPr>
            <w:r>
              <w:rPr>
                <w:b/>
                <w:sz w:val="24"/>
                <w:szCs w:val="24"/>
                <w:lang w:val="ru-RU"/>
              </w:rPr>
              <w:t xml:space="preserve">Изменение, расторжение и прекращение Договора</w:t>
            </w:r>
            <w:r>
              <w:rPr>
                <w:b/>
                <w:sz w:val="24"/>
                <w:szCs w:val="24"/>
                <w:lang w:val="ru-RU"/>
              </w:rPr>
            </w:r>
            <w:r>
              <w:rPr>
                <w:b/>
                <w:sz w:val="24"/>
                <w:szCs w:val="24"/>
                <w:lang w:val="ru-RU"/>
              </w:rPr>
            </w:r>
          </w:p>
          <w:p>
            <w:pPr>
              <w:ind w:firstLine="680"/>
              <w:jc w:val="both"/>
              <w:rPr>
                <w:sz w:val="24"/>
                <w:szCs w:val="24"/>
              </w:rPr>
            </w:pPr>
            <w:r>
              <w:rPr>
                <w:sz w:val="24"/>
                <w:szCs w:val="24"/>
              </w:rPr>
            </w:r>
            <w:r>
              <w:rPr>
                <w:sz w:val="24"/>
                <w:szCs w:val="24"/>
              </w:rPr>
            </w:r>
            <w:r>
              <w:rPr>
                <w:sz w:val="24"/>
                <w:szCs w:val="24"/>
              </w:rPr>
            </w:r>
          </w:p>
          <w:p>
            <w:pPr>
              <w:pStyle w:val="943"/>
              <w:numPr>
                <w:ilvl w:val="1"/>
                <w:numId w:val="19"/>
              </w:numPr>
              <w:contextualSpacing w:val="0"/>
              <w:ind w:left="0" w:firstLine="680"/>
              <w:jc w:val="both"/>
              <w:widowControl w:val="off"/>
              <w:rPr>
                <w:sz w:val="24"/>
                <w:szCs w:val="24"/>
              </w:rPr>
            </w:pPr>
            <w:r>
              <w:rPr>
                <w:sz w:val="24"/>
                <w:szCs w:val="24"/>
                <w:lang w:val="ru-RU"/>
              </w:rPr>
              <w:t xml:space="preserve">Договор прекращает свое действие по окончании его срока, а также в любой другой срок по соглашению </w:t>
            </w:r>
            <w:r>
              <w:rPr>
                <w:sz w:val="24"/>
                <w:szCs w:val="24"/>
              </w:rPr>
              <w:t xml:space="preserve">Сторон. </w:t>
            </w:r>
            <w:r>
              <w:rPr>
                <w:sz w:val="24"/>
                <w:szCs w:val="24"/>
              </w:rPr>
            </w:r>
            <w:r>
              <w:rPr>
                <w:sz w:val="24"/>
                <w:szCs w:val="24"/>
              </w:rPr>
            </w:r>
          </w:p>
          <w:p>
            <w:pPr>
              <w:pStyle w:val="943"/>
              <w:numPr>
                <w:ilvl w:val="1"/>
                <w:numId w:val="19"/>
              </w:numPr>
              <w:contextualSpacing w:val="0"/>
              <w:ind w:left="0" w:firstLine="680"/>
              <w:jc w:val="both"/>
              <w:widowControl w:val="off"/>
              <w:rPr>
                <w:sz w:val="24"/>
                <w:szCs w:val="24"/>
                <w:lang w:val="ru-RU"/>
              </w:rPr>
            </w:pPr>
            <w:r>
              <w:rPr>
                <w:sz w:val="24"/>
                <w:szCs w:val="24"/>
                <w:lang w:val="ru-RU"/>
              </w:rPr>
              <w:t xml:space="preserve">Все изменения и (или) дополнения к Договору оформляются Сторонами в письменной форме.</w:t>
            </w:r>
            <w:r>
              <w:rPr>
                <w:sz w:val="24"/>
                <w:szCs w:val="24"/>
                <w:lang w:val="ru-RU"/>
              </w:rPr>
            </w:r>
            <w:r>
              <w:rPr>
                <w:sz w:val="24"/>
                <w:szCs w:val="24"/>
                <w:lang w:val="ru-RU"/>
              </w:rPr>
            </w:r>
          </w:p>
          <w:p>
            <w:pPr>
              <w:pStyle w:val="943"/>
              <w:numPr>
                <w:ilvl w:val="1"/>
                <w:numId w:val="19"/>
              </w:numPr>
              <w:contextualSpacing w:val="0"/>
              <w:ind w:left="0" w:firstLine="680"/>
              <w:jc w:val="both"/>
              <w:widowControl w:val="off"/>
              <w:rPr>
                <w:sz w:val="24"/>
                <w:szCs w:val="24"/>
                <w:lang w:val="ru-RU"/>
              </w:rPr>
            </w:pPr>
            <w:r>
              <w:rPr>
                <w:sz w:val="24"/>
                <w:szCs w:val="24"/>
                <w:lang w:val="ru-RU"/>
              </w:rPr>
              <w:t xml:space="preserve">Договор расторгается по требованию Арендодателя, по решению суда на основании и в порядке, установленном гражданским законодательством, а также в случаях, указанных в п. 4.1.4 Договора.</w:t>
            </w:r>
            <w:r>
              <w:rPr>
                <w:sz w:val="24"/>
                <w:szCs w:val="24"/>
                <w:lang w:val="ru-RU"/>
              </w:rPr>
            </w:r>
            <w:r>
              <w:rPr>
                <w:sz w:val="24"/>
                <w:szCs w:val="24"/>
                <w:lang w:val="ru-RU"/>
              </w:rPr>
            </w:r>
          </w:p>
          <w:p>
            <w:pPr>
              <w:pStyle w:val="943"/>
              <w:numPr>
                <w:ilvl w:val="1"/>
                <w:numId w:val="19"/>
              </w:numPr>
              <w:contextualSpacing w:val="0"/>
              <w:ind w:left="0" w:firstLine="680"/>
              <w:jc w:val="both"/>
              <w:widowControl w:val="off"/>
              <w:rPr>
                <w:sz w:val="24"/>
                <w:szCs w:val="24"/>
                <w:lang w:val="ru-RU"/>
              </w:rPr>
            </w:pPr>
            <w:r>
              <w:rPr>
                <w:sz w:val="24"/>
                <w:szCs w:val="24"/>
                <w:lang w:val="ru-RU"/>
              </w:rPr>
              <w:t xml:space="preserve">Стороны договорились, что Договор может быть досрочно расторгнут Арендодателем в одностороннем порядке в случаях, предусмот</w:t>
            </w:r>
            <w:r>
              <w:rPr>
                <w:sz w:val="24"/>
                <w:szCs w:val="24"/>
                <w:lang w:val="ru-RU"/>
              </w:rPr>
              <w:t xml:space="preserve">ренных в п. 4.1.4 Договора, а также в случае отказа Арендодателя от исполнения договора в любое время до прекращения его действия в соответствии с пунктом 3 статьи 450 Гражданского кодекса Российской Федерации, путем направления соответствующего извещения.</w:t>
            </w:r>
            <w:r>
              <w:rPr>
                <w:sz w:val="24"/>
                <w:szCs w:val="24"/>
                <w:lang w:val="ru-RU"/>
              </w:rPr>
            </w:r>
            <w:r>
              <w:rPr>
                <w:sz w:val="24"/>
                <w:szCs w:val="24"/>
                <w:lang w:val="ru-RU"/>
              </w:rPr>
            </w:r>
          </w:p>
          <w:p>
            <w:pPr>
              <w:pStyle w:val="943"/>
              <w:numPr>
                <w:ilvl w:val="1"/>
                <w:numId w:val="19"/>
              </w:numPr>
              <w:contextualSpacing w:val="0"/>
              <w:ind w:left="0" w:firstLine="680"/>
              <w:jc w:val="both"/>
              <w:widowControl w:val="off"/>
              <w:rPr>
                <w:sz w:val="24"/>
                <w:szCs w:val="24"/>
                <w:lang w:val="ru-RU"/>
              </w:rPr>
            </w:pPr>
            <w:r>
              <w:rPr>
                <w:sz w:val="24"/>
                <w:szCs w:val="24"/>
                <w:lang w:val="ru-RU"/>
              </w:rPr>
              <w:t xml:space="preserve">При прекращении Договора Арендатор обязан вернуть Арендодателю Участок в надлежащем состоянии по акту приема-передачи Участка.</w:t>
            </w:r>
            <w:r>
              <w:rPr>
                <w:sz w:val="24"/>
                <w:szCs w:val="24"/>
                <w:lang w:val="ru-RU"/>
              </w:rPr>
            </w:r>
            <w:r>
              <w:rPr>
                <w:sz w:val="24"/>
                <w:szCs w:val="24"/>
                <w:lang w:val="ru-RU"/>
              </w:rPr>
            </w:r>
          </w:p>
          <w:p>
            <w:pPr>
              <w:ind w:firstLine="680"/>
              <w:jc w:val="both"/>
              <w:rPr>
                <w:sz w:val="24"/>
                <w:szCs w:val="24"/>
              </w:rPr>
            </w:pPr>
            <w:r>
              <w:rPr>
                <w:sz w:val="24"/>
                <w:szCs w:val="24"/>
              </w:rPr>
            </w:r>
            <w:r>
              <w:rPr>
                <w:sz w:val="24"/>
                <w:szCs w:val="24"/>
              </w:rPr>
            </w:r>
            <w:r>
              <w:rPr>
                <w:sz w:val="24"/>
                <w:szCs w:val="24"/>
              </w:rPr>
            </w:r>
          </w:p>
          <w:p>
            <w:pPr>
              <w:pStyle w:val="943"/>
              <w:numPr>
                <w:ilvl w:val="0"/>
                <w:numId w:val="19"/>
              </w:numPr>
              <w:contextualSpacing w:val="0"/>
              <w:ind w:left="0" w:firstLine="680"/>
              <w:jc w:val="center"/>
              <w:widowControl w:val="off"/>
              <w:rPr>
                <w:b/>
                <w:sz w:val="24"/>
                <w:szCs w:val="24"/>
              </w:rPr>
            </w:pPr>
            <w:r>
              <w:rPr>
                <w:b/>
                <w:sz w:val="24"/>
                <w:szCs w:val="24"/>
              </w:rPr>
              <w:t xml:space="preserve">Рассмотрение и урегулирование споров</w:t>
            </w:r>
            <w:r>
              <w:rPr>
                <w:b/>
                <w:sz w:val="24"/>
                <w:szCs w:val="24"/>
              </w:rPr>
            </w:r>
            <w:r>
              <w:rPr>
                <w:b/>
                <w:sz w:val="24"/>
                <w:szCs w:val="24"/>
              </w:rPr>
            </w:r>
          </w:p>
          <w:p>
            <w:pPr>
              <w:ind w:firstLine="680"/>
              <w:jc w:val="both"/>
              <w:rPr>
                <w:sz w:val="24"/>
                <w:szCs w:val="24"/>
              </w:rPr>
            </w:pPr>
            <w:r>
              <w:rPr>
                <w:sz w:val="24"/>
                <w:szCs w:val="24"/>
              </w:rPr>
            </w:r>
            <w:r>
              <w:rPr>
                <w:sz w:val="24"/>
                <w:szCs w:val="24"/>
              </w:rPr>
            </w:r>
            <w:r>
              <w:rPr>
                <w:sz w:val="24"/>
                <w:szCs w:val="24"/>
              </w:rPr>
            </w:r>
          </w:p>
          <w:p>
            <w:pPr>
              <w:pStyle w:val="943"/>
              <w:numPr>
                <w:ilvl w:val="1"/>
                <w:numId w:val="19"/>
              </w:numPr>
              <w:contextualSpacing w:val="0"/>
              <w:ind w:left="0" w:firstLine="680"/>
              <w:jc w:val="both"/>
              <w:widowControl w:val="off"/>
              <w:rPr>
                <w:sz w:val="24"/>
                <w:szCs w:val="24"/>
                <w:lang w:val="ru-RU"/>
              </w:rPr>
            </w:pPr>
            <w:r>
              <w:rPr>
                <w:sz w:val="24"/>
                <w:szCs w:val="24"/>
                <w:lang w:val="ru-RU"/>
              </w:rPr>
              <w:t xml:space="preserve">Все споры, возникающие при исполнении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r>
              <w:rPr>
                <w:sz w:val="24"/>
                <w:szCs w:val="24"/>
                <w:lang w:val="ru-RU"/>
              </w:rPr>
            </w:r>
            <w:r>
              <w:rPr>
                <w:sz w:val="24"/>
                <w:szCs w:val="24"/>
                <w:lang w:val="ru-RU"/>
              </w:rPr>
            </w:r>
          </w:p>
          <w:p>
            <w:pPr>
              <w:pStyle w:val="943"/>
              <w:numPr>
                <w:ilvl w:val="1"/>
                <w:numId w:val="19"/>
              </w:numPr>
              <w:contextualSpacing w:val="0"/>
              <w:ind w:left="0" w:firstLine="680"/>
              <w:jc w:val="both"/>
              <w:widowControl w:val="off"/>
              <w:rPr>
                <w:sz w:val="24"/>
                <w:szCs w:val="24"/>
                <w:lang w:val="ru-RU"/>
              </w:rPr>
            </w:pPr>
            <w:r>
              <w:rPr>
                <w:sz w:val="24"/>
                <w:szCs w:val="24"/>
                <w:lang w:val="ru-RU"/>
              </w:rPr>
              <w:t xml:space="preserve">В случае если согласие путем переговоров не достигнуто, указанные вопросы разрешаются в судебном порядке.</w:t>
            </w:r>
            <w:r>
              <w:rPr>
                <w:sz w:val="24"/>
                <w:szCs w:val="24"/>
                <w:lang w:val="ru-RU"/>
              </w:rPr>
            </w:r>
            <w:r>
              <w:rPr>
                <w:sz w:val="24"/>
                <w:szCs w:val="24"/>
                <w:lang w:val="ru-RU"/>
              </w:rPr>
            </w:r>
          </w:p>
          <w:p>
            <w:pPr>
              <w:pStyle w:val="943"/>
              <w:numPr>
                <w:ilvl w:val="1"/>
                <w:numId w:val="19"/>
              </w:numPr>
              <w:contextualSpacing w:val="0"/>
              <w:ind w:left="0" w:firstLine="680"/>
              <w:jc w:val="both"/>
              <w:widowControl w:val="off"/>
              <w:rPr>
                <w:sz w:val="24"/>
                <w:szCs w:val="24"/>
                <w:lang w:val="ru-RU"/>
              </w:rPr>
            </w:pPr>
            <w:r>
              <w:rPr>
                <w:sz w:val="24"/>
                <w:szCs w:val="24"/>
                <w:lang w:val="ru-RU"/>
              </w:rPr>
              <w:t xml:space="preserve">Соблюдение претензионного порядка разрешения споров по настоящему договору является обязательным.</w:t>
            </w:r>
            <w:r>
              <w:rPr>
                <w:sz w:val="24"/>
                <w:szCs w:val="24"/>
                <w:lang w:val="ru-RU"/>
              </w:rPr>
            </w:r>
            <w:r>
              <w:rPr>
                <w:sz w:val="24"/>
                <w:szCs w:val="24"/>
                <w:lang w:val="ru-RU"/>
              </w:rPr>
            </w:r>
          </w:p>
          <w:p>
            <w:pPr>
              <w:pStyle w:val="943"/>
              <w:numPr>
                <w:ilvl w:val="1"/>
                <w:numId w:val="19"/>
              </w:numPr>
              <w:contextualSpacing w:val="0"/>
              <w:ind w:left="0" w:firstLine="680"/>
              <w:jc w:val="both"/>
              <w:widowControl w:val="off"/>
              <w:rPr>
                <w:sz w:val="24"/>
                <w:szCs w:val="24"/>
                <w:lang w:val="ru-RU"/>
              </w:rPr>
            </w:pPr>
            <w:r>
              <w:rPr>
                <w:sz w:val="24"/>
                <w:szCs w:val="24"/>
                <w:lang w:val="ru-RU"/>
              </w:rPr>
              <w:t xml:space="preserve">Претензия направляется заинтересованной Стороной заказным письмом с уведомлением о вручении на почтовый адрес контрагента, указанный в п. 9 настоящего Договора. В противном случае претензионный порядок разрешения спора считается не соблюденным.</w:t>
            </w:r>
            <w:r>
              <w:rPr>
                <w:sz w:val="24"/>
                <w:szCs w:val="24"/>
                <w:lang w:val="ru-RU"/>
              </w:rPr>
            </w:r>
            <w:r>
              <w:rPr>
                <w:sz w:val="24"/>
                <w:szCs w:val="24"/>
                <w:lang w:val="ru-RU"/>
              </w:rPr>
            </w:r>
          </w:p>
          <w:p>
            <w:pPr>
              <w:pStyle w:val="943"/>
              <w:numPr>
                <w:ilvl w:val="1"/>
                <w:numId w:val="19"/>
              </w:numPr>
              <w:contextualSpacing w:val="0"/>
              <w:ind w:left="0" w:firstLine="680"/>
              <w:jc w:val="both"/>
              <w:widowControl w:val="off"/>
              <w:rPr>
                <w:sz w:val="24"/>
                <w:szCs w:val="24"/>
                <w:lang w:val="ru-RU"/>
              </w:rPr>
            </w:pPr>
            <w:r>
              <w:rPr>
                <w:sz w:val="24"/>
                <w:szCs w:val="24"/>
                <w:lang w:val="ru-RU"/>
              </w:rPr>
              <w:t xml:space="preserve">Претензия должна содержать сведения о нарушении обязательства, периоде нарушения, а также расчет суммы требований.</w:t>
            </w:r>
            <w:r>
              <w:rPr>
                <w:sz w:val="24"/>
                <w:szCs w:val="24"/>
                <w:lang w:val="ru-RU"/>
              </w:rPr>
            </w:r>
            <w:r>
              <w:rPr>
                <w:sz w:val="24"/>
                <w:szCs w:val="24"/>
                <w:lang w:val="ru-RU"/>
              </w:rPr>
            </w:r>
          </w:p>
          <w:p>
            <w:pPr>
              <w:pStyle w:val="943"/>
              <w:numPr>
                <w:ilvl w:val="1"/>
                <w:numId w:val="19"/>
              </w:numPr>
              <w:contextualSpacing w:val="0"/>
              <w:ind w:left="0" w:firstLine="680"/>
              <w:jc w:val="both"/>
              <w:widowControl w:val="off"/>
              <w:rPr>
                <w:sz w:val="24"/>
                <w:szCs w:val="24"/>
                <w:lang w:val="ru-RU"/>
              </w:rPr>
            </w:pPr>
            <w:r>
              <w:rPr>
                <w:sz w:val="24"/>
                <w:szCs w:val="24"/>
                <w:lang w:val="ru-RU"/>
              </w:rPr>
              <w:t xml:space="preserve">Претензия подписывается уполномоченным представителем Стороны. В случае если таким представителем является лицо, действующее по доверенности, к претензии в обязательном порядке прилагается надлежащим образом заверенная копия указанной доверенности.   </w:t>
            </w:r>
            <w:r>
              <w:rPr>
                <w:sz w:val="24"/>
                <w:szCs w:val="24"/>
                <w:lang w:val="ru-RU"/>
              </w:rPr>
            </w:r>
            <w:r>
              <w:rPr>
                <w:sz w:val="24"/>
                <w:szCs w:val="24"/>
                <w:lang w:val="ru-RU"/>
              </w:rPr>
            </w:r>
          </w:p>
          <w:p>
            <w:pPr>
              <w:pStyle w:val="943"/>
              <w:numPr>
                <w:ilvl w:val="1"/>
                <w:numId w:val="19"/>
              </w:numPr>
              <w:contextualSpacing w:val="0"/>
              <w:ind w:left="0" w:firstLine="680"/>
              <w:jc w:val="both"/>
              <w:widowControl w:val="off"/>
              <w:rPr>
                <w:sz w:val="24"/>
                <w:szCs w:val="24"/>
                <w:lang w:val="ru-RU"/>
              </w:rPr>
            </w:pPr>
            <w:r>
              <w:rPr>
                <w:sz w:val="24"/>
                <w:szCs w:val="24"/>
                <w:lang w:val="ru-RU"/>
              </w:rPr>
              <w:t xml:space="preserve">Стороны согласовали срок рассмотрения претензии – 15 рабочих дней с момента ее получения.</w:t>
            </w:r>
            <w:r>
              <w:rPr>
                <w:sz w:val="24"/>
                <w:szCs w:val="24"/>
                <w:lang w:val="ru-RU"/>
              </w:rPr>
            </w:r>
            <w:r>
              <w:rPr>
                <w:sz w:val="24"/>
                <w:szCs w:val="24"/>
                <w:lang w:val="ru-RU"/>
              </w:rPr>
            </w:r>
          </w:p>
          <w:p>
            <w:pPr>
              <w:ind w:firstLine="680"/>
              <w:jc w:val="both"/>
              <w:rPr>
                <w:sz w:val="24"/>
                <w:szCs w:val="24"/>
              </w:rPr>
            </w:pPr>
            <w:r>
              <w:rPr>
                <w:sz w:val="24"/>
                <w:szCs w:val="24"/>
              </w:rPr>
            </w:r>
            <w:r>
              <w:rPr>
                <w:sz w:val="24"/>
                <w:szCs w:val="24"/>
              </w:rPr>
            </w:r>
            <w:r>
              <w:rPr>
                <w:sz w:val="24"/>
                <w:szCs w:val="24"/>
              </w:rPr>
            </w:r>
          </w:p>
          <w:p>
            <w:pPr>
              <w:pStyle w:val="943"/>
              <w:numPr>
                <w:ilvl w:val="0"/>
                <w:numId w:val="19"/>
              </w:numPr>
              <w:contextualSpacing w:val="0"/>
              <w:ind w:left="0" w:firstLine="680"/>
              <w:jc w:val="center"/>
              <w:widowControl w:val="off"/>
              <w:rPr>
                <w:b/>
                <w:sz w:val="24"/>
                <w:szCs w:val="24"/>
              </w:rPr>
            </w:pPr>
            <w:r>
              <w:rPr>
                <w:b/>
                <w:sz w:val="24"/>
                <w:szCs w:val="24"/>
              </w:rPr>
              <w:t xml:space="preserve">Особые условия Договора</w:t>
            </w:r>
            <w:r>
              <w:rPr>
                <w:b/>
                <w:sz w:val="24"/>
                <w:szCs w:val="24"/>
              </w:rPr>
            </w:r>
            <w:r>
              <w:rPr>
                <w:b/>
                <w:sz w:val="24"/>
                <w:szCs w:val="24"/>
              </w:rPr>
            </w:r>
          </w:p>
          <w:p>
            <w:pPr>
              <w:pStyle w:val="943"/>
              <w:numPr>
                <w:ilvl w:val="1"/>
                <w:numId w:val="19"/>
              </w:numPr>
              <w:contextualSpacing w:val="0"/>
              <w:ind w:left="0" w:firstLine="680"/>
              <w:jc w:val="both"/>
              <w:widowControl w:val="off"/>
              <w:rPr>
                <w:sz w:val="24"/>
                <w:szCs w:val="24"/>
                <w:lang w:val="ru-RU"/>
              </w:rPr>
            </w:pPr>
            <w:r>
              <w:rPr>
                <w:sz w:val="24"/>
                <w:szCs w:val="24"/>
                <w:lang w:val="ru-RU"/>
              </w:rPr>
              <w:t xml:space="preserve">Договор составлен в 2 (двух) экземплярах, имеющих равную юридическую силу, для каждых из сторон.</w:t>
            </w:r>
            <w:r>
              <w:rPr>
                <w:sz w:val="24"/>
                <w:szCs w:val="24"/>
                <w:lang w:val="ru-RU"/>
              </w:rPr>
            </w:r>
            <w:r>
              <w:rPr>
                <w:sz w:val="24"/>
                <w:szCs w:val="24"/>
                <w:lang w:val="ru-RU"/>
              </w:rPr>
            </w:r>
          </w:p>
          <w:p>
            <w:pPr>
              <w:ind w:firstLine="680"/>
              <w:jc w:val="both"/>
              <w:rPr>
                <w:b/>
                <w:sz w:val="24"/>
                <w:szCs w:val="24"/>
              </w:rPr>
            </w:pPr>
            <w:r>
              <w:rPr>
                <w:b/>
                <w:sz w:val="24"/>
                <w:szCs w:val="24"/>
              </w:rPr>
            </w:r>
            <w:r>
              <w:rPr>
                <w:b/>
                <w:sz w:val="24"/>
                <w:szCs w:val="24"/>
              </w:rPr>
            </w:r>
            <w:r>
              <w:rPr>
                <w:b/>
                <w:sz w:val="24"/>
                <w:szCs w:val="24"/>
              </w:rPr>
            </w:r>
          </w:p>
          <w:p>
            <w:pPr>
              <w:pStyle w:val="943"/>
              <w:numPr>
                <w:ilvl w:val="0"/>
                <w:numId w:val="19"/>
              </w:numPr>
              <w:contextualSpacing w:val="0"/>
              <w:ind w:left="0" w:firstLine="680"/>
              <w:jc w:val="center"/>
              <w:widowControl w:val="off"/>
              <w:rPr>
                <w:b/>
                <w:sz w:val="24"/>
                <w:szCs w:val="24"/>
              </w:rPr>
            </w:pPr>
            <w:r>
              <w:rPr>
                <w:b/>
                <w:sz w:val="24"/>
                <w:szCs w:val="24"/>
              </w:rPr>
              <w:t xml:space="preserve">Реквизиты Сторон</w:t>
            </w:r>
            <w:r>
              <w:rPr>
                <w:b/>
                <w:sz w:val="24"/>
                <w:szCs w:val="24"/>
              </w:rPr>
            </w:r>
            <w:r>
              <w:rPr>
                <w:b/>
                <w:sz w:val="24"/>
                <w:szCs w:val="24"/>
              </w:rPr>
            </w:r>
          </w:p>
          <w:p>
            <w:pPr>
              <w:ind w:firstLine="680"/>
              <w:jc w:val="both"/>
              <w:rPr>
                <w:sz w:val="24"/>
                <w:szCs w:val="24"/>
              </w:rPr>
            </w:pPr>
            <w:r>
              <w:rPr>
                <w:sz w:val="24"/>
                <w:szCs w:val="24"/>
              </w:rPr>
            </w:r>
            <w:r>
              <w:rPr>
                <w:sz w:val="24"/>
                <w:szCs w:val="24"/>
              </w:rPr>
            </w:r>
            <w:r>
              <w:rPr>
                <w:sz w:val="24"/>
                <w:szCs w:val="24"/>
              </w:rPr>
            </w:r>
          </w:p>
          <w:tbl>
            <w:tblPr>
              <w:tblStyle w:val="937"/>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677"/>
              <w:gridCol w:w="4677"/>
            </w:tblGrid>
            <w:tr>
              <w:tblPrEx/>
              <w:trPr>
                <w:jc w:val="center"/>
              </w:trPr>
              <w:tc>
                <w:tcPr>
                  <w:tcW w:w="2500" w:type="pct"/>
                  <w:textDirection w:val="lrTb"/>
                  <w:noWrap w:val="false"/>
                </w:tcPr>
                <w:p>
                  <w:pPr>
                    <w:jc w:val="both"/>
                    <w:rPr>
                      <w:b/>
                      <w:sz w:val="24"/>
                      <w:szCs w:val="24"/>
                    </w:rPr>
                  </w:pPr>
                  <w:r>
                    <w:rPr>
                      <w:b/>
                      <w:sz w:val="24"/>
                      <w:szCs w:val="24"/>
                    </w:rPr>
                    <w:t xml:space="preserve">Арендодатель</w:t>
                  </w:r>
                  <w:r>
                    <w:rPr>
                      <w:b/>
                      <w:sz w:val="24"/>
                      <w:szCs w:val="24"/>
                    </w:rPr>
                  </w:r>
                  <w:r>
                    <w:rPr>
                      <w:b/>
                      <w:sz w:val="24"/>
                      <w:szCs w:val="24"/>
                    </w:rPr>
                  </w:r>
                </w:p>
                <w:p>
                  <w:pPr>
                    <w:jc w:val="both"/>
                    <w:rPr>
                      <w:b/>
                      <w:sz w:val="24"/>
                      <w:szCs w:val="24"/>
                    </w:rPr>
                  </w:pPr>
                  <w:r>
                    <w:rPr>
                      <w:b/>
                      <w:sz w:val="24"/>
                      <w:szCs w:val="24"/>
                    </w:rPr>
                    <w:t xml:space="preserve">Комитет по управлению  имуществом администрации муниципального образования Печенгский муниципальный округ Мурманской области</w:t>
                  </w:r>
                  <w:r>
                    <w:rPr>
                      <w:b/>
                      <w:sz w:val="24"/>
                      <w:szCs w:val="24"/>
                    </w:rPr>
                  </w:r>
                  <w:r>
                    <w:rPr>
                      <w:b/>
                      <w:sz w:val="24"/>
                      <w:szCs w:val="24"/>
                    </w:rPr>
                  </w:r>
                </w:p>
                <w:p>
                  <w:pPr>
                    <w:jc w:val="both"/>
                    <w:rPr>
                      <w:sz w:val="24"/>
                      <w:szCs w:val="24"/>
                    </w:rPr>
                  </w:pPr>
                  <w:r>
                    <w:rPr>
                      <w:sz w:val="24"/>
                      <w:szCs w:val="24"/>
                    </w:rPr>
                    <w:t xml:space="preserve">Юридический/почтовый адрес: 184420, Мурманская область, Печенгский район, </w:t>
                  </w:r>
                  <w:r>
                    <w:rPr>
                      <w:sz w:val="24"/>
                      <w:szCs w:val="24"/>
                    </w:rPr>
                  </w:r>
                  <w:r>
                    <w:rPr>
                      <w:sz w:val="24"/>
                      <w:szCs w:val="24"/>
                    </w:rPr>
                  </w:r>
                </w:p>
                <w:p>
                  <w:pPr>
                    <w:jc w:val="both"/>
                    <w:rPr>
                      <w:sz w:val="24"/>
                      <w:szCs w:val="24"/>
                    </w:rPr>
                  </w:pPr>
                  <w:r>
                    <w:rPr>
                      <w:sz w:val="24"/>
                      <w:szCs w:val="24"/>
                    </w:rPr>
                    <w:t xml:space="preserve">п. Никель, пр. Гвардейский, д.13</w:t>
                  </w:r>
                  <w:r>
                    <w:rPr>
                      <w:sz w:val="24"/>
                      <w:szCs w:val="24"/>
                    </w:rPr>
                  </w:r>
                  <w:r>
                    <w:rPr>
                      <w:sz w:val="24"/>
                      <w:szCs w:val="24"/>
                    </w:rPr>
                  </w:r>
                </w:p>
                <w:p>
                  <w:pPr>
                    <w:jc w:val="both"/>
                    <w:rPr>
                      <w:sz w:val="24"/>
                      <w:szCs w:val="24"/>
                    </w:rPr>
                  </w:pPr>
                  <w:r>
                    <w:rPr>
                      <w:sz w:val="24"/>
                      <w:szCs w:val="24"/>
                    </w:rPr>
                    <w:t xml:space="preserve">Телефон: (815-54) 5-17-96</w:t>
                  </w:r>
                  <w:r>
                    <w:rPr>
                      <w:sz w:val="24"/>
                      <w:szCs w:val="24"/>
                    </w:rPr>
                  </w:r>
                  <w:r>
                    <w:rPr>
                      <w:sz w:val="24"/>
                      <w:szCs w:val="24"/>
                    </w:rPr>
                  </w:r>
                </w:p>
                <w:p>
                  <w:pPr>
                    <w:jc w:val="both"/>
                    <w:rPr>
                      <w:sz w:val="24"/>
                      <w:szCs w:val="24"/>
                    </w:rPr>
                  </w:pPr>
                  <w:r>
                    <w:rPr>
                      <w:sz w:val="24"/>
                      <w:szCs w:val="24"/>
                    </w:rPr>
                    <w:t xml:space="preserve">Факс: (815-54) 5-17-86</w:t>
                  </w:r>
                  <w:r>
                    <w:rPr>
                      <w:sz w:val="24"/>
                      <w:szCs w:val="24"/>
                    </w:rPr>
                  </w:r>
                  <w:r>
                    <w:rPr>
                      <w:sz w:val="24"/>
                      <w:szCs w:val="24"/>
                    </w:rPr>
                  </w:r>
                </w:p>
                <w:p>
                  <w:pPr>
                    <w:jc w:val="both"/>
                    <w:rPr>
                      <w:sz w:val="24"/>
                      <w:szCs w:val="24"/>
                    </w:rPr>
                  </w:pPr>
                  <w:r>
                    <w:rPr>
                      <w:sz w:val="24"/>
                      <w:szCs w:val="24"/>
                    </w:rPr>
                    <w:t xml:space="preserve">Расчетный счет: 03231643475150004900</w:t>
                  </w:r>
                  <w:r>
                    <w:rPr>
                      <w:sz w:val="24"/>
                      <w:szCs w:val="24"/>
                    </w:rPr>
                  </w:r>
                  <w:r>
                    <w:rPr>
                      <w:sz w:val="24"/>
                      <w:szCs w:val="24"/>
                    </w:rPr>
                  </w:r>
                </w:p>
                <w:p>
                  <w:pPr>
                    <w:jc w:val="both"/>
                    <w:rPr>
                      <w:sz w:val="24"/>
                      <w:szCs w:val="24"/>
                    </w:rPr>
                  </w:pPr>
                  <w:r>
                    <w:rPr>
                      <w:sz w:val="24"/>
                      <w:szCs w:val="24"/>
                    </w:rPr>
                    <w:t xml:space="preserve">Кор. счет: 40102810745370000041</w:t>
                  </w:r>
                  <w:r>
                    <w:rPr>
                      <w:sz w:val="24"/>
                      <w:szCs w:val="24"/>
                    </w:rPr>
                  </w:r>
                  <w:r>
                    <w:rPr>
                      <w:sz w:val="24"/>
                      <w:szCs w:val="24"/>
                    </w:rPr>
                  </w:r>
                </w:p>
                <w:p>
                  <w:pPr>
                    <w:jc w:val="both"/>
                    <w:rPr>
                      <w:sz w:val="24"/>
                      <w:szCs w:val="24"/>
                    </w:rPr>
                  </w:pPr>
                  <w:r>
                    <w:rPr>
                      <w:sz w:val="24"/>
                      <w:szCs w:val="24"/>
                    </w:rPr>
                    <w:t xml:space="preserve">в Отделении Мурманск Банка России //УФК по Мурманской области, г.Мурманск</w:t>
                  </w:r>
                  <w:r>
                    <w:rPr>
                      <w:sz w:val="24"/>
                      <w:szCs w:val="24"/>
                    </w:rPr>
                  </w:r>
                  <w:r>
                    <w:rPr>
                      <w:sz w:val="24"/>
                      <w:szCs w:val="24"/>
                    </w:rPr>
                  </w:r>
                </w:p>
                <w:p>
                  <w:pPr>
                    <w:jc w:val="both"/>
                    <w:rPr>
                      <w:sz w:val="24"/>
                      <w:szCs w:val="24"/>
                    </w:rPr>
                  </w:pPr>
                  <w:r>
                    <w:rPr>
                      <w:sz w:val="24"/>
                      <w:szCs w:val="24"/>
                    </w:rPr>
                    <w:t xml:space="preserve">Лицевой счет 03493D50420</w:t>
                  </w:r>
                  <w:r>
                    <w:rPr>
                      <w:sz w:val="24"/>
                      <w:szCs w:val="24"/>
                    </w:rPr>
                  </w:r>
                  <w:r>
                    <w:rPr>
                      <w:sz w:val="24"/>
                      <w:szCs w:val="24"/>
                    </w:rPr>
                  </w:r>
                </w:p>
                <w:p>
                  <w:pPr>
                    <w:jc w:val="both"/>
                    <w:rPr>
                      <w:sz w:val="24"/>
                      <w:szCs w:val="24"/>
                    </w:rPr>
                  </w:pPr>
                  <w:r>
                    <w:rPr>
                      <w:sz w:val="24"/>
                      <w:szCs w:val="24"/>
                    </w:rPr>
                    <w:t xml:space="preserve">БИК: 014705901</w:t>
                  </w:r>
                  <w:r>
                    <w:rPr>
                      <w:sz w:val="24"/>
                      <w:szCs w:val="24"/>
                    </w:rPr>
                  </w:r>
                  <w:r>
                    <w:rPr>
                      <w:sz w:val="24"/>
                      <w:szCs w:val="24"/>
                    </w:rPr>
                  </w:r>
                </w:p>
                <w:p>
                  <w:pPr>
                    <w:jc w:val="both"/>
                    <w:rPr>
                      <w:sz w:val="24"/>
                      <w:szCs w:val="24"/>
                    </w:rPr>
                  </w:pPr>
                  <w:r>
                    <w:rPr>
                      <w:sz w:val="24"/>
                      <w:szCs w:val="24"/>
                    </w:rPr>
                    <w:t xml:space="preserve">ИНН: 5105013736</w:t>
                  </w:r>
                  <w:r>
                    <w:rPr>
                      <w:sz w:val="24"/>
                      <w:szCs w:val="24"/>
                    </w:rPr>
                  </w:r>
                  <w:r>
                    <w:rPr>
                      <w:sz w:val="24"/>
                      <w:szCs w:val="24"/>
                    </w:rPr>
                  </w:r>
                </w:p>
                <w:p>
                  <w:pPr>
                    <w:jc w:val="both"/>
                    <w:rPr>
                      <w:sz w:val="24"/>
                      <w:szCs w:val="24"/>
                    </w:rPr>
                  </w:pPr>
                  <w:r>
                    <w:rPr>
                      <w:sz w:val="24"/>
                      <w:szCs w:val="24"/>
                    </w:rPr>
                    <w:t xml:space="preserve">КПП: 510501001</w:t>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t xml:space="preserve">Председатель комитета по управлению имуществом </w:t>
                  </w:r>
                  <w:r>
                    <w:rPr>
                      <w:sz w:val="24"/>
                      <w:szCs w:val="24"/>
                    </w:rPr>
                  </w:r>
                  <w:r>
                    <w:rPr>
                      <w:sz w:val="24"/>
                      <w:szCs w:val="24"/>
                    </w:rPr>
                  </w:r>
                </w:p>
                <w:p>
                  <w:pPr>
                    <w:jc w:val="both"/>
                    <w:rPr>
                      <w:sz w:val="24"/>
                      <w:szCs w:val="24"/>
                    </w:rPr>
                  </w:pPr>
                  <w:r>
                    <w:rPr>
                      <w:sz w:val="24"/>
                      <w:szCs w:val="24"/>
                    </w:rPr>
                    <w:t xml:space="preserve">_______________ / Лаврущик С.С</w:t>
                  </w:r>
                  <w:r>
                    <w:rPr>
                      <w:sz w:val="24"/>
                      <w:szCs w:val="24"/>
                    </w:rPr>
                  </w:r>
                  <w:r>
                    <w:rPr>
                      <w:sz w:val="24"/>
                      <w:szCs w:val="24"/>
                    </w:rPr>
                  </w:r>
                </w:p>
                <w:p>
                  <w:pPr>
                    <w:jc w:val="both"/>
                    <w:rPr>
                      <w:sz w:val="24"/>
                      <w:szCs w:val="24"/>
                    </w:rPr>
                  </w:pPr>
                  <w:r>
                    <w:rPr>
                      <w:sz w:val="24"/>
                      <w:szCs w:val="24"/>
                    </w:rPr>
                    <w:t xml:space="preserve"> М.П.</w:t>
                  </w:r>
                  <w:r>
                    <w:rPr>
                      <w:sz w:val="24"/>
                      <w:szCs w:val="24"/>
                    </w:rPr>
                  </w:r>
                  <w:r>
                    <w:rPr>
                      <w:sz w:val="24"/>
                      <w:szCs w:val="24"/>
                    </w:rPr>
                  </w:r>
                </w:p>
              </w:tc>
              <w:tc>
                <w:tcPr>
                  <w:tcW w:w="2500" w:type="pct"/>
                  <w:textDirection w:val="lrTb"/>
                  <w:noWrap w:val="false"/>
                </w:tcPr>
                <w:p>
                  <w:pPr>
                    <w:jc w:val="both"/>
                    <w:rPr>
                      <w:b/>
                      <w:sz w:val="24"/>
                      <w:szCs w:val="24"/>
                    </w:rPr>
                  </w:pPr>
                  <w:r>
                    <w:rPr>
                      <w:b/>
                      <w:sz w:val="24"/>
                      <w:szCs w:val="24"/>
                    </w:rPr>
                    <w:t xml:space="preserve">Арендатор:</w:t>
                  </w:r>
                  <w:r>
                    <w:rPr>
                      <w:b/>
                      <w:sz w:val="24"/>
                      <w:szCs w:val="24"/>
                    </w:rPr>
                  </w:r>
                  <w:r>
                    <w:rPr>
                      <w:b/>
                      <w:sz w:val="24"/>
                      <w:szCs w:val="24"/>
                    </w:rPr>
                  </w:r>
                </w:p>
                <w:p>
                  <w:pPr>
                    <w:jc w:val="both"/>
                    <w:rPr>
                      <w:b/>
                      <w:sz w:val="24"/>
                      <w:szCs w:val="24"/>
                    </w:rPr>
                  </w:pPr>
                  <w:r>
                    <w:rPr>
                      <w:b/>
                      <w:sz w:val="24"/>
                      <w:szCs w:val="24"/>
                    </w:rPr>
                    <w:t xml:space="preserve">ООО «Промвоенстрой»</w:t>
                  </w:r>
                  <w:r>
                    <w:rPr>
                      <w:b/>
                      <w:sz w:val="24"/>
                      <w:szCs w:val="24"/>
                    </w:rPr>
                  </w:r>
                  <w:r>
                    <w:rPr>
                      <w:b/>
                      <w:sz w:val="24"/>
                      <w:szCs w:val="24"/>
                    </w:rPr>
                  </w:r>
                </w:p>
                <w:p>
                  <w:pPr>
                    <w:jc w:val="both"/>
                    <w:rPr>
                      <w:sz w:val="24"/>
                      <w:szCs w:val="24"/>
                    </w:rPr>
                  </w:pPr>
                  <w:r>
                    <w:rPr>
                      <w:sz w:val="24"/>
                      <w:szCs w:val="24"/>
                    </w:rPr>
                    <w:t xml:space="preserve">Юридический и почтовый адрес:</w:t>
                  </w:r>
                  <w:r>
                    <w:rPr>
                      <w:sz w:val="24"/>
                      <w:szCs w:val="24"/>
                    </w:rPr>
                  </w:r>
                  <w:r>
                    <w:rPr>
                      <w:sz w:val="24"/>
                      <w:szCs w:val="24"/>
                    </w:rPr>
                  </w:r>
                </w:p>
                <w:p>
                  <w:pPr>
                    <w:jc w:val="both"/>
                    <w:rPr>
                      <w:sz w:val="24"/>
                      <w:szCs w:val="24"/>
                    </w:rPr>
                  </w:pPr>
                  <w:r>
                    <w:rPr>
                      <w:sz w:val="24"/>
                      <w:szCs w:val="24"/>
                    </w:rPr>
                    <w:t xml:space="preserve">191124, г. Санкт-Петербург,</w:t>
                  </w:r>
                  <w:r>
                    <w:rPr>
                      <w:sz w:val="24"/>
                      <w:szCs w:val="24"/>
                    </w:rPr>
                  </w:r>
                  <w:r>
                    <w:rPr>
                      <w:sz w:val="24"/>
                      <w:szCs w:val="24"/>
                    </w:rPr>
                  </w:r>
                </w:p>
                <w:p>
                  <w:pPr>
                    <w:jc w:val="both"/>
                    <w:rPr>
                      <w:sz w:val="24"/>
                      <w:szCs w:val="24"/>
                    </w:rPr>
                  </w:pPr>
                  <w:r>
                    <w:rPr>
                      <w:sz w:val="24"/>
                      <w:szCs w:val="24"/>
                    </w:rPr>
                    <w:t xml:space="preserve">ул. Орловская, д.1, литер А, пом.55Н</w:t>
                  </w:r>
                  <w:r>
                    <w:rPr>
                      <w:sz w:val="24"/>
                      <w:szCs w:val="24"/>
                    </w:rPr>
                  </w:r>
                  <w:r>
                    <w:rPr>
                      <w:sz w:val="24"/>
                      <w:szCs w:val="24"/>
                    </w:rPr>
                  </w:r>
                </w:p>
                <w:p>
                  <w:pPr>
                    <w:jc w:val="both"/>
                    <w:rPr>
                      <w:sz w:val="24"/>
                      <w:szCs w:val="24"/>
                    </w:rPr>
                  </w:pPr>
                  <w:r>
                    <w:rPr>
                      <w:sz w:val="24"/>
                      <w:szCs w:val="24"/>
                    </w:rPr>
                    <w:t xml:space="preserve">тел./факс 8(812)-616-01-21</w:t>
                  </w:r>
                  <w:r>
                    <w:rPr>
                      <w:sz w:val="24"/>
                      <w:szCs w:val="24"/>
                    </w:rPr>
                  </w:r>
                  <w:r>
                    <w:rPr>
                      <w:sz w:val="24"/>
                      <w:szCs w:val="24"/>
                    </w:rPr>
                  </w:r>
                </w:p>
                <w:p>
                  <w:pPr>
                    <w:jc w:val="both"/>
                    <w:rPr>
                      <w:sz w:val="24"/>
                      <w:szCs w:val="24"/>
                    </w:rPr>
                  </w:pPr>
                  <w:r>
                    <w:rPr>
                      <w:sz w:val="24"/>
                      <w:szCs w:val="24"/>
                    </w:rPr>
                    <w:t xml:space="preserve">ИНН 7842410730 / КПП 784201001</w:t>
                  </w:r>
                  <w:r>
                    <w:rPr>
                      <w:sz w:val="24"/>
                      <w:szCs w:val="24"/>
                    </w:rPr>
                  </w:r>
                  <w:r>
                    <w:rPr>
                      <w:sz w:val="24"/>
                      <w:szCs w:val="24"/>
                    </w:rPr>
                  </w:r>
                </w:p>
                <w:p>
                  <w:pPr>
                    <w:jc w:val="both"/>
                    <w:rPr>
                      <w:sz w:val="24"/>
                      <w:szCs w:val="24"/>
                    </w:rPr>
                  </w:pPr>
                  <w:r>
                    <w:rPr>
                      <w:sz w:val="24"/>
                      <w:szCs w:val="24"/>
                    </w:rPr>
                    <w:t xml:space="preserve">р/сч 40702810600024678895</w:t>
                  </w:r>
                  <w:r>
                    <w:rPr>
                      <w:sz w:val="24"/>
                      <w:szCs w:val="24"/>
                    </w:rPr>
                  </w:r>
                  <w:r>
                    <w:rPr>
                      <w:sz w:val="24"/>
                      <w:szCs w:val="24"/>
                    </w:rPr>
                  </w:r>
                </w:p>
                <w:p>
                  <w:pPr>
                    <w:jc w:val="both"/>
                    <w:rPr>
                      <w:sz w:val="24"/>
                      <w:szCs w:val="24"/>
                    </w:rPr>
                  </w:pPr>
                  <w:r>
                    <w:rPr>
                      <w:sz w:val="24"/>
                      <w:szCs w:val="24"/>
                    </w:rPr>
                    <w:t xml:space="preserve">Петербургский филиал</w:t>
                  </w:r>
                  <w:r>
                    <w:rPr>
                      <w:sz w:val="24"/>
                      <w:szCs w:val="24"/>
                    </w:rPr>
                  </w:r>
                  <w:r>
                    <w:rPr>
                      <w:sz w:val="24"/>
                      <w:szCs w:val="24"/>
                    </w:rPr>
                  </w:r>
                </w:p>
                <w:p>
                  <w:pPr>
                    <w:jc w:val="both"/>
                    <w:rPr>
                      <w:sz w:val="24"/>
                      <w:szCs w:val="24"/>
                    </w:rPr>
                  </w:pPr>
                  <w:r>
                    <w:rPr>
                      <w:sz w:val="24"/>
                      <w:szCs w:val="24"/>
                    </w:rPr>
                    <w:t xml:space="preserve">АО ЮниКредитБанк</w:t>
                  </w:r>
                  <w:r>
                    <w:rPr>
                      <w:sz w:val="24"/>
                      <w:szCs w:val="24"/>
                    </w:rPr>
                  </w:r>
                  <w:r>
                    <w:rPr>
                      <w:sz w:val="24"/>
                      <w:szCs w:val="24"/>
                    </w:rPr>
                  </w:r>
                </w:p>
                <w:p>
                  <w:pPr>
                    <w:jc w:val="both"/>
                    <w:rPr>
                      <w:sz w:val="24"/>
                      <w:szCs w:val="24"/>
                    </w:rPr>
                  </w:pPr>
                  <w:r>
                    <w:rPr>
                      <w:sz w:val="24"/>
                      <w:szCs w:val="24"/>
                    </w:rPr>
                    <w:t xml:space="preserve">к/сч.3010180800000000858</w:t>
                  </w:r>
                  <w:r>
                    <w:rPr>
                      <w:sz w:val="24"/>
                      <w:szCs w:val="24"/>
                    </w:rPr>
                  </w:r>
                  <w:r>
                    <w:rPr>
                      <w:sz w:val="24"/>
                      <w:szCs w:val="24"/>
                    </w:rPr>
                  </w:r>
                </w:p>
                <w:p>
                  <w:pPr>
                    <w:jc w:val="both"/>
                    <w:rPr>
                      <w:sz w:val="24"/>
                      <w:szCs w:val="24"/>
                    </w:rPr>
                  </w:pPr>
                  <w:r>
                    <w:rPr>
                      <w:sz w:val="24"/>
                      <w:szCs w:val="24"/>
                    </w:rPr>
                    <w:t xml:space="preserve">БИК 044030858</w:t>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t xml:space="preserve">Генеральный директор</w:t>
                  </w:r>
                  <w:r>
                    <w:rPr>
                      <w:sz w:val="24"/>
                      <w:szCs w:val="24"/>
                    </w:rPr>
                  </w:r>
                  <w:r>
                    <w:rPr>
                      <w:sz w:val="24"/>
                      <w:szCs w:val="24"/>
                    </w:rPr>
                  </w:r>
                </w:p>
                <w:p>
                  <w:pPr>
                    <w:jc w:val="both"/>
                    <w:rPr>
                      <w:sz w:val="24"/>
                      <w:szCs w:val="24"/>
                    </w:rPr>
                  </w:pPr>
                  <w:r>
                    <w:rPr>
                      <w:sz w:val="24"/>
                      <w:szCs w:val="24"/>
                    </w:rPr>
                    <w:t xml:space="preserve">ООО «ПромВоенСтрой»</w:t>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t xml:space="preserve">__________________Аршакян А.Р.</w:t>
                  </w:r>
                  <w:r>
                    <w:rPr>
                      <w:sz w:val="24"/>
                      <w:szCs w:val="24"/>
                    </w:rPr>
                  </w:r>
                  <w:r>
                    <w:rPr>
                      <w:sz w:val="24"/>
                      <w:szCs w:val="24"/>
                    </w:rPr>
                  </w:r>
                </w:p>
                <w:p>
                  <w:pPr>
                    <w:jc w:val="both"/>
                    <w:rPr>
                      <w:sz w:val="24"/>
                      <w:szCs w:val="24"/>
                    </w:rPr>
                  </w:pPr>
                  <w:r>
                    <w:rPr>
                      <w:sz w:val="24"/>
                      <w:szCs w:val="24"/>
                    </w:rPr>
                    <w:t xml:space="preserve">М.П.</w:t>
                  </w:r>
                  <w:r>
                    <w:rPr>
                      <w:sz w:val="24"/>
                      <w:szCs w:val="24"/>
                    </w:rPr>
                  </w:r>
                  <w:r>
                    <w:rPr>
                      <w:sz w:val="24"/>
                      <w:szCs w:val="24"/>
                    </w:rPr>
                  </w:r>
                </w:p>
              </w:tc>
            </w:tr>
          </w:tbl>
          <w:p>
            <w:pPr>
              <w:ind w:firstLine="680"/>
              <w:jc w:val="both"/>
              <w:rPr>
                <w:b/>
                <w:sz w:val="24"/>
                <w:szCs w:val="24"/>
              </w:rPr>
            </w:pPr>
            <w:r>
              <w:rPr>
                <w:b/>
                <w:sz w:val="24"/>
                <w:szCs w:val="24"/>
              </w:rPr>
            </w:r>
            <w:r>
              <w:rPr>
                <w:b/>
                <w:sz w:val="24"/>
                <w:szCs w:val="24"/>
              </w:rPr>
            </w:r>
            <w:r>
              <w:rPr>
                <w:b/>
                <w:sz w:val="24"/>
                <w:szCs w:val="24"/>
              </w:rPr>
            </w:r>
          </w:p>
        </w:tc>
      </w:tr>
    </w:tbl>
    <w:p>
      <w:pPr>
        <w:ind w:firstLine="680"/>
        <w:jc w:val="both"/>
        <w:rPr>
          <w:sz w:val="24"/>
          <w:szCs w:val="24"/>
        </w:rPr>
      </w:pPr>
      <w:r>
        <w:rPr>
          <w:sz w:val="24"/>
          <w:szCs w:val="24"/>
        </w:rPr>
      </w:r>
      <w:r>
        <w:rPr>
          <w:sz w:val="24"/>
          <w:szCs w:val="24"/>
        </w:rPr>
      </w:r>
      <w:r>
        <w:rPr>
          <w:sz w:val="24"/>
          <w:szCs w:val="24"/>
        </w:rPr>
      </w:r>
    </w:p>
    <w:tbl>
      <w:tblPr>
        <w:tblStyle w:val="937"/>
        <w:tblW w:w="5000" w:type="pc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190"/>
        <w:gridCol w:w="3190"/>
        <w:gridCol w:w="3190"/>
      </w:tblGrid>
      <w:tr>
        <w:tblPrEx/>
        <w:trPr/>
        <w:tc>
          <w:tcPr>
            <w:tcW w:w="1667" w:type="pct"/>
            <w:textDirection w:val="lrTb"/>
            <w:noWrap w:val="false"/>
          </w:tcPr>
          <w:p>
            <w:pPr>
              <w:jc w:val="both"/>
              <w:rPr>
                <w:b/>
                <w:sz w:val="24"/>
                <w:szCs w:val="24"/>
              </w:rPr>
            </w:pPr>
            <w:r>
              <w:rPr>
                <w:b/>
                <w:sz w:val="24"/>
                <w:szCs w:val="24"/>
              </w:rPr>
              <w:t xml:space="preserve">Концедент</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Концессионер</w:t>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t xml:space="preserve">Субъект</w:t>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t xml:space="preserve">Муниципальное образование Печенгский муниципальный округ Мурманской области</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Общество с ограниченной ответственностью «ПромВоенСтрой»</w:t>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t xml:space="preserve">Мурманская область</w:t>
            </w:r>
            <w:r>
              <w:rPr>
                <w:b/>
                <w:sz w:val="24"/>
                <w:szCs w:val="24"/>
              </w:rPr>
            </w:r>
            <w:r>
              <w:rPr>
                <w:b/>
                <w:sz w:val="24"/>
                <w:szCs w:val="24"/>
              </w:rPr>
            </w:r>
          </w:p>
          <w:p>
            <w:pPr>
              <w:jc w:val="both"/>
              <w:rPr>
                <w:b/>
                <w:sz w:val="24"/>
                <w:szCs w:val="24"/>
              </w:rPr>
            </w:pPr>
            <w:r>
              <w:rPr>
                <w:b/>
                <w:sz w:val="24"/>
                <w:szCs w:val="24"/>
              </w:rPr>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t xml:space="preserve">Глава округа</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Генеральный директор</w:t>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t xml:space="preserve">Губернатор</w:t>
            </w:r>
            <w:r>
              <w:rPr>
                <w:b/>
                <w:sz w:val="24"/>
                <w:szCs w:val="24"/>
              </w:rPr>
            </w:r>
            <w:r>
              <w:rPr>
                <w:b/>
                <w:sz w:val="24"/>
                <w:szCs w:val="24"/>
              </w:rPr>
            </w:r>
          </w:p>
        </w:tc>
      </w:tr>
      <w:tr>
        <w:tblPrEx/>
        <w:trPr>
          <w:trHeight w:val="567"/>
        </w:trPr>
        <w:tc>
          <w:tcPr>
            <w:tcW w:w="1667" w:type="pct"/>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c>
          <w:tcPr>
            <w:tcW w:w="1667" w:type="pct"/>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c>
          <w:tcPr>
            <w:tcW w:w="1666" w:type="pct"/>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r>
      <w:tr>
        <w:tblPrEx/>
        <w:trPr/>
        <w:tc>
          <w:tcPr>
            <w:tcW w:w="1667" w:type="pct"/>
            <w:textDirection w:val="lrTb"/>
            <w:noWrap w:val="false"/>
          </w:tcPr>
          <w:p>
            <w:pPr>
              <w:jc w:val="both"/>
              <w:rPr>
                <w:b/>
                <w:sz w:val="24"/>
                <w:szCs w:val="24"/>
              </w:rPr>
            </w:pPr>
            <w:r>
              <w:rPr>
                <w:sz w:val="24"/>
                <w:szCs w:val="24"/>
              </w:rPr>
              <w:t xml:space="preserve">МП      /Кузнецов А.В../</w:t>
            </w:r>
            <w:r>
              <w:rPr>
                <w:b/>
                <w:sz w:val="24"/>
                <w:szCs w:val="24"/>
              </w:rPr>
            </w:r>
            <w:r>
              <w:rPr>
                <w:b/>
                <w:sz w:val="24"/>
                <w:szCs w:val="24"/>
              </w:rPr>
            </w:r>
          </w:p>
        </w:tc>
        <w:tc>
          <w:tcPr>
            <w:tcW w:w="1667" w:type="pct"/>
            <w:textDirection w:val="lrTb"/>
            <w:noWrap w:val="false"/>
          </w:tcPr>
          <w:p>
            <w:pPr>
              <w:jc w:val="both"/>
              <w:rPr>
                <w:b/>
                <w:sz w:val="24"/>
                <w:szCs w:val="24"/>
              </w:rPr>
            </w:pPr>
            <w:r>
              <w:rPr>
                <w:sz w:val="24"/>
                <w:szCs w:val="24"/>
              </w:rPr>
              <w:t xml:space="preserve">МП       /Аршакян А.Р./</w:t>
            </w:r>
            <w:r>
              <w:rPr>
                <w:b/>
                <w:sz w:val="24"/>
                <w:szCs w:val="24"/>
              </w:rPr>
            </w:r>
            <w:r>
              <w:rPr>
                <w:b/>
                <w:sz w:val="24"/>
                <w:szCs w:val="24"/>
              </w:rPr>
            </w:r>
          </w:p>
        </w:tc>
        <w:tc>
          <w:tcPr>
            <w:tcW w:w="1666" w:type="pct"/>
            <w:textDirection w:val="lrTb"/>
            <w:noWrap w:val="false"/>
          </w:tcPr>
          <w:p>
            <w:pPr>
              <w:jc w:val="both"/>
              <w:rPr>
                <w:b/>
                <w:sz w:val="24"/>
                <w:szCs w:val="24"/>
              </w:rPr>
            </w:pPr>
            <w:r>
              <w:rPr>
                <w:sz w:val="24"/>
                <w:szCs w:val="24"/>
              </w:rPr>
              <w:t xml:space="preserve">МП         /Чибис А.В./</w:t>
            </w:r>
            <w:r>
              <w:rPr>
                <w:b/>
                <w:sz w:val="24"/>
                <w:szCs w:val="24"/>
              </w:rPr>
            </w:r>
            <w:r>
              <w:rPr>
                <w:b/>
                <w:sz w:val="24"/>
                <w:szCs w:val="24"/>
              </w:rPr>
            </w:r>
          </w:p>
        </w:tc>
      </w:tr>
      <w:tr>
        <w:tblPrEx/>
        <w:trPr>
          <w:trHeight w:val="100"/>
        </w:trPr>
        <w:tc>
          <w:tcPr>
            <w:tcW w:w="1667" w:type="pct"/>
            <w:textDirection w:val="lrTb"/>
            <w:noWrap w:val="false"/>
          </w:tcPr>
          <w:p>
            <w:pPr>
              <w:jc w:val="both"/>
              <w:rPr>
                <w:b/>
                <w:sz w:val="24"/>
                <w:szCs w:val="24"/>
              </w:rPr>
            </w:pPr>
            <w:r>
              <w:rPr>
                <w:sz w:val="24"/>
                <w:szCs w:val="24"/>
              </w:rPr>
              <w:t xml:space="preserve">«___»____________ 20__ г.</w:t>
            </w:r>
            <w:r>
              <w:rPr>
                <w:b/>
                <w:sz w:val="24"/>
                <w:szCs w:val="24"/>
              </w:rPr>
            </w:r>
            <w:r>
              <w:rPr>
                <w:b/>
                <w:sz w:val="24"/>
                <w:szCs w:val="24"/>
              </w:rPr>
            </w:r>
          </w:p>
        </w:tc>
        <w:tc>
          <w:tcPr>
            <w:tcW w:w="1667" w:type="pct"/>
            <w:textDirection w:val="lrTb"/>
            <w:noWrap w:val="false"/>
          </w:tcPr>
          <w:p>
            <w:pPr>
              <w:jc w:val="both"/>
              <w:rPr>
                <w:sz w:val="24"/>
                <w:szCs w:val="24"/>
              </w:rPr>
            </w:pPr>
            <w:r>
              <w:rPr>
                <w:sz w:val="24"/>
                <w:szCs w:val="24"/>
              </w:rPr>
              <w:t xml:space="preserve">«___»____________ 20__ г.</w:t>
            </w:r>
            <w:r>
              <w:rPr>
                <w:sz w:val="24"/>
                <w:szCs w:val="24"/>
              </w:rPr>
            </w:r>
            <w:r>
              <w:rPr>
                <w:sz w:val="24"/>
                <w:szCs w:val="24"/>
              </w:rPr>
            </w:r>
          </w:p>
        </w:tc>
        <w:tc>
          <w:tcPr>
            <w:tcW w:w="1666" w:type="pct"/>
            <w:textDirection w:val="lrTb"/>
            <w:noWrap w:val="false"/>
          </w:tcPr>
          <w:p>
            <w:pPr>
              <w:jc w:val="both"/>
              <w:rPr>
                <w:b/>
                <w:sz w:val="24"/>
                <w:szCs w:val="24"/>
              </w:rPr>
            </w:pPr>
            <w:r>
              <w:rPr>
                <w:sz w:val="24"/>
                <w:szCs w:val="24"/>
              </w:rPr>
              <w:t xml:space="preserve">«___»____________ 20__ г.</w:t>
            </w:r>
            <w:r>
              <w:rPr>
                <w:b/>
                <w:sz w:val="24"/>
                <w:szCs w:val="24"/>
              </w:rPr>
            </w:r>
            <w:r>
              <w:rPr>
                <w:b/>
                <w:sz w:val="24"/>
                <w:szCs w:val="24"/>
              </w:rPr>
            </w:r>
          </w:p>
        </w:tc>
      </w:tr>
    </w:tbl>
    <w:p>
      <w:pPr>
        <w:ind w:firstLine="680"/>
        <w:jc w:val="both"/>
        <w:rPr>
          <w:sz w:val="24"/>
          <w:szCs w:val="24"/>
        </w:rPr>
      </w:pPr>
      <w:r>
        <w:rPr>
          <w:sz w:val="24"/>
          <w:szCs w:val="24"/>
        </w:rPr>
      </w:r>
      <w:r>
        <w:rPr>
          <w:sz w:val="24"/>
          <w:szCs w:val="24"/>
        </w:rPr>
      </w:r>
      <w:r>
        <w:rPr>
          <w:sz w:val="24"/>
          <w:szCs w:val="24"/>
        </w:rPr>
      </w:r>
    </w:p>
    <w:p>
      <w:pPr>
        <w:shd w:val="nil" w:color="auto"/>
        <w:rPr>
          <w:sz w:val="24"/>
          <w:szCs w:val="24"/>
        </w:rPr>
      </w:pPr>
      <w:r>
        <w:rPr>
          <w:sz w:val="24"/>
          <w:szCs w:val="24"/>
        </w:rPr>
        <w:br w:type="page" w:clear="all"/>
      </w:r>
      <w:r>
        <w:rPr>
          <w:sz w:val="24"/>
          <w:szCs w:val="24"/>
        </w:rPr>
      </w:r>
      <w:r>
        <w:rPr>
          <w:sz w:val="24"/>
          <w:szCs w:val="24"/>
        </w:rPr>
      </w:r>
    </w:p>
    <w:p>
      <w:pPr>
        <w:ind w:left="5528" w:right="0" w:firstLine="0"/>
        <w:jc w:val="both"/>
        <w:rPr>
          <w:sz w:val="24"/>
          <w:szCs w:val="24"/>
        </w:rPr>
      </w:pPr>
      <w:r>
        <w:rPr>
          <w:sz w:val="24"/>
          <w:szCs w:val="24"/>
        </w:rPr>
        <w:t xml:space="preserve">Приложение № 16.</w:t>
      </w:r>
      <w:r>
        <w:rPr>
          <w:sz w:val="24"/>
          <w:szCs w:val="24"/>
        </w:rPr>
      </w:r>
      <w:r>
        <w:rPr>
          <w:sz w:val="24"/>
          <w:szCs w:val="24"/>
        </w:rPr>
      </w:r>
    </w:p>
    <w:p>
      <w:pPr>
        <w:ind w:left="5528" w:right="0" w:firstLine="0"/>
        <w:jc w:val="both"/>
        <w:rPr>
          <w:sz w:val="24"/>
          <w:szCs w:val="24"/>
        </w:rPr>
      </w:pPr>
      <w:r>
        <w:rPr>
          <w:sz w:val="24"/>
          <w:szCs w:val="24"/>
        </w:rPr>
        <w:t xml:space="preserve">к Концессионному соглашению</w:t>
      </w:r>
      <w:r>
        <w:rPr>
          <w:sz w:val="24"/>
          <w:szCs w:val="24"/>
        </w:rPr>
      </w:r>
      <w:r>
        <w:rPr>
          <w:sz w:val="24"/>
          <w:szCs w:val="24"/>
        </w:rPr>
      </w:r>
    </w:p>
    <w:p>
      <w:pPr>
        <w:ind w:left="5528" w:right="0" w:firstLine="0"/>
        <w:jc w:val="both"/>
        <w:rPr>
          <w:sz w:val="24"/>
          <w:szCs w:val="24"/>
        </w:rPr>
      </w:pPr>
      <w:r>
        <w:rPr>
          <w:sz w:val="24"/>
          <w:szCs w:val="24"/>
        </w:rPr>
        <w:t xml:space="preserve">от «__»______ 2024 года №_____</w:t>
      </w:r>
      <w:r>
        <w:rPr>
          <w:sz w:val="24"/>
          <w:szCs w:val="24"/>
        </w:rPr>
      </w:r>
      <w:r>
        <w:rPr>
          <w:sz w:val="24"/>
          <w:szCs w:val="24"/>
        </w:rPr>
      </w:r>
    </w:p>
    <w:p>
      <w:pPr>
        <w:ind w:left="5528" w:right="0" w:firstLine="0"/>
        <w:jc w:val="both"/>
        <w:rPr>
          <w:b/>
          <w:sz w:val="24"/>
          <w:szCs w:val="24"/>
        </w:rPr>
      </w:pPr>
      <w:r>
        <w:rPr>
          <w:b/>
          <w:sz w:val="24"/>
          <w:szCs w:val="24"/>
        </w:rPr>
      </w:r>
      <w:r>
        <w:rPr>
          <w:b/>
          <w:sz w:val="24"/>
          <w:szCs w:val="24"/>
        </w:rPr>
      </w:r>
      <w:r>
        <w:rPr>
          <w:b/>
          <w:sz w:val="24"/>
          <w:szCs w:val="24"/>
        </w:rPr>
      </w:r>
    </w:p>
    <w:p>
      <w:pPr>
        <w:ind w:firstLine="680"/>
        <w:jc w:val="both"/>
        <w:rPr>
          <w:b/>
          <w:sz w:val="24"/>
          <w:szCs w:val="24"/>
        </w:rPr>
      </w:pPr>
      <w:r>
        <w:rPr>
          <w:b/>
          <w:sz w:val="24"/>
          <w:szCs w:val="24"/>
        </w:rPr>
      </w:r>
      <w:r>
        <w:rPr>
          <w:b/>
          <w:sz w:val="24"/>
          <w:szCs w:val="24"/>
        </w:rPr>
      </w:r>
      <w:r>
        <w:rPr>
          <w:b/>
          <w:sz w:val="24"/>
          <w:szCs w:val="24"/>
        </w:rPr>
      </w:r>
    </w:p>
    <w:p>
      <w:pPr>
        <w:ind w:firstLine="680"/>
        <w:jc w:val="center"/>
        <w:rPr>
          <w:b/>
          <w:sz w:val="24"/>
          <w:szCs w:val="24"/>
        </w:rPr>
      </w:pPr>
      <w:r>
        <w:rPr>
          <w:b/>
          <w:sz w:val="24"/>
          <w:szCs w:val="24"/>
        </w:rPr>
        <w:t xml:space="preserve">Сведения о составе иного </w:t>
      </w:r>
      <w:r>
        <w:rPr>
          <w:b/>
          <w:sz w:val="24"/>
          <w:szCs w:val="24"/>
        </w:rPr>
        <w:t xml:space="preserve">имущества, передаваемого по</w:t>
      </w:r>
      <w:r>
        <w:rPr>
          <w:b/>
          <w:sz w:val="24"/>
          <w:szCs w:val="24"/>
        </w:rPr>
        <w:t xml:space="preserve"> Соглашению</w:t>
      </w:r>
      <w:r>
        <w:rPr>
          <w:b/>
          <w:sz w:val="24"/>
          <w:szCs w:val="24"/>
        </w:rPr>
      </w:r>
      <w:r>
        <w:rPr>
          <w:b/>
          <w:sz w:val="24"/>
          <w:szCs w:val="24"/>
        </w:rPr>
      </w:r>
    </w:p>
    <w:p>
      <w:pPr>
        <w:ind w:firstLine="680"/>
        <w:jc w:val="both"/>
        <w:rPr>
          <w:b/>
          <w:sz w:val="24"/>
          <w:szCs w:val="24"/>
        </w:rPr>
      </w:pPr>
      <w:r>
        <w:rPr>
          <w:b/>
          <w:sz w:val="24"/>
          <w:szCs w:val="24"/>
        </w:rPr>
      </w:r>
      <w:r>
        <w:rPr>
          <w:b/>
          <w:sz w:val="24"/>
          <w:szCs w:val="24"/>
        </w:rPr>
      </w:r>
      <w:r>
        <w:rPr>
          <w:b/>
          <w:sz w:val="24"/>
          <w:szCs w:val="24"/>
        </w:rPr>
      </w:r>
    </w:p>
    <w:tbl>
      <w:tblPr>
        <w:tblpPr w:horzAnchor="text" w:tblpXSpec="left" w:vertAnchor="text" w:tblpY="1" w:leftFromText="180" w:topFromText="0" w:rightFromText="180" w:bottomFromText="0"/>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2"/>
        <w:gridCol w:w="3919"/>
        <w:gridCol w:w="2943"/>
        <w:gridCol w:w="1891"/>
      </w:tblGrid>
      <w:tr>
        <w:tblPrEx/>
        <w:trPr>
          <w:trHeight w:val="606"/>
        </w:trPr>
        <w:tc>
          <w:tcPr>
            <w:tcW w:w="426" w:type="pct"/>
            <w:vAlign w:val="center"/>
            <w:textDirection w:val="lrTb"/>
            <w:noWrap w:val="false"/>
          </w:tcPr>
          <w:p>
            <w:pPr>
              <w:jc w:val="both"/>
              <w:rPr>
                <w:sz w:val="20"/>
                <w:szCs w:val="20"/>
              </w:rPr>
            </w:pPr>
            <w:r>
              <w:rPr>
                <w:sz w:val="22"/>
                <w:szCs w:val="22"/>
              </w:rPr>
              <w:t xml:space="preserve">№ п/п</w:t>
            </w:r>
            <w:r>
              <w:rPr>
                <w:sz w:val="20"/>
                <w:szCs w:val="20"/>
              </w:rPr>
            </w:r>
            <w:r>
              <w:rPr>
                <w:sz w:val="20"/>
                <w:szCs w:val="20"/>
              </w:rPr>
            </w:r>
          </w:p>
        </w:tc>
        <w:tc>
          <w:tcPr>
            <w:tcW w:w="3935" w:type="dxa"/>
            <w:textDirection w:val="lrTb"/>
            <w:noWrap w:val="false"/>
          </w:tcPr>
          <w:p>
            <w:pPr>
              <w:jc w:val="both"/>
              <w:rPr>
                <w:sz w:val="20"/>
                <w:szCs w:val="20"/>
              </w:rPr>
            </w:pPr>
            <w:r>
              <w:rPr>
                <w:sz w:val="22"/>
                <w:szCs w:val="22"/>
              </w:rPr>
              <w:t xml:space="preserve">Наименование объекта</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Индивидуализирующие характеристики </w:t>
            </w:r>
            <w:r>
              <w:rPr>
                <w:sz w:val="20"/>
                <w:szCs w:val="20"/>
              </w:rPr>
            </w:r>
            <w:r>
              <w:rPr>
                <w:sz w:val="20"/>
                <w:szCs w:val="20"/>
              </w:rPr>
            </w:r>
          </w:p>
          <w:p>
            <w:pPr>
              <w:jc w:val="both"/>
              <w:rPr>
                <w:sz w:val="20"/>
                <w:szCs w:val="20"/>
              </w:rPr>
            </w:pPr>
            <w:r>
              <w:rPr>
                <w:sz w:val="22"/>
                <w:szCs w:val="22"/>
              </w:rPr>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Ввод в эксплуатацию</w:t>
            </w:r>
            <w:r>
              <w:rPr>
                <w:sz w:val="20"/>
                <w:szCs w:val="20"/>
              </w:rPr>
            </w:r>
            <w:r>
              <w:rPr>
                <w:sz w:val="20"/>
                <w:szCs w:val="20"/>
              </w:rPr>
            </w:r>
          </w:p>
          <w:p>
            <w:pPr>
              <w:jc w:val="both"/>
              <w:rPr>
                <w:sz w:val="20"/>
                <w:szCs w:val="20"/>
              </w:rPr>
            </w:pPr>
            <w:r>
              <w:rPr>
                <w:sz w:val="22"/>
                <w:szCs w:val="22"/>
              </w:rPr>
            </w:r>
            <w:r>
              <w:rPr>
                <w:sz w:val="20"/>
                <w:szCs w:val="20"/>
              </w:rPr>
            </w:r>
            <w:r>
              <w:rPr>
                <w:sz w:val="20"/>
                <w:szCs w:val="20"/>
              </w:rPr>
            </w:r>
          </w:p>
        </w:tc>
      </w:tr>
      <w:tr>
        <w:tblPrEx/>
        <w:trPr>
          <w:trHeight w:val="606"/>
        </w:trPr>
        <w:tc>
          <w:tcPr>
            <w:tcW w:w="426" w:type="pct"/>
            <w:vAlign w:val="center"/>
            <w:textDirection w:val="lrTb"/>
            <w:noWrap w:val="false"/>
          </w:tcPr>
          <w:p>
            <w:pPr>
              <w:jc w:val="both"/>
              <w:rPr>
                <w:sz w:val="20"/>
                <w:szCs w:val="20"/>
              </w:rPr>
            </w:pPr>
            <w:r>
              <w:rPr>
                <w:sz w:val="22"/>
                <w:szCs w:val="22"/>
              </w:rPr>
            </w:r>
            <w:r>
              <w:rPr>
                <w:sz w:val="20"/>
                <w:szCs w:val="20"/>
              </w:rPr>
            </w:r>
            <w:r>
              <w:rPr>
                <w:sz w:val="20"/>
                <w:szCs w:val="20"/>
              </w:rPr>
            </w:r>
          </w:p>
        </w:tc>
        <w:tc>
          <w:tcPr>
            <w:gridSpan w:val="3"/>
            <w:tcW w:w="8754" w:type="dxa"/>
            <w:textDirection w:val="lrTb"/>
            <w:noWrap w:val="false"/>
          </w:tcPr>
          <w:p>
            <w:pPr>
              <w:jc w:val="both"/>
              <w:rPr>
                <w:b/>
                <w:sz w:val="20"/>
                <w:szCs w:val="20"/>
              </w:rPr>
            </w:pPr>
            <w:r>
              <w:rPr>
                <w:b/>
                <w:sz w:val="22"/>
                <w:szCs w:val="22"/>
              </w:rPr>
              <w:t xml:space="preserve">Мурманская область, Печенгский муниципальный округ, п.г.т. Печенга, ул. Стадионная, котельная № 13/73.</w:t>
            </w:r>
            <w:r>
              <w:rPr>
                <w:b/>
                <w:sz w:val="20"/>
                <w:szCs w:val="20"/>
              </w:rPr>
            </w:r>
            <w:r>
              <w:rPr>
                <w:b/>
                <w:sz w:val="20"/>
                <w:szCs w:val="20"/>
              </w:rPr>
            </w:r>
          </w:p>
        </w:tc>
      </w:tr>
      <w:tr>
        <w:tblPrEx/>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Котел водогрейный КВМ-1,0 ст. № 1</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Установленная мощность </w:t>
            </w:r>
            <w:r>
              <w:rPr>
                <w:sz w:val="20"/>
                <w:szCs w:val="20"/>
              </w:rPr>
            </w:r>
            <w:r>
              <w:rPr>
                <w:sz w:val="20"/>
                <w:szCs w:val="20"/>
              </w:rPr>
            </w:r>
          </w:p>
          <w:p>
            <w:pPr>
              <w:jc w:val="both"/>
              <w:rPr>
                <w:sz w:val="20"/>
                <w:szCs w:val="20"/>
              </w:rPr>
            </w:pPr>
            <w:r>
              <w:rPr>
                <w:sz w:val="22"/>
                <w:szCs w:val="22"/>
              </w:rPr>
              <w:t xml:space="preserve">0,86  Гкал/ч</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2008 год</w:t>
            </w:r>
            <w:r>
              <w:rPr>
                <w:sz w:val="20"/>
                <w:szCs w:val="20"/>
              </w:rPr>
            </w:r>
            <w:r>
              <w:rPr>
                <w:sz w:val="20"/>
                <w:szCs w:val="20"/>
              </w:rPr>
            </w:r>
          </w:p>
        </w:tc>
      </w:tr>
      <w:tr>
        <w:tblPrEx/>
        <w:trPr>
          <w:trHeight w:val="70"/>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Котел водогрейный КВМ-1,0 ст. № 2</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Установленная мощность </w:t>
            </w:r>
            <w:r>
              <w:rPr>
                <w:sz w:val="20"/>
                <w:szCs w:val="20"/>
              </w:rPr>
            </w:r>
            <w:r>
              <w:rPr>
                <w:sz w:val="20"/>
                <w:szCs w:val="20"/>
              </w:rPr>
            </w:r>
          </w:p>
          <w:p>
            <w:pPr>
              <w:jc w:val="both"/>
              <w:rPr>
                <w:sz w:val="20"/>
                <w:szCs w:val="20"/>
              </w:rPr>
            </w:pPr>
            <w:r>
              <w:rPr>
                <w:sz w:val="22"/>
                <w:szCs w:val="22"/>
              </w:rPr>
              <w:t xml:space="preserve">0,86  Гкал/ч</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2008 год</w:t>
            </w:r>
            <w:r>
              <w:rPr>
                <w:sz w:val="20"/>
                <w:szCs w:val="20"/>
              </w:rPr>
            </w:r>
            <w:r>
              <w:rPr>
                <w:sz w:val="20"/>
                <w:szCs w:val="20"/>
              </w:rPr>
            </w:r>
          </w:p>
        </w:tc>
      </w:tr>
      <w:tr>
        <w:tblPrEx/>
        <w:trPr>
          <w:trHeight w:val="70"/>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Котел водогрейный КВМ-1,0 ст. № 3</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Установленная мощность </w:t>
            </w:r>
            <w:r>
              <w:rPr>
                <w:sz w:val="20"/>
                <w:szCs w:val="20"/>
              </w:rPr>
            </w:r>
            <w:r>
              <w:rPr>
                <w:sz w:val="20"/>
                <w:szCs w:val="20"/>
              </w:rPr>
            </w:r>
          </w:p>
          <w:p>
            <w:pPr>
              <w:jc w:val="both"/>
              <w:rPr>
                <w:sz w:val="20"/>
                <w:szCs w:val="20"/>
              </w:rPr>
            </w:pPr>
            <w:r>
              <w:rPr>
                <w:sz w:val="22"/>
                <w:szCs w:val="22"/>
              </w:rPr>
              <w:t xml:space="preserve">0,86  Гкал/ч</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2008 год</w:t>
            </w:r>
            <w:r>
              <w:rPr>
                <w:sz w:val="20"/>
                <w:szCs w:val="20"/>
              </w:rPr>
            </w:r>
            <w:r>
              <w:rPr>
                <w:sz w:val="20"/>
                <w:szCs w:val="20"/>
              </w:rPr>
            </w:r>
          </w:p>
        </w:tc>
      </w:tr>
      <w:tr>
        <w:tblPrEx/>
        <w:trPr>
          <w:trHeight w:val="70"/>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Котел водогрейный КВМ-1,0 ст. № 4</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Установленная мощность </w:t>
            </w:r>
            <w:r>
              <w:rPr>
                <w:sz w:val="20"/>
                <w:szCs w:val="20"/>
              </w:rPr>
            </w:r>
            <w:r>
              <w:rPr>
                <w:sz w:val="20"/>
                <w:szCs w:val="20"/>
              </w:rPr>
            </w:r>
          </w:p>
          <w:p>
            <w:pPr>
              <w:jc w:val="both"/>
              <w:rPr>
                <w:sz w:val="20"/>
                <w:szCs w:val="20"/>
              </w:rPr>
            </w:pPr>
            <w:r>
              <w:rPr>
                <w:sz w:val="22"/>
                <w:szCs w:val="22"/>
              </w:rPr>
              <w:t xml:space="preserve">0,86  Гкал/ч</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2008 год</w:t>
            </w:r>
            <w:r>
              <w:rPr>
                <w:sz w:val="20"/>
                <w:szCs w:val="20"/>
              </w:rPr>
            </w:r>
            <w:r>
              <w:rPr>
                <w:sz w:val="20"/>
                <w:szCs w:val="20"/>
              </w:rPr>
            </w:r>
          </w:p>
        </w:tc>
      </w:tr>
      <w:tr>
        <w:tblPrEx/>
        <w:trPr>
          <w:trHeight w:val="70"/>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Котел водогрейный КВМ-1,0 ст. № 5</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Установленная мощность </w:t>
            </w:r>
            <w:r>
              <w:rPr>
                <w:sz w:val="20"/>
                <w:szCs w:val="20"/>
              </w:rPr>
            </w:r>
            <w:r>
              <w:rPr>
                <w:sz w:val="20"/>
                <w:szCs w:val="20"/>
              </w:rPr>
            </w:r>
          </w:p>
          <w:p>
            <w:pPr>
              <w:jc w:val="both"/>
              <w:rPr>
                <w:sz w:val="20"/>
                <w:szCs w:val="20"/>
              </w:rPr>
            </w:pPr>
            <w:r>
              <w:rPr>
                <w:sz w:val="22"/>
                <w:szCs w:val="22"/>
              </w:rPr>
              <w:t xml:space="preserve">0,86  Гкал/ч</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2008 год</w:t>
            </w:r>
            <w:r>
              <w:rPr>
                <w:sz w:val="20"/>
                <w:szCs w:val="20"/>
              </w:rPr>
            </w:r>
            <w:r>
              <w:rPr>
                <w:sz w:val="20"/>
                <w:szCs w:val="20"/>
              </w:rPr>
            </w:r>
          </w:p>
        </w:tc>
      </w:tr>
      <w:tr>
        <w:tblPrEx/>
        <w:trPr>
          <w:trHeight w:val="70"/>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Котел водогрейный ЖК-1,0, ст. № 6</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Установленная мощность </w:t>
            </w:r>
            <w:r>
              <w:rPr>
                <w:sz w:val="20"/>
                <w:szCs w:val="20"/>
              </w:rPr>
            </w:r>
            <w:r>
              <w:rPr>
                <w:sz w:val="20"/>
                <w:szCs w:val="20"/>
              </w:rPr>
            </w:r>
          </w:p>
          <w:p>
            <w:pPr>
              <w:jc w:val="both"/>
              <w:rPr>
                <w:sz w:val="20"/>
                <w:szCs w:val="20"/>
              </w:rPr>
            </w:pPr>
            <w:r>
              <w:rPr>
                <w:sz w:val="22"/>
                <w:szCs w:val="22"/>
              </w:rPr>
              <w:t xml:space="preserve">0,86  Гкал/ч</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2008 год</w:t>
            </w:r>
            <w:r>
              <w:rPr>
                <w:sz w:val="20"/>
                <w:szCs w:val="20"/>
              </w:rPr>
            </w:r>
            <w:r>
              <w:rPr>
                <w:sz w:val="20"/>
                <w:szCs w:val="20"/>
              </w:rPr>
            </w:r>
          </w:p>
        </w:tc>
      </w:tr>
      <w:tr>
        <w:tblPrEx/>
        <w:trPr>
          <w:trHeight w:val="70"/>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Металлическая дымовая труба.</w:t>
            </w:r>
            <w:r>
              <w:rPr>
                <w:sz w:val="20"/>
                <w:szCs w:val="20"/>
              </w:rPr>
            </w:r>
            <w:r>
              <w:rPr>
                <w:sz w:val="20"/>
                <w:szCs w:val="20"/>
              </w:rPr>
            </w:r>
          </w:p>
        </w:tc>
        <w:tc>
          <w:tcPr>
            <w:tcW w:w="1544" w:type="pct"/>
            <w:textDirection w:val="lrTb"/>
            <w:noWrap w:val="false"/>
          </w:tcPr>
          <w:p>
            <w:pPr>
              <w:jc w:val="both"/>
              <w:rPr>
                <w:sz w:val="20"/>
                <w:szCs w:val="20"/>
              </w:rPr>
            </w:pPr>
            <w:r>
              <w:rPr>
                <w:sz w:val="22"/>
                <w:szCs w:val="22"/>
                <w:lang w:val="en-US"/>
              </w:rPr>
              <w:t xml:space="preserve">D</w:t>
            </w:r>
            <w:r>
              <w:rPr>
                <w:sz w:val="22"/>
                <w:szCs w:val="22"/>
              </w:rPr>
              <w:t xml:space="preserve">=0,79 м. </w:t>
            </w:r>
            <w:r>
              <w:rPr>
                <w:sz w:val="22"/>
                <w:szCs w:val="22"/>
                <w:lang w:val="en-US"/>
              </w:rPr>
              <w:t xml:space="preserve">H</w:t>
            </w:r>
            <w:r>
              <w:rPr>
                <w:sz w:val="22"/>
                <w:szCs w:val="22"/>
              </w:rPr>
              <w:t xml:space="preserve">=20 м.</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н/д</w:t>
            </w:r>
            <w:r>
              <w:rPr>
                <w:sz w:val="20"/>
                <w:szCs w:val="20"/>
              </w:rPr>
            </w:r>
            <w:r>
              <w:rPr>
                <w:sz w:val="20"/>
                <w:szCs w:val="20"/>
              </w:rPr>
            </w:r>
          </w:p>
        </w:tc>
      </w:tr>
      <w:tr>
        <w:tblPrEx/>
        <w:trPr>
          <w:trHeight w:val="555"/>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Газоход.</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н/д</w:t>
            </w:r>
            <w:r>
              <w:rPr>
                <w:sz w:val="20"/>
                <w:szCs w:val="20"/>
              </w:rPr>
            </w:r>
            <w:r>
              <w:rPr>
                <w:sz w:val="20"/>
                <w:szCs w:val="20"/>
              </w:rPr>
            </w:r>
          </w:p>
        </w:tc>
      </w:tr>
      <w:tr>
        <w:tblPrEx/>
        <w:trPr>
          <w:trHeight w:val="70"/>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Насос ЦО № 1 К150/125-315.</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Производительность 200 куб.м./ч.</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2008 год</w:t>
            </w:r>
            <w:r>
              <w:rPr>
                <w:sz w:val="20"/>
                <w:szCs w:val="20"/>
              </w:rPr>
            </w:r>
            <w:r>
              <w:rPr>
                <w:sz w:val="20"/>
                <w:szCs w:val="20"/>
              </w:rPr>
            </w:r>
          </w:p>
        </w:tc>
      </w:tr>
      <w:tr>
        <w:tblPrEx/>
        <w:trPr>
          <w:trHeight w:val="70"/>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Насос ЦО № 2 К150/125-315.</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Производительность 200 куб.м./ч.</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2008 год</w:t>
            </w:r>
            <w:r>
              <w:rPr>
                <w:sz w:val="20"/>
                <w:szCs w:val="20"/>
              </w:rPr>
            </w:r>
            <w:r>
              <w:rPr>
                <w:sz w:val="20"/>
                <w:szCs w:val="20"/>
              </w:rPr>
            </w:r>
          </w:p>
        </w:tc>
      </w:tr>
      <w:tr>
        <w:tblPrEx/>
        <w:trPr>
          <w:trHeight w:val="70"/>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Насос ГВС № 3 К 100-65-250 УЗ1.</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Производительность 100 куб.м./ч.</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2015 год</w:t>
            </w:r>
            <w:r>
              <w:rPr>
                <w:sz w:val="20"/>
                <w:szCs w:val="20"/>
              </w:rPr>
            </w:r>
            <w:r>
              <w:rPr>
                <w:sz w:val="20"/>
                <w:szCs w:val="20"/>
              </w:rPr>
            </w:r>
          </w:p>
        </w:tc>
      </w:tr>
      <w:tr>
        <w:tblPrEx/>
        <w:trPr>
          <w:trHeight w:val="70"/>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Насос ГВС № 4 К 80-50-200 </w:t>
            </w:r>
            <w:r>
              <w:rPr>
                <w:sz w:val="22"/>
                <w:szCs w:val="22"/>
                <w:lang w:val="en-US"/>
              </w:rPr>
              <w:t xml:space="preserve">CV</w:t>
            </w:r>
            <w:r>
              <w:rPr>
                <w:sz w:val="22"/>
                <w:szCs w:val="22"/>
              </w:rPr>
              <w:t xml:space="preserve">.</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Производительность 50 куб.м./ч.</w:t>
            </w:r>
            <w:r>
              <w:rPr>
                <w:sz w:val="20"/>
                <w:szCs w:val="20"/>
              </w:rPr>
            </w:r>
            <w:r>
              <w:rPr>
                <w:sz w:val="20"/>
                <w:szCs w:val="20"/>
              </w:rPr>
            </w:r>
          </w:p>
        </w:tc>
        <w:tc>
          <w:tcPr>
            <w:tcW w:w="1891" w:type="dxa"/>
            <w:textDirection w:val="lrTb"/>
            <w:noWrap w:val="false"/>
          </w:tcPr>
          <w:p>
            <w:pPr>
              <w:jc w:val="both"/>
              <w:rPr>
                <w:sz w:val="20"/>
                <w:szCs w:val="20"/>
              </w:rPr>
            </w:pPr>
            <w:r>
              <w:rPr>
                <w:sz w:val="22"/>
                <w:szCs w:val="22"/>
              </w:rPr>
            </w:r>
            <w:r>
              <w:rPr>
                <w:sz w:val="20"/>
                <w:szCs w:val="20"/>
              </w:rPr>
            </w:r>
            <w:r>
              <w:rPr>
                <w:sz w:val="20"/>
                <w:szCs w:val="20"/>
              </w:rPr>
            </w:r>
          </w:p>
          <w:p>
            <w:pPr>
              <w:jc w:val="both"/>
              <w:rPr>
                <w:sz w:val="20"/>
                <w:szCs w:val="20"/>
              </w:rPr>
            </w:pPr>
            <w:r>
              <w:rPr>
                <w:sz w:val="22"/>
                <w:szCs w:val="22"/>
              </w:rPr>
              <w:t xml:space="preserve">2020 год</w:t>
            </w:r>
            <w:r>
              <w:rPr>
                <w:sz w:val="20"/>
                <w:szCs w:val="20"/>
              </w:rPr>
            </w:r>
            <w:r>
              <w:rPr>
                <w:sz w:val="20"/>
                <w:szCs w:val="20"/>
              </w:rPr>
            </w:r>
          </w:p>
        </w:tc>
      </w:tr>
      <w:tr>
        <w:tblPrEx/>
        <w:trPr>
          <w:trHeight w:val="70"/>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Насос циркуляционный контура шурующей планки № 5 </w:t>
            </w:r>
            <w:r>
              <w:rPr>
                <w:sz w:val="22"/>
                <w:szCs w:val="22"/>
                <w:lang w:val="en-US"/>
              </w:rPr>
              <w:t xml:space="preserve">DPL</w:t>
            </w:r>
            <w:r>
              <w:rPr>
                <w:sz w:val="22"/>
                <w:szCs w:val="22"/>
              </w:rPr>
              <w:t xml:space="preserve"> 50/150-4/25.</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Производительность 25 куб.м./ч.</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2008 год</w:t>
            </w:r>
            <w:r>
              <w:rPr>
                <w:sz w:val="20"/>
                <w:szCs w:val="20"/>
              </w:rPr>
            </w:r>
            <w:r>
              <w:rPr>
                <w:sz w:val="20"/>
                <w:szCs w:val="20"/>
              </w:rPr>
            </w:r>
          </w:p>
        </w:tc>
      </w:tr>
      <w:tr>
        <w:tblPrEx/>
        <w:trPr>
          <w:trHeight w:val="70"/>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Насос циркуляционный контура шурующей планки № 6 </w:t>
            </w:r>
            <w:r>
              <w:rPr>
                <w:sz w:val="22"/>
                <w:szCs w:val="22"/>
                <w:lang w:val="en-US"/>
              </w:rPr>
              <w:t xml:space="preserve">DPL</w:t>
            </w:r>
            <w:r>
              <w:rPr>
                <w:sz w:val="22"/>
                <w:szCs w:val="22"/>
              </w:rPr>
              <w:t xml:space="preserve"> 50/150-4/25.</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Производительность 25 куб.м./ч.</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2008 год</w:t>
            </w:r>
            <w:r>
              <w:rPr>
                <w:sz w:val="20"/>
                <w:szCs w:val="20"/>
              </w:rPr>
            </w:r>
            <w:r>
              <w:rPr>
                <w:sz w:val="20"/>
                <w:szCs w:val="20"/>
              </w:rPr>
            </w:r>
          </w:p>
        </w:tc>
      </w:tr>
      <w:tr>
        <w:tblPrEx/>
        <w:trPr>
          <w:trHeight w:val="70"/>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Насос циркуляционный котлового контура № 7 </w:t>
            </w:r>
            <w:r>
              <w:rPr>
                <w:sz w:val="22"/>
                <w:szCs w:val="22"/>
                <w:lang w:val="en-US"/>
              </w:rPr>
              <w:t xml:space="preserve">II</w:t>
            </w:r>
            <w:r>
              <w:rPr>
                <w:sz w:val="22"/>
                <w:szCs w:val="22"/>
              </w:rPr>
              <w:t xml:space="preserve">.125/250-11/4.</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Производительность 200 куб.м./ч.</w:t>
            </w:r>
            <w:r>
              <w:rPr>
                <w:sz w:val="20"/>
                <w:szCs w:val="20"/>
              </w:rPr>
            </w:r>
            <w:r>
              <w:rPr>
                <w:sz w:val="20"/>
                <w:szCs w:val="20"/>
              </w:rPr>
            </w:r>
          </w:p>
          <w:p>
            <w:pPr>
              <w:jc w:val="both"/>
              <w:rPr>
                <w:sz w:val="20"/>
                <w:szCs w:val="20"/>
              </w:rPr>
            </w:pPr>
            <w:r>
              <w:rPr>
                <w:sz w:val="22"/>
                <w:szCs w:val="22"/>
              </w:rPr>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2008 год</w:t>
            </w:r>
            <w:r>
              <w:rPr>
                <w:sz w:val="20"/>
                <w:szCs w:val="20"/>
              </w:rPr>
            </w:r>
            <w:r>
              <w:rPr>
                <w:sz w:val="20"/>
                <w:szCs w:val="20"/>
              </w:rPr>
            </w:r>
          </w:p>
        </w:tc>
      </w:tr>
      <w:tr>
        <w:tblPrEx/>
        <w:trPr>
          <w:trHeight w:val="70"/>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Насос циркуляционный котлового контура № 8 </w:t>
            </w:r>
            <w:r>
              <w:rPr>
                <w:sz w:val="22"/>
                <w:szCs w:val="22"/>
                <w:lang w:val="en-US"/>
              </w:rPr>
              <w:t xml:space="preserve">II</w:t>
            </w:r>
            <w:r>
              <w:rPr>
                <w:sz w:val="22"/>
                <w:szCs w:val="22"/>
              </w:rPr>
              <w:t xml:space="preserve">.125/250-11/4.</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Производительность 200 куб.м./ч.</w:t>
            </w:r>
            <w:r>
              <w:rPr>
                <w:sz w:val="20"/>
                <w:szCs w:val="20"/>
              </w:rPr>
            </w:r>
            <w:r>
              <w:rPr>
                <w:sz w:val="20"/>
                <w:szCs w:val="20"/>
              </w:rPr>
            </w:r>
          </w:p>
          <w:p>
            <w:pPr>
              <w:jc w:val="both"/>
              <w:rPr>
                <w:sz w:val="20"/>
                <w:szCs w:val="20"/>
              </w:rPr>
            </w:pPr>
            <w:r>
              <w:rPr>
                <w:sz w:val="22"/>
                <w:szCs w:val="22"/>
              </w:rPr>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2008 год</w:t>
            </w:r>
            <w:r>
              <w:rPr>
                <w:sz w:val="20"/>
                <w:szCs w:val="20"/>
              </w:rPr>
            </w:r>
            <w:r>
              <w:rPr>
                <w:sz w:val="20"/>
                <w:szCs w:val="20"/>
              </w:rPr>
            </w:r>
          </w:p>
        </w:tc>
      </w:tr>
      <w:tr>
        <w:tblPrEx/>
        <w:trPr>
          <w:trHeight w:val="70"/>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Насос повышающий подпиточный № 9 </w:t>
            </w:r>
            <w:r>
              <w:rPr>
                <w:sz w:val="22"/>
                <w:szCs w:val="22"/>
                <w:lang w:val="en-US"/>
              </w:rPr>
              <w:t xml:space="preserve">Wilo</w:t>
            </w:r>
            <w:r>
              <w:rPr>
                <w:sz w:val="22"/>
                <w:szCs w:val="22"/>
              </w:rPr>
              <w:t xml:space="preserve">-</w:t>
            </w:r>
            <w:r>
              <w:rPr>
                <w:sz w:val="22"/>
                <w:szCs w:val="22"/>
                <w:lang w:val="en-US"/>
              </w:rPr>
              <w:t xml:space="preserve">multivert</w:t>
            </w:r>
            <w:r>
              <w:rPr>
                <w:sz w:val="22"/>
                <w:szCs w:val="22"/>
              </w:rPr>
              <w:t xml:space="preserve"> </w:t>
            </w:r>
            <w:r>
              <w:rPr>
                <w:sz w:val="22"/>
                <w:szCs w:val="22"/>
                <w:lang w:val="en-US"/>
              </w:rPr>
              <w:t xml:space="preserve">MV</w:t>
            </w:r>
            <w:r>
              <w:rPr>
                <w:sz w:val="22"/>
                <w:szCs w:val="22"/>
              </w:rPr>
              <w:t xml:space="preserve">11605/6-1/16/Е/3-400-50-2.</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Производительность 16 куб.м./ч.</w:t>
            </w:r>
            <w:r>
              <w:rPr>
                <w:sz w:val="20"/>
                <w:szCs w:val="20"/>
              </w:rPr>
            </w:r>
            <w:r>
              <w:rPr>
                <w:sz w:val="20"/>
                <w:szCs w:val="20"/>
              </w:rPr>
            </w:r>
          </w:p>
          <w:p>
            <w:pPr>
              <w:jc w:val="both"/>
              <w:rPr>
                <w:sz w:val="20"/>
                <w:szCs w:val="20"/>
              </w:rPr>
            </w:pPr>
            <w:r>
              <w:rPr>
                <w:sz w:val="22"/>
                <w:szCs w:val="22"/>
              </w:rPr>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2008 год</w:t>
            </w:r>
            <w:r>
              <w:rPr>
                <w:sz w:val="20"/>
                <w:szCs w:val="20"/>
              </w:rPr>
            </w:r>
            <w:r>
              <w:rPr>
                <w:sz w:val="20"/>
                <w:szCs w:val="20"/>
              </w:rPr>
            </w:r>
          </w:p>
        </w:tc>
      </w:tr>
      <w:tr>
        <w:tblPrEx/>
        <w:trPr>
          <w:trHeight w:val="70"/>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Теплообменный аппарат № 1.</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Модель ТТАИ 200/1850.</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2011 год.</w:t>
            </w:r>
            <w:r>
              <w:rPr>
                <w:sz w:val="20"/>
                <w:szCs w:val="20"/>
              </w:rPr>
            </w:r>
            <w:r>
              <w:rPr>
                <w:sz w:val="20"/>
                <w:szCs w:val="20"/>
              </w:rPr>
            </w:r>
          </w:p>
        </w:tc>
      </w:tr>
      <w:tr>
        <w:tblPrEx/>
        <w:trPr>
          <w:trHeight w:val="70"/>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Теплообменный аппарат № 2.</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Модель ТТАИ 200/1850</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2011 год.</w:t>
            </w:r>
            <w:r>
              <w:rPr>
                <w:sz w:val="20"/>
                <w:szCs w:val="20"/>
              </w:rPr>
            </w:r>
            <w:r>
              <w:rPr>
                <w:sz w:val="20"/>
                <w:szCs w:val="20"/>
              </w:rPr>
            </w:r>
          </w:p>
        </w:tc>
      </w:tr>
      <w:tr>
        <w:tblPrEx/>
        <w:trPr>
          <w:trHeight w:val="70"/>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Теплообменный аппарат № 3.</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Модель ТТАИ 200/1850</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2011 год.</w:t>
            </w:r>
            <w:r>
              <w:rPr>
                <w:sz w:val="20"/>
                <w:szCs w:val="20"/>
              </w:rPr>
            </w:r>
            <w:r>
              <w:rPr>
                <w:sz w:val="20"/>
                <w:szCs w:val="20"/>
              </w:rPr>
            </w:r>
          </w:p>
        </w:tc>
      </w:tr>
      <w:tr>
        <w:tblPrEx/>
        <w:trPr>
          <w:trHeight w:val="70"/>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Бункер угольный уличный.</w:t>
            </w:r>
            <w:r>
              <w:rPr>
                <w:sz w:val="20"/>
                <w:szCs w:val="20"/>
              </w:rPr>
            </w:r>
            <w:r>
              <w:rPr>
                <w:sz w:val="20"/>
                <w:szCs w:val="20"/>
              </w:rPr>
            </w:r>
          </w:p>
        </w:tc>
        <w:tc>
          <w:tcPr>
            <w:tcW w:w="1544" w:type="pct"/>
            <w:textDirection w:val="lrTb"/>
            <w:noWrap w:val="false"/>
          </w:tcPr>
          <w:p>
            <w:pPr>
              <w:jc w:val="both"/>
              <w:rPr>
                <w:sz w:val="20"/>
                <w:szCs w:val="20"/>
              </w:rPr>
            </w:pPr>
            <w:r>
              <w:rPr>
                <w:sz w:val="22"/>
                <w:szCs w:val="22"/>
              </w:rPr>
            </w:r>
            <w:r>
              <w:rPr>
                <w:sz w:val="20"/>
                <w:szCs w:val="20"/>
              </w:rPr>
            </w:r>
            <w:r>
              <w:rPr>
                <w:sz w:val="20"/>
                <w:szCs w:val="20"/>
              </w:rPr>
            </w:r>
          </w:p>
        </w:tc>
        <w:tc>
          <w:tcPr>
            <w:tcW w:w="1891" w:type="dxa"/>
            <w:textDirection w:val="lrTb"/>
            <w:noWrap w:val="false"/>
          </w:tcPr>
          <w:p>
            <w:pPr>
              <w:jc w:val="both"/>
              <w:rPr>
                <w:sz w:val="20"/>
                <w:szCs w:val="20"/>
              </w:rPr>
            </w:pPr>
            <w:r>
              <w:rPr>
                <w:sz w:val="22"/>
                <w:szCs w:val="22"/>
              </w:rPr>
            </w:r>
            <w:r>
              <w:rPr>
                <w:sz w:val="20"/>
                <w:szCs w:val="20"/>
              </w:rPr>
            </w:r>
            <w:r>
              <w:rPr>
                <w:sz w:val="20"/>
                <w:szCs w:val="20"/>
              </w:rPr>
            </w:r>
          </w:p>
        </w:tc>
      </w:tr>
      <w:tr>
        <w:tblPrEx/>
        <w:trPr>
          <w:trHeight w:val="70"/>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Транспортёр топливоподачи № 1.</w:t>
            </w:r>
            <w:r>
              <w:rPr>
                <w:sz w:val="20"/>
                <w:szCs w:val="20"/>
              </w:rPr>
            </w:r>
            <w:r>
              <w:rPr>
                <w:sz w:val="20"/>
                <w:szCs w:val="20"/>
              </w:rPr>
            </w:r>
          </w:p>
        </w:tc>
        <w:tc>
          <w:tcPr>
            <w:tcW w:w="1544" w:type="pct"/>
            <w:textDirection w:val="lrTb"/>
            <w:noWrap w:val="false"/>
          </w:tcPr>
          <w:p>
            <w:pPr>
              <w:jc w:val="both"/>
              <w:rPr>
                <w:sz w:val="20"/>
                <w:szCs w:val="20"/>
              </w:rPr>
            </w:pPr>
            <w:r>
              <w:rPr>
                <w:sz w:val="22"/>
                <w:szCs w:val="22"/>
              </w:rPr>
            </w:r>
            <w:r>
              <w:rPr>
                <w:sz w:val="20"/>
                <w:szCs w:val="20"/>
              </w:rPr>
            </w:r>
            <w:r>
              <w:rPr>
                <w:sz w:val="20"/>
                <w:szCs w:val="20"/>
              </w:rPr>
            </w:r>
          </w:p>
        </w:tc>
        <w:tc>
          <w:tcPr>
            <w:tcW w:w="1891" w:type="dxa"/>
            <w:textDirection w:val="lrTb"/>
            <w:noWrap w:val="false"/>
          </w:tcPr>
          <w:p>
            <w:pPr>
              <w:jc w:val="both"/>
              <w:rPr>
                <w:sz w:val="20"/>
                <w:szCs w:val="20"/>
              </w:rPr>
            </w:pPr>
            <w:r>
              <w:rPr>
                <w:sz w:val="22"/>
                <w:szCs w:val="22"/>
              </w:rPr>
            </w:r>
            <w:r>
              <w:rPr>
                <w:sz w:val="20"/>
                <w:szCs w:val="20"/>
              </w:rPr>
            </w:r>
            <w:r>
              <w:rPr>
                <w:sz w:val="20"/>
                <w:szCs w:val="20"/>
              </w:rPr>
            </w:r>
          </w:p>
        </w:tc>
      </w:tr>
      <w:tr>
        <w:tblPrEx/>
        <w:trPr>
          <w:trHeight w:val="70"/>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Транспортёр топливоподачи № 2.</w:t>
            </w:r>
            <w:r>
              <w:rPr>
                <w:sz w:val="20"/>
                <w:szCs w:val="20"/>
              </w:rPr>
            </w:r>
            <w:r>
              <w:rPr>
                <w:sz w:val="20"/>
                <w:szCs w:val="20"/>
              </w:rPr>
            </w:r>
          </w:p>
        </w:tc>
        <w:tc>
          <w:tcPr>
            <w:tcW w:w="1544" w:type="pct"/>
            <w:textDirection w:val="lrTb"/>
            <w:noWrap w:val="false"/>
          </w:tcPr>
          <w:p>
            <w:pPr>
              <w:jc w:val="both"/>
              <w:rPr>
                <w:sz w:val="20"/>
                <w:szCs w:val="20"/>
              </w:rPr>
            </w:pPr>
            <w:r>
              <w:rPr>
                <w:sz w:val="22"/>
                <w:szCs w:val="22"/>
              </w:rPr>
            </w:r>
            <w:r>
              <w:rPr>
                <w:sz w:val="20"/>
                <w:szCs w:val="20"/>
              </w:rPr>
            </w:r>
            <w:r>
              <w:rPr>
                <w:sz w:val="20"/>
                <w:szCs w:val="20"/>
              </w:rPr>
            </w:r>
          </w:p>
        </w:tc>
        <w:tc>
          <w:tcPr>
            <w:tcW w:w="1891" w:type="dxa"/>
            <w:textDirection w:val="lrTb"/>
            <w:noWrap w:val="false"/>
          </w:tcPr>
          <w:p>
            <w:pPr>
              <w:jc w:val="both"/>
              <w:rPr>
                <w:sz w:val="20"/>
                <w:szCs w:val="20"/>
              </w:rPr>
            </w:pPr>
            <w:r>
              <w:rPr>
                <w:sz w:val="22"/>
                <w:szCs w:val="22"/>
              </w:rPr>
            </w:r>
            <w:r>
              <w:rPr>
                <w:sz w:val="20"/>
                <w:szCs w:val="20"/>
              </w:rPr>
            </w:r>
            <w:r>
              <w:rPr>
                <w:sz w:val="20"/>
                <w:szCs w:val="20"/>
              </w:rPr>
            </w:r>
          </w:p>
        </w:tc>
      </w:tr>
      <w:tr>
        <w:tblPrEx/>
        <w:trPr>
          <w:trHeight w:val="70"/>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Дизель генераторная установка в капоте </w:t>
            </w:r>
            <w:r>
              <w:rPr>
                <w:sz w:val="22"/>
                <w:szCs w:val="22"/>
                <w:lang w:val="en-US"/>
              </w:rPr>
              <w:t xml:space="preserve">AJD</w:t>
            </w:r>
            <w:r>
              <w:rPr>
                <w:sz w:val="22"/>
                <w:szCs w:val="22"/>
              </w:rPr>
              <w:t xml:space="preserve">-132.</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96 кВт</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2008 год</w:t>
            </w:r>
            <w:r>
              <w:rPr>
                <w:sz w:val="20"/>
                <w:szCs w:val="20"/>
              </w:rPr>
            </w:r>
            <w:r>
              <w:rPr>
                <w:sz w:val="20"/>
                <w:szCs w:val="20"/>
              </w:rPr>
            </w:r>
          </w:p>
        </w:tc>
      </w:tr>
      <w:tr>
        <w:tblPrEx/>
        <w:trPr>
          <w:trHeight w:val="70"/>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gridSpan w:val="3"/>
            <w:tcW w:w="8754" w:type="dxa"/>
            <w:textDirection w:val="lrTb"/>
            <w:noWrap w:val="false"/>
          </w:tcPr>
          <w:p>
            <w:pPr>
              <w:jc w:val="both"/>
              <w:rPr>
                <w:b/>
                <w:sz w:val="20"/>
                <w:szCs w:val="20"/>
              </w:rPr>
            </w:pPr>
            <w:r>
              <w:rPr>
                <w:b/>
                <w:sz w:val="22"/>
                <w:szCs w:val="22"/>
              </w:rPr>
              <w:t xml:space="preserve">Мурманская область, Печенгский муниципальный округ, п.г.т. Печенга, Печенгское шоссе, котельная № 13/55.</w:t>
            </w:r>
            <w:r>
              <w:rPr>
                <w:b/>
                <w:sz w:val="20"/>
                <w:szCs w:val="20"/>
              </w:rPr>
            </w:r>
            <w:r>
              <w:rPr>
                <w:b/>
                <w:sz w:val="20"/>
                <w:szCs w:val="20"/>
              </w:rPr>
            </w:r>
          </w:p>
        </w:tc>
      </w:tr>
      <w:tr>
        <w:tblPrEx/>
        <w:trPr>
          <w:trHeight w:val="70"/>
        </w:trPr>
        <w:tc>
          <w:tcPr>
            <w:tcW w:w="426" w:type="pct"/>
            <w:vAlign w:val="center"/>
            <w:textDirection w:val="lrTb"/>
            <w:noWrap w:val="false"/>
          </w:tcPr>
          <w:p>
            <w:pPr>
              <w:pStyle w:val="943"/>
              <w:numPr>
                <w:ilvl w:val="0"/>
                <w:numId w:val="22"/>
              </w:numPr>
              <w:contextualSpacing w:val="0"/>
              <w:jc w:val="both"/>
              <w:widowControl w:val="off"/>
              <w:rPr>
                <w:sz w:val="20"/>
                <w:szCs w:val="20"/>
                <w:lang w:val="ru-RU" w:eastAsia="en-US"/>
              </w:rPr>
            </w:pPr>
            <w:r>
              <w:rPr>
                <w:sz w:val="22"/>
                <w:szCs w:val="22"/>
                <w:lang w:val="ru-RU" w:eastAsia="en-US"/>
              </w:rPr>
            </w:r>
            <w:r>
              <w:rPr>
                <w:sz w:val="20"/>
                <w:szCs w:val="20"/>
                <w:lang w:val="ru-RU" w:eastAsia="en-US"/>
              </w:rPr>
            </w:r>
            <w:r>
              <w:rPr>
                <w:sz w:val="20"/>
                <w:szCs w:val="20"/>
                <w:lang w:val="ru-RU" w:eastAsia="en-US"/>
              </w:rPr>
            </w:r>
          </w:p>
        </w:tc>
        <w:tc>
          <w:tcPr>
            <w:tcW w:w="3935" w:type="dxa"/>
            <w:textDirection w:val="lrTb"/>
            <w:noWrap w:val="false"/>
          </w:tcPr>
          <w:p>
            <w:pPr>
              <w:jc w:val="both"/>
              <w:rPr>
                <w:sz w:val="20"/>
                <w:szCs w:val="20"/>
              </w:rPr>
            </w:pPr>
            <w:r>
              <w:rPr>
                <w:sz w:val="22"/>
                <w:szCs w:val="22"/>
              </w:rPr>
              <w:t xml:space="preserve">Котел водогрейный КВр-1,5 ст. № 1.</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Установленная мощность </w:t>
            </w:r>
            <w:r>
              <w:rPr>
                <w:sz w:val="20"/>
                <w:szCs w:val="20"/>
              </w:rPr>
            </w:r>
            <w:r>
              <w:rPr>
                <w:sz w:val="20"/>
                <w:szCs w:val="20"/>
              </w:rPr>
            </w:r>
          </w:p>
          <w:p>
            <w:pPr>
              <w:jc w:val="both"/>
              <w:rPr>
                <w:sz w:val="20"/>
                <w:szCs w:val="20"/>
              </w:rPr>
            </w:pPr>
            <w:r>
              <w:rPr>
                <w:sz w:val="22"/>
                <w:szCs w:val="22"/>
              </w:rPr>
              <w:t xml:space="preserve">1,289  Гкал/ч</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2021 год</w:t>
            </w:r>
            <w:r>
              <w:rPr>
                <w:sz w:val="20"/>
                <w:szCs w:val="20"/>
              </w:rPr>
            </w:r>
            <w:r>
              <w:rPr>
                <w:sz w:val="20"/>
                <w:szCs w:val="20"/>
              </w:rPr>
            </w:r>
          </w:p>
        </w:tc>
      </w:tr>
      <w:tr>
        <w:tblPrEx/>
        <w:trPr>
          <w:trHeight w:val="70"/>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Котел водогрейный КВр-1,45 ст. № 2.</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Установленная мощность </w:t>
            </w:r>
            <w:r>
              <w:rPr>
                <w:sz w:val="20"/>
                <w:szCs w:val="20"/>
              </w:rPr>
            </w:r>
            <w:r>
              <w:rPr>
                <w:sz w:val="20"/>
                <w:szCs w:val="20"/>
              </w:rPr>
            </w:r>
          </w:p>
          <w:p>
            <w:pPr>
              <w:jc w:val="both"/>
              <w:rPr>
                <w:sz w:val="20"/>
                <w:szCs w:val="20"/>
              </w:rPr>
            </w:pPr>
            <w:r>
              <w:rPr>
                <w:sz w:val="22"/>
                <w:szCs w:val="22"/>
              </w:rPr>
              <w:t xml:space="preserve">1,25  Гкал/ч</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2013 год</w:t>
            </w:r>
            <w:r>
              <w:rPr>
                <w:sz w:val="20"/>
                <w:szCs w:val="20"/>
              </w:rPr>
            </w:r>
            <w:r>
              <w:rPr>
                <w:sz w:val="20"/>
                <w:szCs w:val="20"/>
              </w:rPr>
            </w:r>
          </w:p>
        </w:tc>
      </w:tr>
      <w:tr>
        <w:tblPrEx/>
        <w:trPr>
          <w:trHeight w:val="70"/>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Котел водогрейный КВр-1,5 ст. № 3.</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Установленная мощность </w:t>
            </w:r>
            <w:r>
              <w:rPr>
                <w:sz w:val="20"/>
                <w:szCs w:val="20"/>
              </w:rPr>
            </w:r>
            <w:r>
              <w:rPr>
                <w:sz w:val="20"/>
                <w:szCs w:val="20"/>
              </w:rPr>
            </w:r>
          </w:p>
          <w:p>
            <w:pPr>
              <w:jc w:val="both"/>
              <w:rPr>
                <w:sz w:val="20"/>
                <w:szCs w:val="20"/>
              </w:rPr>
            </w:pPr>
            <w:r>
              <w:rPr>
                <w:sz w:val="22"/>
                <w:szCs w:val="22"/>
              </w:rPr>
              <w:t xml:space="preserve">1,289  Гкал/ч</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2021 год</w:t>
            </w:r>
            <w:r>
              <w:rPr>
                <w:sz w:val="20"/>
                <w:szCs w:val="20"/>
              </w:rPr>
            </w:r>
            <w:r>
              <w:rPr>
                <w:sz w:val="20"/>
                <w:szCs w:val="20"/>
              </w:rPr>
            </w:r>
          </w:p>
        </w:tc>
      </w:tr>
      <w:tr>
        <w:tblPrEx/>
        <w:trPr>
          <w:trHeight w:val="70"/>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Котел водогрейный КВр-1,45 ст. № 4.</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Установленная мощность </w:t>
            </w:r>
            <w:r>
              <w:rPr>
                <w:sz w:val="20"/>
                <w:szCs w:val="20"/>
              </w:rPr>
            </w:r>
            <w:r>
              <w:rPr>
                <w:sz w:val="20"/>
                <w:szCs w:val="20"/>
              </w:rPr>
            </w:r>
          </w:p>
          <w:p>
            <w:pPr>
              <w:jc w:val="both"/>
              <w:rPr>
                <w:sz w:val="20"/>
                <w:szCs w:val="20"/>
              </w:rPr>
            </w:pPr>
            <w:r>
              <w:rPr>
                <w:sz w:val="22"/>
                <w:szCs w:val="22"/>
              </w:rPr>
              <w:t xml:space="preserve">1,25  Гкал/ч</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2013 год</w:t>
            </w:r>
            <w:r>
              <w:rPr>
                <w:sz w:val="20"/>
                <w:szCs w:val="20"/>
              </w:rPr>
            </w:r>
            <w:r>
              <w:rPr>
                <w:sz w:val="20"/>
                <w:szCs w:val="20"/>
              </w:rPr>
            </w:r>
          </w:p>
        </w:tc>
      </w:tr>
      <w:tr>
        <w:tblPrEx/>
        <w:trPr>
          <w:trHeight w:val="70"/>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Котел водогрейный КВр-1,0 ст. № 5.</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Установленная мощность </w:t>
            </w:r>
            <w:r>
              <w:rPr>
                <w:sz w:val="20"/>
                <w:szCs w:val="20"/>
              </w:rPr>
            </w:r>
            <w:r>
              <w:rPr>
                <w:sz w:val="20"/>
                <w:szCs w:val="20"/>
              </w:rPr>
            </w:r>
          </w:p>
          <w:p>
            <w:pPr>
              <w:jc w:val="both"/>
              <w:rPr>
                <w:sz w:val="20"/>
                <w:szCs w:val="20"/>
              </w:rPr>
            </w:pPr>
            <w:r>
              <w:rPr>
                <w:sz w:val="22"/>
                <w:szCs w:val="22"/>
              </w:rPr>
              <w:t xml:space="preserve">0,86  Гкал/ч</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2014 год</w:t>
            </w:r>
            <w:r>
              <w:rPr>
                <w:sz w:val="20"/>
                <w:szCs w:val="20"/>
              </w:rPr>
            </w:r>
            <w:r>
              <w:rPr>
                <w:sz w:val="20"/>
                <w:szCs w:val="20"/>
              </w:rPr>
            </w:r>
          </w:p>
        </w:tc>
      </w:tr>
      <w:tr>
        <w:tblPrEx/>
        <w:trPr>
          <w:trHeight w:val="70"/>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Насос сетевой  К – 160/30.</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Производительность </w:t>
            </w:r>
            <w:r>
              <w:rPr>
                <w:sz w:val="20"/>
                <w:szCs w:val="20"/>
              </w:rPr>
            </w:r>
            <w:r>
              <w:rPr>
                <w:sz w:val="20"/>
                <w:szCs w:val="20"/>
              </w:rPr>
            </w:r>
          </w:p>
          <w:p>
            <w:pPr>
              <w:jc w:val="both"/>
              <w:rPr>
                <w:sz w:val="20"/>
                <w:szCs w:val="20"/>
              </w:rPr>
            </w:pPr>
            <w:r>
              <w:rPr>
                <w:sz w:val="22"/>
                <w:szCs w:val="22"/>
              </w:rPr>
              <w:t xml:space="preserve">160 куб.м./ч.</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2014 год</w:t>
            </w:r>
            <w:r>
              <w:rPr>
                <w:sz w:val="20"/>
                <w:szCs w:val="20"/>
              </w:rPr>
            </w:r>
            <w:r>
              <w:rPr>
                <w:sz w:val="20"/>
                <w:szCs w:val="20"/>
              </w:rPr>
            </w:r>
          </w:p>
        </w:tc>
      </w:tr>
      <w:tr>
        <w:tblPrEx/>
        <w:trPr>
          <w:trHeight w:val="559"/>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Насос сетевой  К – 160/30.</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Производительность </w:t>
            </w:r>
            <w:r>
              <w:rPr>
                <w:sz w:val="20"/>
                <w:szCs w:val="20"/>
              </w:rPr>
            </w:r>
            <w:r>
              <w:rPr>
                <w:sz w:val="20"/>
                <w:szCs w:val="20"/>
              </w:rPr>
            </w:r>
          </w:p>
          <w:p>
            <w:pPr>
              <w:jc w:val="both"/>
              <w:rPr>
                <w:sz w:val="20"/>
                <w:szCs w:val="20"/>
              </w:rPr>
            </w:pPr>
            <w:r>
              <w:rPr>
                <w:sz w:val="22"/>
                <w:szCs w:val="22"/>
              </w:rPr>
              <w:t xml:space="preserve">160 куб.м./ч.</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2023 год.</w:t>
            </w:r>
            <w:r>
              <w:rPr>
                <w:sz w:val="20"/>
                <w:szCs w:val="20"/>
              </w:rPr>
            </w:r>
            <w:r>
              <w:rPr>
                <w:sz w:val="20"/>
                <w:szCs w:val="20"/>
              </w:rPr>
            </w:r>
          </w:p>
        </w:tc>
      </w:tr>
      <w:tr>
        <w:tblPrEx/>
        <w:trPr>
          <w:trHeight w:val="559"/>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Металлическая дымовая труба № 1.</w:t>
            </w:r>
            <w:r>
              <w:rPr>
                <w:sz w:val="20"/>
                <w:szCs w:val="20"/>
              </w:rPr>
            </w:r>
            <w:r>
              <w:rPr>
                <w:sz w:val="20"/>
                <w:szCs w:val="20"/>
              </w:rPr>
            </w:r>
          </w:p>
        </w:tc>
        <w:tc>
          <w:tcPr>
            <w:tcW w:w="1544" w:type="pct"/>
            <w:textDirection w:val="lrTb"/>
            <w:noWrap w:val="false"/>
          </w:tcPr>
          <w:p>
            <w:pPr>
              <w:jc w:val="both"/>
              <w:rPr>
                <w:sz w:val="20"/>
                <w:szCs w:val="20"/>
              </w:rPr>
            </w:pPr>
            <w:r>
              <w:rPr>
                <w:sz w:val="22"/>
                <w:szCs w:val="22"/>
                <w:lang w:val="en-US"/>
              </w:rPr>
              <w:t xml:space="preserve">D</w:t>
            </w:r>
            <w:r>
              <w:rPr>
                <w:sz w:val="22"/>
                <w:szCs w:val="22"/>
              </w:rPr>
              <w:t xml:space="preserve">=1,0 м. </w:t>
            </w:r>
            <w:r>
              <w:rPr>
                <w:sz w:val="22"/>
                <w:szCs w:val="22"/>
                <w:lang w:val="en-US"/>
              </w:rPr>
              <w:t xml:space="preserve">H</w:t>
            </w:r>
            <w:r>
              <w:rPr>
                <w:sz w:val="22"/>
                <w:szCs w:val="22"/>
              </w:rPr>
              <w:t xml:space="preserve">=22 м.</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2017 год.</w:t>
            </w:r>
            <w:r>
              <w:rPr>
                <w:sz w:val="20"/>
                <w:szCs w:val="20"/>
              </w:rPr>
            </w:r>
            <w:r>
              <w:rPr>
                <w:sz w:val="20"/>
                <w:szCs w:val="20"/>
              </w:rPr>
            </w:r>
          </w:p>
        </w:tc>
      </w:tr>
      <w:tr>
        <w:tblPrEx/>
        <w:trPr>
          <w:trHeight w:val="559"/>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gridSpan w:val="3"/>
            <w:tcW w:w="8754" w:type="dxa"/>
            <w:textDirection w:val="lrTb"/>
            <w:noWrap w:val="false"/>
          </w:tcPr>
          <w:p>
            <w:pPr>
              <w:jc w:val="both"/>
              <w:rPr>
                <w:sz w:val="20"/>
                <w:szCs w:val="20"/>
              </w:rPr>
            </w:pPr>
            <w:r>
              <w:rPr>
                <w:b/>
                <w:sz w:val="22"/>
                <w:szCs w:val="22"/>
              </w:rPr>
              <w:t xml:space="preserve">Мурманская область, Печенгский муниципальный округ, ж/д ст. Печенга, 19 км. котельная № 4/152.</w:t>
            </w:r>
            <w:r>
              <w:rPr>
                <w:sz w:val="20"/>
                <w:szCs w:val="20"/>
              </w:rPr>
            </w:r>
            <w:r>
              <w:rPr>
                <w:sz w:val="20"/>
                <w:szCs w:val="20"/>
              </w:rPr>
            </w:r>
          </w:p>
        </w:tc>
      </w:tr>
      <w:tr>
        <w:tblPrEx/>
        <w:trPr>
          <w:trHeight w:val="559"/>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Котел водогрейный КВМ-1,0 ст. № 1.</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Установленная мощность </w:t>
            </w:r>
            <w:r>
              <w:rPr>
                <w:sz w:val="20"/>
                <w:szCs w:val="20"/>
              </w:rPr>
            </w:r>
            <w:r>
              <w:rPr>
                <w:sz w:val="20"/>
                <w:szCs w:val="20"/>
              </w:rPr>
            </w:r>
          </w:p>
          <w:p>
            <w:pPr>
              <w:jc w:val="both"/>
              <w:rPr>
                <w:sz w:val="20"/>
                <w:szCs w:val="20"/>
              </w:rPr>
            </w:pPr>
            <w:r>
              <w:rPr>
                <w:sz w:val="22"/>
                <w:szCs w:val="22"/>
              </w:rPr>
              <w:t xml:space="preserve">0,86  Гкал/ч</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2008 год</w:t>
            </w:r>
            <w:r>
              <w:rPr>
                <w:sz w:val="20"/>
                <w:szCs w:val="20"/>
              </w:rPr>
            </w:r>
            <w:r>
              <w:rPr>
                <w:sz w:val="20"/>
                <w:szCs w:val="20"/>
              </w:rPr>
            </w:r>
          </w:p>
        </w:tc>
      </w:tr>
      <w:tr>
        <w:tblPrEx/>
        <w:trPr>
          <w:trHeight w:val="559"/>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Котел водогрейный КВМ-1,0 ст. № 2.</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Установленная мощность </w:t>
            </w:r>
            <w:r>
              <w:rPr>
                <w:sz w:val="20"/>
                <w:szCs w:val="20"/>
              </w:rPr>
            </w:r>
            <w:r>
              <w:rPr>
                <w:sz w:val="20"/>
                <w:szCs w:val="20"/>
              </w:rPr>
            </w:r>
          </w:p>
          <w:p>
            <w:pPr>
              <w:jc w:val="both"/>
              <w:rPr>
                <w:sz w:val="20"/>
                <w:szCs w:val="20"/>
              </w:rPr>
            </w:pPr>
            <w:r>
              <w:rPr>
                <w:sz w:val="22"/>
                <w:szCs w:val="22"/>
              </w:rPr>
              <w:t xml:space="preserve">0,86  Гкал/ч</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2008 год</w:t>
            </w:r>
            <w:r>
              <w:rPr>
                <w:sz w:val="20"/>
                <w:szCs w:val="20"/>
              </w:rPr>
            </w:r>
            <w:r>
              <w:rPr>
                <w:sz w:val="20"/>
                <w:szCs w:val="20"/>
              </w:rPr>
            </w:r>
          </w:p>
        </w:tc>
      </w:tr>
      <w:tr>
        <w:tblPrEx/>
        <w:trPr>
          <w:trHeight w:val="559"/>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Котел водогрейный КВМ-1,0 ст. № 3.</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Установленная мощность </w:t>
            </w:r>
            <w:r>
              <w:rPr>
                <w:sz w:val="20"/>
                <w:szCs w:val="20"/>
              </w:rPr>
            </w:r>
            <w:r>
              <w:rPr>
                <w:sz w:val="20"/>
                <w:szCs w:val="20"/>
              </w:rPr>
            </w:r>
          </w:p>
          <w:p>
            <w:pPr>
              <w:jc w:val="both"/>
              <w:rPr>
                <w:sz w:val="20"/>
                <w:szCs w:val="20"/>
              </w:rPr>
            </w:pPr>
            <w:r>
              <w:rPr>
                <w:sz w:val="22"/>
                <w:szCs w:val="22"/>
              </w:rPr>
              <w:t xml:space="preserve">0,86  Гкал/ч</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2008 год</w:t>
            </w:r>
            <w:r>
              <w:rPr>
                <w:sz w:val="20"/>
                <w:szCs w:val="20"/>
              </w:rPr>
            </w:r>
            <w:r>
              <w:rPr>
                <w:sz w:val="20"/>
                <w:szCs w:val="20"/>
              </w:rPr>
            </w:r>
          </w:p>
        </w:tc>
      </w:tr>
      <w:tr>
        <w:tblPrEx/>
        <w:trPr>
          <w:trHeight w:val="559"/>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Котел водогрейный КВМ-1,0 ст. № 4.</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Установленная мощность </w:t>
            </w:r>
            <w:r>
              <w:rPr>
                <w:sz w:val="20"/>
                <w:szCs w:val="20"/>
              </w:rPr>
            </w:r>
            <w:r>
              <w:rPr>
                <w:sz w:val="20"/>
                <w:szCs w:val="20"/>
              </w:rPr>
            </w:r>
          </w:p>
          <w:p>
            <w:pPr>
              <w:jc w:val="both"/>
              <w:rPr>
                <w:sz w:val="20"/>
                <w:szCs w:val="20"/>
              </w:rPr>
            </w:pPr>
            <w:r>
              <w:rPr>
                <w:sz w:val="22"/>
                <w:szCs w:val="22"/>
              </w:rPr>
              <w:t xml:space="preserve">0,86  Гкал/ч</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2008 год</w:t>
            </w:r>
            <w:r>
              <w:rPr>
                <w:sz w:val="20"/>
                <w:szCs w:val="20"/>
              </w:rPr>
            </w:r>
            <w:r>
              <w:rPr>
                <w:sz w:val="20"/>
                <w:szCs w:val="20"/>
              </w:rPr>
            </w:r>
          </w:p>
        </w:tc>
      </w:tr>
      <w:tr>
        <w:tblPrEx/>
        <w:trPr>
          <w:trHeight w:val="559"/>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Котел водогрейный ЖК-1,0 на ДТ ст. № 5.</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Установленная мощность </w:t>
            </w:r>
            <w:r>
              <w:rPr>
                <w:sz w:val="20"/>
                <w:szCs w:val="20"/>
              </w:rPr>
            </w:r>
            <w:r>
              <w:rPr>
                <w:sz w:val="20"/>
                <w:szCs w:val="20"/>
              </w:rPr>
            </w:r>
          </w:p>
          <w:p>
            <w:pPr>
              <w:jc w:val="both"/>
              <w:rPr>
                <w:sz w:val="20"/>
                <w:szCs w:val="20"/>
              </w:rPr>
            </w:pPr>
            <w:r>
              <w:rPr>
                <w:sz w:val="22"/>
                <w:szCs w:val="22"/>
              </w:rPr>
              <w:t xml:space="preserve">0,86  Гкал/ч</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2007 год</w:t>
            </w:r>
            <w:r>
              <w:rPr>
                <w:sz w:val="20"/>
                <w:szCs w:val="20"/>
              </w:rPr>
            </w:r>
            <w:r>
              <w:rPr>
                <w:sz w:val="20"/>
                <w:szCs w:val="20"/>
              </w:rPr>
            </w:r>
          </w:p>
        </w:tc>
      </w:tr>
      <w:tr>
        <w:tblPrEx/>
        <w:trPr>
          <w:trHeight w:val="559"/>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Насос ЦО № 1 К150/125-315с.</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Производительность </w:t>
            </w:r>
            <w:r>
              <w:rPr>
                <w:sz w:val="20"/>
                <w:szCs w:val="20"/>
              </w:rPr>
            </w:r>
            <w:r>
              <w:rPr>
                <w:sz w:val="20"/>
                <w:szCs w:val="20"/>
              </w:rPr>
            </w:r>
          </w:p>
          <w:p>
            <w:pPr>
              <w:jc w:val="both"/>
              <w:rPr>
                <w:sz w:val="20"/>
                <w:szCs w:val="20"/>
              </w:rPr>
            </w:pPr>
            <w:r>
              <w:rPr>
                <w:sz w:val="22"/>
                <w:szCs w:val="22"/>
              </w:rPr>
              <w:t xml:space="preserve">200 куб.м./ч.</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2013 год</w:t>
            </w:r>
            <w:r>
              <w:rPr>
                <w:sz w:val="20"/>
                <w:szCs w:val="20"/>
              </w:rPr>
            </w:r>
            <w:r>
              <w:rPr>
                <w:sz w:val="20"/>
                <w:szCs w:val="20"/>
              </w:rPr>
            </w:r>
          </w:p>
        </w:tc>
      </w:tr>
      <w:tr>
        <w:tblPrEx/>
        <w:trPr>
          <w:trHeight w:val="559"/>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Насос ЦО № 2 К150/125-315с.</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Производительность</w:t>
            </w:r>
            <w:r>
              <w:rPr>
                <w:sz w:val="20"/>
                <w:szCs w:val="20"/>
              </w:rPr>
            </w:r>
            <w:r>
              <w:rPr>
                <w:sz w:val="20"/>
                <w:szCs w:val="20"/>
              </w:rPr>
            </w:r>
          </w:p>
          <w:p>
            <w:pPr>
              <w:jc w:val="both"/>
              <w:rPr>
                <w:sz w:val="20"/>
                <w:szCs w:val="20"/>
              </w:rPr>
            </w:pPr>
            <w:r>
              <w:rPr>
                <w:sz w:val="22"/>
                <w:szCs w:val="22"/>
              </w:rPr>
              <w:t xml:space="preserve"> 200 куб.м./ч.</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2018 год</w:t>
            </w:r>
            <w:r>
              <w:rPr>
                <w:sz w:val="20"/>
                <w:szCs w:val="20"/>
              </w:rPr>
            </w:r>
            <w:r>
              <w:rPr>
                <w:sz w:val="20"/>
                <w:szCs w:val="20"/>
              </w:rPr>
            </w:r>
          </w:p>
        </w:tc>
      </w:tr>
      <w:tr>
        <w:tblPrEx/>
        <w:trPr>
          <w:trHeight w:val="559"/>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Насос ГВС № 3 </w:t>
            </w:r>
            <w:r>
              <w:rPr>
                <w:color w:val="000000"/>
                <w:sz w:val="22"/>
                <w:szCs w:val="22"/>
              </w:rPr>
              <w:t xml:space="preserve"> КМ 80-50-200 Т У3.1.</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Производительность </w:t>
            </w:r>
            <w:r>
              <w:rPr>
                <w:sz w:val="20"/>
                <w:szCs w:val="20"/>
              </w:rPr>
            </w:r>
            <w:r>
              <w:rPr>
                <w:sz w:val="20"/>
                <w:szCs w:val="20"/>
              </w:rPr>
            </w:r>
          </w:p>
          <w:p>
            <w:pPr>
              <w:jc w:val="both"/>
              <w:rPr>
                <w:sz w:val="20"/>
                <w:szCs w:val="20"/>
              </w:rPr>
            </w:pPr>
            <w:r>
              <w:rPr>
                <w:sz w:val="22"/>
                <w:szCs w:val="22"/>
              </w:rPr>
              <w:t xml:space="preserve">50 куб.м./ч.</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2020 год</w:t>
            </w:r>
            <w:r>
              <w:rPr>
                <w:sz w:val="20"/>
                <w:szCs w:val="20"/>
              </w:rPr>
            </w:r>
            <w:r>
              <w:rPr>
                <w:sz w:val="20"/>
                <w:szCs w:val="20"/>
              </w:rPr>
            </w:r>
          </w:p>
        </w:tc>
      </w:tr>
      <w:tr>
        <w:tblPrEx/>
        <w:trPr>
          <w:trHeight w:val="559"/>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Насос ГВС № 4  </w:t>
            </w:r>
            <w:r>
              <w:rPr>
                <w:color w:val="000000"/>
                <w:sz w:val="22"/>
                <w:szCs w:val="22"/>
              </w:rPr>
              <w:t xml:space="preserve">  КМ 80-50-200.</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Производительность </w:t>
            </w:r>
            <w:r>
              <w:rPr>
                <w:sz w:val="20"/>
                <w:szCs w:val="20"/>
              </w:rPr>
            </w:r>
            <w:r>
              <w:rPr>
                <w:sz w:val="20"/>
                <w:szCs w:val="20"/>
              </w:rPr>
            </w:r>
          </w:p>
          <w:p>
            <w:pPr>
              <w:jc w:val="both"/>
              <w:rPr>
                <w:sz w:val="20"/>
                <w:szCs w:val="20"/>
              </w:rPr>
            </w:pPr>
            <w:r>
              <w:rPr>
                <w:sz w:val="22"/>
                <w:szCs w:val="22"/>
              </w:rPr>
              <w:t xml:space="preserve">50 куб.м./ч.</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2017 год</w:t>
            </w:r>
            <w:r>
              <w:rPr>
                <w:sz w:val="20"/>
                <w:szCs w:val="20"/>
              </w:rPr>
            </w:r>
            <w:r>
              <w:rPr>
                <w:sz w:val="20"/>
                <w:szCs w:val="20"/>
              </w:rPr>
            </w:r>
          </w:p>
        </w:tc>
      </w:tr>
      <w:tr>
        <w:tblPrEx/>
        <w:trPr>
          <w:trHeight w:val="559"/>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Насос  № 5 </w:t>
            </w:r>
            <w:r>
              <w:rPr>
                <w:color w:val="000000"/>
                <w:sz w:val="22"/>
                <w:szCs w:val="22"/>
              </w:rPr>
              <w:t xml:space="preserve">циркуляционный контура шурующей планки </w:t>
            </w:r>
            <w:r>
              <w:rPr>
                <w:color w:val="000000"/>
                <w:sz w:val="22"/>
                <w:szCs w:val="22"/>
                <w:lang w:val="en-US"/>
              </w:rPr>
              <w:t xml:space="preserve">CP</w:t>
            </w:r>
            <w:r>
              <w:rPr>
                <w:color w:val="000000"/>
                <w:sz w:val="22"/>
                <w:szCs w:val="22"/>
              </w:rPr>
              <w:t xml:space="preserve">-</w:t>
            </w:r>
            <w:r>
              <w:rPr>
                <w:color w:val="000000"/>
                <w:sz w:val="22"/>
                <w:szCs w:val="22"/>
                <w:lang w:val="en-US"/>
              </w:rPr>
              <w:t xml:space="preserve">G</w:t>
            </w:r>
            <w:r>
              <w:rPr>
                <w:color w:val="000000"/>
                <w:sz w:val="22"/>
                <w:szCs w:val="22"/>
              </w:rPr>
              <w:t xml:space="preserve"> 65-4100/</w:t>
            </w:r>
            <w:r>
              <w:rPr>
                <w:color w:val="000000"/>
                <w:sz w:val="22"/>
                <w:szCs w:val="22"/>
                <w:lang w:val="en-US"/>
              </w:rPr>
              <w:t xml:space="preserve">A</w:t>
            </w:r>
            <w:r>
              <w:rPr>
                <w:color w:val="000000"/>
                <w:sz w:val="22"/>
                <w:szCs w:val="22"/>
              </w:rPr>
              <w:t xml:space="preserve">/</w:t>
            </w:r>
            <w:r>
              <w:rPr>
                <w:color w:val="000000"/>
                <w:sz w:val="22"/>
                <w:szCs w:val="22"/>
                <w:lang w:val="en-US"/>
              </w:rPr>
              <w:t xml:space="preserve">BAQE</w:t>
            </w:r>
            <w:r>
              <w:rPr>
                <w:color w:val="000000"/>
                <w:sz w:val="22"/>
                <w:szCs w:val="22"/>
              </w:rPr>
              <w:t xml:space="preserve">/7.5.</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Производительность </w:t>
            </w:r>
            <w:r>
              <w:rPr>
                <w:sz w:val="20"/>
                <w:szCs w:val="20"/>
              </w:rPr>
            </w:r>
            <w:r>
              <w:rPr>
                <w:sz w:val="20"/>
                <w:szCs w:val="20"/>
              </w:rPr>
            </w:r>
          </w:p>
          <w:p>
            <w:pPr>
              <w:jc w:val="both"/>
              <w:rPr>
                <w:sz w:val="20"/>
                <w:szCs w:val="20"/>
              </w:rPr>
            </w:pPr>
            <w:r>
              <w:rPr>
                <w:sz w:val="22"/>
                <w:szCs w:val="22"/>
              </w:rPr>
              <w:t xml:space="preserve">50 куб.м./ч.</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2020 год</w:t>
            </w:r>
            <w:r>
              <w:rPr>
                <w:sz w:val="20"/>
                <w:szCs w:val="20"/>
              </w:rPr>
            </w:r>
            <w:r>
              <w:rPr>
                <w:sz w:val="20"/>
                <w:szCs w:val="20"/>
              </w:rPr>
            </w:r>
          </w:p>
        </w:tc>
      </w:tr>
      <w:tr>
        <w:tblPrEx/>
        <w:trPr>
          <w:trHeight w:val="559"/>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Насос  № 6 </w:t>
            </w:r>
            <w:r>
              <w:rPr>
                <w:color w:val="000000"/>
                <w:sz w:val="22"/>
                <w:szCs w:val="22"/>
              </w:rPr>
              <w:t xml:space="preserve">циркуляционный контура шурующей планки   IPL 65/175-7,5/2.</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Производительность </w:t>
            </w:r>
            <w:r>
              <w:rPr>
                <w:sz w:val="20"/>
                <w:szCs w:val="20"/>
              </w:rPr>
            </w:r>
            <w:r>
              <w:rPr>
                <w:sz w:val="20"/>
                <w:szCs w:val="20"/>
              </w:rPr>
            </w:r>
          </w:p>
          <w:p>
            <w:pPr>
              <w:jc w:val="both"/>
              <w:rPr>
                <w:sz w:val="20"/>
                <w:szCs w:val="20"/>
              </w:rPr>
            </w:pPr>
            <w:r>
              <w:rPr>
                <w:sz w:val="22"/>
                <w:szCs w:val="22"/>
              </w:rPr>
              <w:t xml:space="preserve">56 куб.м./ч.</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2011 год</w:t>
            </w:r>
            <w:r>
              <w:rPr>
                <w:sz w:val="20"/>
                <w:szCs w:val="20"/>
              </w:rPr>
            </w:r>
            <w:r>
              <w:rPr>
                <w:sz w:val="20"/>
                <w:szCs w:val="20"/>
              </w:rPr>
            </w:r>
          </w:p>
        </w:tc>
      </w:tr>
      <w:tr>
        <w:tblPrEx/>
        <w:trPr>
          <w:trHeight w:val="559"/>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Насос  № 7 </w:t>
            </w:r>
            <w:r>
              <w:rPr>
                <w:color w:val="000000"/>
                <w:sz w:val="22"/>
                <w:szCs w:val="22"/>
              </w:rPr>
              <w:t xml:space="preserve">циркуляционный контура шурующей планки </w:t>
            </w:r>
            <w:r>
              <w:rPr>
                <w:color w:val="000000"/>
                <w:sz w:val="22"/>
                <w:szCs w:val="22"/>
                <w:lang w:val="en-US"/>
              </w:rPr>
              <w:t xml:space="preserve">CP</w:t>
            </w:r>
            <w:r>
              <w:rPr>
                <w:color w:val="000000"/>
                <w:sz w:val="22"/>
                <w:szCs w:val="22"/>
              </w:rPr>
              <w:t xml:space="preserve">-</w:t>
            </w:r>
            <w:r>
              <w:rPr>
                <w:color w:val="000000"/>
                <w:sz w:val="22"/>
                <w:szCs w:val="22"/>
                <w:lang w:val="en-US"/>
              </w:rPr>
              <w:t xml:space="preserve">G</w:t>
            </w:r>
            <w:r>
              <w:rPr>
                <w:color w:val="000000"/>
                <w:sz w:val="22"/>
                <w:szCs w:val="22"/>
              </w:rPr>
              <w:t xml:space="preserve"> 65-2640/</w:t>
            </w:r>
            <w:r>
              <w:rPr>
                <w:color w:val="000000"/>
                <w:sz w:val="22"/>
                <w:szCs w:val="22"/>
                <w:lang w:val="en-US"/>
              </w:rPr>
              <w:t xml:space="preserve">A</w:t>
            </w:r>
            <w:r>
              <w:rPr>
                <w:color w:val="000000"/>
                <w:sz w:val="22"/>
                <w:szCs w:val="22"/>
              </w:rPr>
              <w:t xml:space="preserve">/</w:t>
            </w:r>
            <w:r>
              <w:rPr>
                <w:color w:val="000000"/>
                <w:sz w:val="22"/>
                <w:szCs w:val="22"/>
                <w:lang w:val="en-US"/>
              </w:rPr>
              <w:t xml:space="preserve">BAQE</w:t>
            </w:r>
            <w:r>
              <w:rPr>
                <w:color w:val="000000"/>
                <w:sz w:val="22"/>
                <w:szCs w:val="22"/>
              </w:rPr>
              <w:t xml:space="preserve">/4.</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Производительность </w:t>
            </w:r>
            <w:r>
              <w:rPr>
                <w:sz w:val="20"/>
                <w:szCs w:val="20"/>
              </w:rPr>
            </w:r>
            <w:r>
              <w:rPr>
                <w:sz w:val="20"/>
                <w:szCs w:val="20"/>
              </w:rPr>
            </w:r>
          </w:p>
          <w:p>
            <w:pPr>
              <w:jc w:val="both"/>
              <w:rPr>
                <w:sz w:val="20"/>
                <w:szCs w:val="20"/>
              </w:rPr>
            </w:pPr>
            <w:r>
              <w:rPr>
                <w:sz w:val="22"/>
                <w:szCs w:val="22"/>
              </w:rPr>
              <w:t xml:space="preserve">44,5 куб.м./ч.</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2020 год</w:t>
            </w:r>
            <w:r>
              <w:rPr>
                <w:sz w:val="20"/>
                <w:szCs w:val="20"/>
              </w:rPr>
            </w:r>
            <w:r>
              <w:rPr>
                <w:sz w:val="20"/>
                <w:szCs w:val="20"/>
              </w:rPr>
            </w:r>
          </w:p>
        </w:tc>
      </w:tr>
      <w:tr>
        <w:tblPrEx/>
        <w:trPr>
          <w:trHeight w:val="559"/>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Насос № 8 </w:t>
            </w:r>
            <w:r>
              <w:rPr>
                <w:color w:val="000000"/>
                <w:sz w:val="22"/>
                <w:szCs w:val="22"/>
              </w:rPr>
              <w:t xml:space="preserve">циркуляционный </w:t>
            </w:r>
            <w:r>
              <w:rPr>
                <w:sz w:val="22"/>
                <w:szCs w:val="22"/>
              </w:rPr>
              <w:t xml:space="preserve"> котлового контура </w:t>
            </w:r>
            <w:r>
              <w:rPr>
                <w:color w:val="000000"/>
                <w:sz w:val="22"/>
                <w:szCs w:val="22"/>
              </w:rPr>
              <w:t xml:space="preserve"> IL.100/250-7,5/4.</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Производительность </w:t>
            </w:r>
            <w:r>
              <w:rPr>
                <w:sz w:val="20"/>
                <w:szCs w:val="20"/>
              </w:rPr>
            </w:r>
            <w:r>
              <w:rPr>
                <w:sz w:val="20"/>
                <w:szCs w:val="20"/>
              </w:rPr>
            </w:r>
          </w:p>
          <w:p>
            <w:pPr>
              <w:jc w:val="both"/>
              <w:rPr>
                <w:sz w:val="20"/>
                <w:szCs w:val="20"/>
              </w:rPr>
            </w:pPr>
            <w:r>
              <w:rPr>
                <w:sz w:val="22"/>
                <w:szCs w:val="22"/>
              </w:rPr>
              <w:t xml:space="preserve">170  куб.м./ч.</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2007 год</w:t>
            </w:r>
            <w:r>
              <w:rPr>
                <w:sz w:val="20"/>
                <w:szCs w:val="20"/>
              </w:rPr>
            </w:r>
            <w:r>
              <w:rPr>
                <w:sz w:val="20"/>
                <w:szCs w:val="20"/>
              </w:rPr>
            </w:r>
          </w:p>
        </w:tc>
      </w:tr>
      <w:tr>
        <w:tblPrEx/>
        <w:trPr>
          <w:trHeight w:val="142"/>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color w:val="000000"/>
                <w:sz w:val="20"/>
                <w:szCs w:val="20"/>
              </w:rPr>
            </w:pPr>
            <w:r>
              <w:rPr>
                <w:sz w:val="22"/>
                <w:szCs w:val="22"/>
              </w:rPr>
              <w:t xml:space="preserve">Насос № 9 </w:t>
            </w:r>
            <w:r>
              <w:rPr>
                <w:color w:val="000000"/>
                <w:sz w:val="22"/>
                <w:szCs w:val="22"/>
              </w:rPr>
              <w:t xml:space="preserve">циркуляционный </w:t>
            </w:r>
            <w:r>
              <w:rPr>
                <w:sz w:val="22"/>
                <w:szCs w:val="22"/>
              </w:rPr>
              <w:t xml:space="preserve"> котлового контура </w:t>
            </w:r>
            <w:r>
              <w:rPr>
                <w:color w:val="000000"/>
                <w:sz w:val="22"/>
                <w:szCs w:val="22"/>
                <w:lang w:val="en-US"/>
              </w:rPr>
              <w:t xml:space="preserve">CP</w:t>
            </w:r>
            <w:r>
              <w:rPr>
                <w:color w:val="000000"/>
                <w:sz w:val="22"/>
                <w:szCs w:val="22"/>
              </w:rPr>
              <w:t xml:space="preserve">-</w:t>
            </w:r>
            <w:r>
              <w:rPr>
                <w:color w:val="000000"/>
                <w:sz w:val="22"/>
                <w:szCs w:val="22"/>
                <w:lang w:val="en-US"/>
              </w:rPr>
              <w:t xml:space="preserve">G</w:t>
            </w:r>
            <w:r>
              <w:rPr>
                <w:color w:val="000000"/>
                <w:sz w:val="22"/>
                <w:szCs w:val="22"/>
              </w:rPr>
              <w:t xml:space="preserve"> 1002350/</w:t>
            </w:r>
            <w:r>
              <w:rPr>
                <w:color w:val="000000"/>
                <w:sz w:val="22"/>
                <w:szCs w:val="22"/>
                <w:lang w:val="en-US"/>
              </w:rPr>
              <w:t xml:space="preserve">A</w:t>
            </w:r>
            <w:r>
              <w:rPr>
                <w:color w:val="000000"/>
                <w:sz w:val="22"/>
                <w:szCs w:val="22"/>
              </w:rPr>
              <w:t xml:space="preserve">/</w:t>
            </w:r>
            <w:r>
              <w:rPr>
                <w:color w:val="000000"/>
                <w:sz w:val="22"/>
                <w:szCs w:val="22"/>
                <w:lang w:val="en-US"/>
              </w:rPr>
              <w:t xml:space="preserve">BAQE</w:t>
            </w:r>
            <w:r>
              <w:rPr>
                <w:color w:val="000000"/>
                <w:sz w:val="22"/>
                <w:szCs w:val="22"/>
              </w:rPr>
              <w:t xml:space="preserve">/7.5.</w:t>
            </w:r>
            <w:r>
              <w:rPr>
                <w:color w:val="000000"/>
                <w:sz w:val="20"/>
                <w:szCs w:val="20"/>
              </w:rPr>
            </w:r>
            <w:r>
              <w:rPr>
                <w:color w:val="000000"/>
                <w:sz w:val="20"/>
                <w:szCs w:val="20"/>
              </w:rPr>
            </w:r>
          </w:p>
        </w:tc>
        <w:tc>
          <w:tcPr>
            <w:tcW w:w="1544" w:type="pct"/>
            <w:textDirection w:val="lrTb"/>
            <w:noWrap w:val="false"/>
          </w:tcPr>
          <w:p>
            <w:pPr>
              <w:jc w:val="both"/>
              <w:rPr>
                <w:sz w:val="20"/>
                <w:szCs w:val="20"/>
              </w:rPr>
            </w:pPr>
            <w:r>
              <w:rPr>
                <w:sz w:val="22"/>
                <w:szCs w:val="22"/>
              </w:rPr>
              <w:t xml:space="preserve">Производительность </w:t>
            </w:r>
            <w:r>
              <w:rPr>
                <w:sz w:val="20"/>
                <w:szCs w:val="20"/>
              </w:rPr>
            </w:r>
            <w:r>
              <w:rPr>
                <w:sz w:val="20"/>
                <w:szCs w:val="20"/>
              </w:rPr>
            </w:r>
          </w:p>
          <w:p>
            <w:pPr>
              <w:jc w:val="both"/>
              <w:rPr>
                <w:sz w:val="20"/>
                <w:szCs w:val="20"/>
              </w:rPr>
            </w:pPr>
            <w:r>
              <w:rPr>
                <w:sz w:val="22"/>
                <w:szCs w:val="22"/>
              </w:rPr>
              <w:t xml:space="preserve">150  куб.м./ч.</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2020 год</w:t>
            </w:r>
            <w:r>
              <w:rPr>
                <w:sz w:val="20"/>
                <w:szCs w:val="20"/>
              </w:rPr>
            </w:r>
            <w:r>
              <w:rPr>
                <w:sz w:val="20"/>
                <w:szCs w:val="20"/>
              </w:rPr>
            </w:r>
          </w:p>
        </w:tc>
      </w:tr>
      <w:tr>
        <w:tblPrEx/>
        <w:trPr>
          <w:trHeight w:val="559"/>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color w:val="000000"/>
                <w:sz w:val="20"/>
                <w:szCs w:val="20"/>
              </w:rPr>
            </w:pPr>
            <w:r>
              <w:rPr>
                <w:sz w:val="22"/>
                <w:szCs w:val="22"/>
              </w:rPr>
              <w:t xml:space="preserve">Насос № 10 </w:t>
            </w:r>
            <w:r>
              <w:rPr>
                <w:color w:val="000000"/>
                <w:sz w:val="22"/>
                <w:szCs w:val="22"/>
              </w:rPr>
              <w:t xml:space="preserve">Повышающий подпиточный  </w:t>
            </w:r>
            <w:r>
              <w:rPr>
                <w:color w:val="000000"/>
                <w:sz w:val="22"/>
                <w:szCs w:val="22"/>
                <w:lang w:val="en-US"/>
              </w:rPr>
              <w:t xml:space="preserve">NKV</w:t>
            </w:r>
            <w:r>
              <w:rPr>
                <w:color w:val="000000"/>
                <w:sz w:val="22"/>
                <w:szCs w:val="22"/>
              </w:rPr>
              <w:t xml:space="preserve"> 15/04 S 040 </w:t>
            </w:r>
            <w:r>
              <w:rPr>
                <w:color w:val="000000"/>
                <w:sz w:val="22"/>
                <w:szCs w:val="22"/>
                <w:lang w:val="en-US"/>
              </w:rPr>
              <w:t xml:space="preserve">TE</w:t>
            </w:r>
            <w:r>
              <w:rPr>
                <w:color w:val="000000"/>
                <w:sz w:val="22"/>
                <w:szCs w:val="22"/>
              </w:rPr>
              <w:t xml:space="preserve">1.</w:t>
            </w:r>
            <w:r>
              <w:rPr>
                <w:color w:val="000000"/>
                <w:sz w:val="20"/>
                <w:szCs w:val="20"/>
              </w:rPr>
            </w:r>
            <w:r>
              <w:rPr>
                <w:color w:val="000000"/>
                <w:sz w:val="20"/>
                <w:szCs w:val="20"/>
              </w:rPr>
            </w:r>
          </w:p>
        </w:tc>
        <w:tc>
          <w:tcPr>
            <w:tcW w:w="1544" w:type="pct"/>
            <w:textDirection w:val="lrTb"/>
            <w:noWrap w:val="false"/>
          </w:tcPr>
          <w:p>
            <w:pPr>
              <w:jc w:val="both"/>
              <w:rPr>
                <w:sz w:val="20"/>
                <w:szCs w:val="20"/>
              </w:rPr>
            </w:pPr>
            <w:r>
              <w:rPr>
                <w:sz w:val="22"/>
                <w:szCs w:val="22"/>
              </w:rPr>
              <w:t xml:space="preserve">Производительность </w:t>
            </w:r>
            <w:r>
              <w:rPr>
                <w:sz w:val="20"/>
                <w:szCs w:val="20"/>
              </w:rPr>
            </w:r>
            <w:r>
              <w:rPr>
                <w:sz w:val="20"/>
                <w:szCs w:val="20"/>
              </w:rPr>
            </w:r>
          </w:p>
          <w:p>
            <w:pPr>
              <w:jc w:val="both"/>
              <w:rPr>
                <w:sz w:val="20"/>
                <w:szCs w:val="20"/>
              </w:rPr>
            </w:pPr>
            <w:r>
              <w:rPr>
                <w:sz w:val="22"/>
                <w:szCs w:val="22"/>
              </w:rPr>
              <w:t xml:space="preserve">8-24  куб.м./ч.</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2020 год</w:t>
            </w:r>
            <w:r>
              <w:rPr>
                <w:sz w:val="20"/>
                <w:szCs w:val="20"/>
              </w:rPr>
            </w:r>
            <w:r>
              <w:rPr>
                <w:sz w:val="20"/>
                <w:szCs w:val="20"/>
              </w:rPr>
            </w:r>
          </w:p>
        </w:tc>
      </w:tr>
      <w:tr>
        <w:tblPrEx/>
        <w:trPr>
          <w:trHeight w:val="559"/>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color w:val="000000"/>
                <w:sz w:val="20"/>
                <w:szCs w:val="20"/>
                <w:lang w:val="en-US"/>
              </w:rPr>
            </w:pPr>
            <w:r>
              <w:rPr>
                <w:sz w:val="22"/>
                <w:szCs w:val="22"/>
              </w:rPr>
              <w:t xml:space="preserve">Насос</w:t>
            </w:r>
            <w:r>
              <w:rPr>
                <w:sz w:val="22"/>
                <w:szCs w:val="22"/>
                <w:lang w:val="en-US"/>
              </w:rPr>
              <w:t xml:space="preserve"> № 11</w:t>
            </w:r>
            <w:r>
              <w:rPr>
                <w:sz w:val="22"/>
                <w:szCs w:val="22"/>
                <w:lang w:val="en-US"/>
              </w:rPr>
              <w:t xml:space="preserve"> </w:t>
            </w:r>
            <w:r>
              <w:rPr>
                <w:color w:val="000000"/>
                <w:sz w:val="22"/>
                <w:szCs w:val="22"/>
              </w:rPr>
              <w:t xml:space="preserve">Повышающий</w:t>
            </w:r>
            <w:r>
              <w:rPr>
                <w:color w:val="000000"/>
                <w:sz w:val="22"/>
                <w:szCs w:val="22"/>
                <w:lang w:val="en-US"/>
              </w:rPr>
              <w:t xml:space="preserve"> </w:t>
            </w:r>
            <w:r>
              <w:rPr>
                <w:color w:val="000000"/>
                <w:sz w:val="22"/>
                <w:szCs w:val="22"/>
              </w:rPr>
              <w:t xml:space="preserve">подпиточный</w:t>
            </w:r>
            <w:r>
              <w:rPr>
                <w:color w:val="000000"/>
                <w:sz w:val="22"/>
                <w:szCs w:val="22"/>
                <w:lang w:val="en-US"/>
              </w:rPr>
              <w:t xml:space="preserve"> Willo-multi-vertMVI1604-3/16/E/3-400-50-2.</w:t>
            </w:r>
            <w:r>
              <w:rPr>
                <w:color w:val="000000"/>
                <w:sz w:val="20"/>
                <w:szCs w:val="20"/>
                <w:lang w:val="en-US"/>
              </w:rPr>
            </w:r>
            <w:r>
              <w:rPr>
                <w:color w:val="000000"/>
                <w:sz w:val="20"/>
                <w:szCs w:val="20"/>
                <w:lang w:val="en-US"/>
              </w:rPr>
            </w:r>
          </w:p>
        </w:tc>
        <w:tc>
          <w:tcPr>
            <w:tcW w:w="1544" w:type="pct"/>
            <w:textDirection w:val="lrTb"/>
            <w:noWrap w:val="false"/>
          </w:tcPr>
          <w:p>
            <w:pPr>
              <w:jc w:val="both"/>
              <w:rPr>
                <w:sz w:val="20"/>
                <w:szCs w:val="20"/>
              </w:rPr>
            </w:pPr>
            <w:r>
              <w:rPr>
                <w:sz w:val="22"/>
                <w:szCs w:val="22"/>
              </w:rPr>
              <w:t xml:space="preserve">Производительность </w:t>
            </w:r>
            <w:r>
              <w:rPr>
                <w:sz w:val="20"/>
                <w:szCs w:val="20"/>
              </w:rPr>
            </w:r>
            <w:r>
              <w:rPr>
                <w:sz w:val="20"/>
                <w:szCs w:val="20"/>
              </w:rPr>
            </w:r>
          </w:p>
          <w:p>
            <w:pPr>
              <w:jc w:val="both"/>
              <w:rPr>
                <w:sz w:val="20"/>
                <w:szCs w:val="20"/>
              </w:rPr>
            </w:pPr>
            <w:r>
              <w:rPr>
                <w:sz w:val="22"/>
                <w:szCs w:val="22"/>
              </w:rPr>
              <w:t xml:space="preserve">16  куб.м./ч.</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2008 год</w:t>
            </w:r>
            <w:r>
              <w:rPr>
                <w:sz w:val="20"/>
                <w:szCs w:val="20"/>
              </w:rPr>
            </w:r>
            <w:r>
              <w:rPr>
                <w:sz w:val="20"/>
                <w:szCs w:val="20"/>
              </w:rPr>
            </w:r>
          </w:p>
        </w:tc>
      </w:tr>
      <w:tr>
        <w:tblPrEx/>
        <w:trPr>
          <w:trHeight w:val="559"/>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color w:val="000000"/>
                <w:sz w:val="20"/>
                <w:szCs w:val="20"/>
              </w:rPr>
            </w:pPr>
            <w:r>
              <w:rPr>
                <w:sz w:val="22"/>
                <w:szCs w:val="22"/>
              </w:rPr>
              <w:t xml:space="preserve">Насос № 12 </w:t>
            </w:r>
            <w:r>
              <w:rPr>
                <w:color w:val="000000"/>
                <w:sz w:val="22"/>
                <w:szCs w:val="22"/>
              </w:rPr>
              <w:t xml:space="preserve">циркуляционный </w:t>
            </w:r>
            <w:r>
              <w:rPr>
                <w:sz w:val="22"/>
                <w:szCs w:val="22"/>
              </w:rPr>
              <w:t xml:space="preserve"> котлового контура </w:t>
            </w:r>
            <w:r>
              <w:rPr>
                <w:color w:val="000000"/>
                <w:sz w:val="22"/>
                <w:szCs w:val="22"/>
              </w:rPr>
              <w:t xml:space="preserve">  </w:t>
            </w:r>
            <w:r>
              <w:rPr>
                <w:color w:val="000000"/>
                <w:sz w:val="22"/>
                <w:szCs w:val="22"/>
                <w:lang w:val="en-US"/>
              </w:rPr>
              <w:t xml:space="preserve">WILO</w:t>
            </w:r>
            <w:r>
              <w:rPr>
                <w:color w:val="000000"/>
                <w:sz w:val="22"/>
                <w:szCs w:val="22"/>
              </w:rPr>
              <w:t xml:space="preserve">  IL 65/210-18,5/2.</w:t>
            </w:r>
            <w:r>
              <w:rPr>
                <w:color w:val="000000"/>
                <w:sz w:val="20"/>
                <w:szCs w:val="20"/>
              </w:rPr>
            </w:r>
            <w:r>
              <w:rPr>
                <w:color w:val="000000"/>
                <w:sz w:val="20"/>
                <w:szCs w:val="20"/>
              </w:rPr>
            </w:r>
          </w:p>
        </w:tc>
        <w:tc>
          <w:tcPr>
            <w:tcW w:w="1544" w:type="pct"/>
            <w:textDirection w:val="lrTb"/>
            <w:noWrap w:val="false"/>
          </w:tcPr>
          <w:p>
            <w:pPr>
              <w:jc w:val="both"/>
              <w:rPr>
                <w:sz w:val="20"/>
                <w:szCs w:val="20"/>
              </w:rPr>
            </w:pPr>
            <w:r>
              <w:rPr>
                <w:sz w:val="22"/>
                <w:szCs w:val="22"/>
              </w:rPr>
              <w:t xml:space="preserve">Производительность </w:t>
            </w:r>
            <w:r>
              <w:rPr>
                <w:sz w:val="20"/>
                <w:szCs w:val="20"/>
              </w:rPr>
            </w:r>
            <w:r>
              <w:rPr>
                <w:sz w:val="20"/>
                <w:szCs w:val="20"/>
              </w:rPr>
            </w:r>
          </w:p>
          <w:p>
            <w:pPr>
              <w:jc w:val="both"/>
              <w:rPr>
                <w:sz w:val="20"/>
                <w:szCs w:val="20"/>
              </w:rPr>
            </w:pPr>
            <w:r>
              <w:rPr>
                <w:sz w:val="22"/>
                <w:szCs w:val="22"/>
              </w:rPr>
              <w:t xml:space="preserve">91  куб.м./ч.</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2011 год</w:t>
            </w:r>
            <w:r>
              <w:rPr>
                <w:sz w:val="20"/>
                <w:szCs w:val="20"/>
              </w:rPr>
            </w:r>
            <w:r>
              <w:rPr>
                <w:sz w:val="20"/>
                <w:szCs w:val="20"/>
              </w:rPr>
            </w:r>
          </w:p>
        </w:tc>
      </w:tr>
      <w:tr>
        <w:tblPrEx/>
        <w:trPr>
          <w:trHeight w:val="559"/>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color w:val="000000"/>
                <w:sz w:val="20"/>
                <w:szCs w:val="20"/>
              </w:rPr>
            </w:pPr>
            <w:r>
              <w:rPr>
                <w:color w:val="000000"/>
                <w:sz w:val="22"/>
                <w:szCs w:val="22"/>
              </w:rPr>
              <w:t xml:space="preserve">Резервный источник электроэнергии дизель генераторная установка в капоте AJD-132.</w:t>
            </w:r>
            <w:r>
              <w:rPr>
                <w:color w:val="000000"/>
                <w:sz w:val="20"/>
                <w:szCs w:val="20"/>
              </w:rPr>
            </w:r>
            <w:r>
              <w:rPr>
                <w:color w:val="000000"/>
                <w:sz w:val="20"/>
                <w:szCs w:val="20"/>
              </w:rPr>
            </w:r>
          </w:p>
          <w:p>
            <w:pPr>
              <w:jc w:val="both"/>
              <w:rPr>
                <w:sz w:val="20"/>
                <w:szCs w:val="20"/>
              </w:rPr>
            </w:pPr>
            <w:r>
              <w:rPr>
                <w:sz w:val="22"/>
                <w:szCs w:val="22"/>
              </w:rPr>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96 кВт</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2008 год</w:t>
            </w:r>
            <w:r>
              <w:rPr>
                <w:sz w:val="20"/>
                <w:szCs w:val="20"/>
              </w:rPr>
            </w:r>
            <w:r>
              <w:rPr>
                <w:sz w:val="20"/>
                <w:szCs w:val="20"/>
              </w:rPr>
            </w:r>
          </w:p>
        </w:tc>
      </w:tr>
      <w:tr>
        <w:tblPrEx/>
        <w:trPr>
          <w:trHeight w:val="559"/>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color w:val="000000"/>
                <w:sz w:val="22"/>
                <w:szCs w:val="22"/>
              </w:rPr>
              <w:t xml:space="preserve">Теплообменный аппарат ТТАИ 200/1850 № 1.</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н/д</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2018 год</w:t>
            </w:r>
            <w:r>
              <w:rPr>
                <w:sz w:val="20"/>
                <w:szCs w:val="20"/>
              </w:rPr>
            </w:r>
            <w:r>
              <w:rPr>
                <w:sz w:val="20"/>
                <w:szCs w:val="20"/>
              </w:rPr>
            </w:r>
          </w:p>
        </w:tc>
      </w:tr>
      <w:tr>
        <w:tblPrEx/>
        <w:trPr>
          <w:trHeight w:val="559"/>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color w:val="000000"/>
                <w:sz w:val="22"/>
                <w:szCs w:val="22"/>
              </w:rPr>
              <w:t xml:space="preserve">Теплообменный аппарат ТТАИ 200/1850 № 2.</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н/д</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2017 год</w:t>
            </w:r>
            <w:r>
              <w:rPr>
                <w:sz w:val="20"/>
                <w:szCs w:val="20"/>
              </w:rPr>
            </w:r>
            <w:r>
              <w:rPr>
                <w:sz w:val="20"/>
                <w:szCs w:val="20"/>
              </w:rPr>
            </w:r>
          </w:p>
        </w:tc>
      </w:tr>
      <w:tr>
        <w:tblPrEx/>
        <w:trPr>
          <w:trHeight w:val="559"/>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color w:val="000000"/>
                <w:sz w:val="22"/>
                <w:szCs w:val="22"/>
              </w:rPr>
              <w:t xml:space="preserve">Теплообменный аппарат ТТАИ 150/1800 № 3.</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н/д</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2018 год</w:t>
            </w:r>
            <w:r>
              <w:rPr>
                <w:sz w:val="20"/>
                <w:szCs w:val="20"/>
              </w:rPr>
            </w:r>
            <w:r>
              <w:rPr>
                <w:sz w:val="20"/>
                <w:szCs w:val="20"/>
              </w:rPr>
            </w:r>
          </w:p>
        </w:tc>
      </w:tr>
      <w:tr>
        <w:tblPrEx/>
        <w:trPr>
          <w:trHeight w:val="559"/>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Теплообменный аппарат ТТАИ 200/1850 № 4.</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н/д</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2020 год</w:t>
            </w:r>
            <w:r>
              <w:rPr>
                <w:sz w:val="20"/>
                <w:szCs w:val="20"/>
              </w:rPr>
            </w:r>
            <w:r>
              <w:rPr>
                <w:sz w:val="20"/>
                <w:szCs w:val="20"/>
              </w:rPr>
            </w:r>
          </w:p>
        </w:tc>
      </w:tr>
      <w:tr>
        <w:tblPrEx/>
        <w:trPr>
          <w:trHeight w:val="559"/>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Автоматическая система дозирования реагентов № 1.</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"Комплексон-6"</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2008 г.</w:t>
            </w:r>
            <w:r>
              <w:rPr>
                <w:sz w:val="20"/>
                <w:szCs w:val="20"/>
              </w:rPr>
            </w:r>
            <w:r>
              <w:rPr>
                <w:sz w:val="20"/>
                <w:szCs w:val="20"/>
              </w:rPr>
            </w:r>
          </w:p>
          <w:p>
            <w:pPr>
              <w:jc w:val="both"/>
              <w:rPr>
                <w:sz w:val="20"/>
                <w:szCs w:val="20"/>
              </w:rPr>
            </w:pPr>
            <w:r>
              <w:rPr>
                <w:sz w:val="22"/>
                <w:szCs w:val="22"/>
              </w:rPr>
            </w:r>
            <w:r>
              <w:rPr>
                <w:sz w:val="20"/>
                <w:szCs w:val="20"/>
              </w:rPr>
            </w:r>
            <w:r>
              <w:rPr>
                <w:sz w:val="20"/>
                <w:szCs w:val="20"/>
              </w:rPr>
            </w:r>
          </w:p>
        </w:tc>
      </w:tr>
      <w:tr>
        <w:tblPrEx/>
        <w:trPr>
          <w:trHeight w:val="559"/>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Автоматическая система дозирования реагентов № 2.</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"Комплексон-6"</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2008 г.</w:t>
            </w:r>
            <w:r>
              <w:rPr>
                <w:sz w:val="20"/>
                <w:szCs w:val="20"/>
              </w:rPr>
            </w:r>
            <w:r>
              <w:rPr>
                <w:sz w:val="20"/>
                <w:szCs w:val="20"/>
              </w:rPr>
            </w:r>
          </w:p>
          <w:p>
            <w:pPr>
              <w:jc w:val="both"/>
              <w:rPr>
                <w:sz w:val="20"/>
                <w:szCs w:val="20"/>
              </w:rPr>
            </w:pPr>
            <w:r>
              <w:rPr>
                <w:sz w:val="22"/>
                <w:szCs w:val="22"/>
              </w:rPr>
            </w:r>
            <w:r>
              <w:rPr>
                <w:sz w:val="20"/>
                <w:szCs w:val="20"/>
              </w:rPr>
            </w:r>
            <w:r>
              <w:rPr>
                <w:sz w:val="20"/>
                <w:szCs w:val="20"/>
              </w:rPr>
            </w:r>
          </w:p>
        </w:tc>
      </w:tr>
      <w:tr>
        <w:tblPrEx/>
        <w:trPr>
          <w:trHeight w:val="559"/>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color w:val="000000"/>
                <w:sz w:val="22"/>
                <w:szCs w:val="22"/>
              </w:rPr>
              <w:t xml:space="preserve">Емкость запаса ГВС № 1.</w:t>
            </w:r>
            <w:r>
              <w:rPr>
                <w:sz w:val="20"/>
                <w:szCs w:val="20"/>
              </w:rPr>
            </w:r>
            <w:r>
              <w:rPr>
                <w:sz w:val="20"/>
                <w:szCs w:val="20"/>
              </w:rPr>
            </w:r>
          </w:p>
        </w:tc>
        <w:tc>
          <w:tcPr>
            <w:tcW w:w="1544" w:type="pct"/>
            <w:textDirection w:val="lrTb"/>
            <w:noWrap w:val="false"/>
          </w:tcPr>
          <w:p>
            <w:pPr>
              <w:jc w:val="both"/>
              <w:rPr>
                <w:sz w:val="20"/>
                <w:szCs w:val="20"/>
              </w:rPr>
            </w:pPr>
            <w:r>
              <w:rPr>
                <w:bCs/>
                <w:sz w:val="22"/>
                <w:szCs w:val="22"/>
              </w:rPr>
              <w:t xml:space="preserve">Объем бака, 25 м3</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2015 год.</w:t>
            </w:r>
            <w:r>
              <w:rPr>
                <w:sz w:val="20"/>
                <w:szCs w:val="20"/>
              </w:rPr>
            </w:r>
            <w:r>
              <w:rPr>
                <w:sz w:val="20"/>
                <w:szCs w:val="20"/>
              </w:rPr>
            </w:r>
          </w:p>
        </w:tc>
      </w:tr>
      <w:tr>
        <w:tblPrEx/>
        <w:trPr>
          <w:trHeight w:val="559"/>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color w:val="000000"/>
                <w:sz w:val="22"/>
                <w:szCs w:val="22"/>
              </w:rPr>
              <w:t xml:space="preserve">Емкость запаса ГВС № 2.</w:t>
            </w:r>
            <w:r>
              <w:rPr>
                <w:sz w:val="20"/>
                <w:szCs w:val="20"/>
              </w:rPr>
            </w:r>
            <w:r>
              <w:rPr>
                <w:sz w:val="20"/>
                <w:szCs w:val="20"/>
              </w:rPr>
            </w:r>
          </w:p>
        </w:tc>
        <w:tc>
          <w:tcPr>
            <w:tcW w:w="1544" w:type="pct"/>
            <w:textDirection w:val="lrTb"/>
            <w:noWrap w:val="false"/>
          </w:tcPr>
          <w:p>
            <w:pPr>
              <w:jc w:val="both"/>
              <w:rPr>
                <w:sz w:val="20"/>
                <w:szCs w:val="20"/>
              </w:rPr>
            </w:pPr>
            <w:r>
              <w:rPr>
                <w:bCs/>
                <w:sz w:val="22"/>
                <w:szCs w:val="22"/>
              </w:rPr>
              <w:t xml:space="preserve">Объем бака, 25 м3</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2015 год.</w:t>
            </w:r>
            <w:r>
              <w:rPr>
                <w:sz w:val="20"/>
                <w:szCs w:val="20"/>
              </w:rPr>
            </w:r>
            <w:r>
              <w:rPr>
                <w:sz w:val="20"/>
                <w:szCs w:val="20"/>
              </w:rPr>
            </w:r>
          </w:p>
        </w:tc>
      </w:tr>
      <w:tr>
        <w:tblPrEx/>
        <w:trPr>
          <w:trHeight w:val="158"/>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Кирпичная  дымовая труба № 1.</w:t>
            </w:r>
            <w:r>
              <w:rPr>
                <w:sz w:val="20"/>
                <w:szCs w:val="20"/>
              </w:rPr>
            </w:r>
            <w:r>
              <w:rPr>
                <w:sz w:val="20"/>
                <w:szCs w:val="20"/>
              </w:rPr>
            </w:r>
          </w:p>
        </w:tc>
        <w:tc>
          <w:tcPr>
            <w:tcW w:w="1544" w:type="pct"/>
            <w:textDirection w:val="lrTb"/>
            <w:noWrap w:val="false"/>
          </w:tcPr>
          <w:p>
            <w:pPr>
              <w:jc w:val="both"/>
              <w:rPr>
                <w:sz w:val="20"/>
                <w:szCs w:val="20"/>
              </w:rPr>
            </w:pPr>
            <w:r>
              <w:rPr>
                <w:sz w:val="22"/>
                <w:szCs w:val="22"/>
                <w:lang w:val="en-US"/>
              </w:rPr>
              <w:t xml:space="preserve">D</w:t>
            </w:r>
            <w:r>
              <w:rPr>
                <w:sz w:val="22"/>
                <w:szCs w:val="22"/>
              </w:rPr>
              <w:t xml:space="preserve">=0,79 м. </w:t>
            </w:r>
            <w:r>
              <w:rPr>
                <w:sz w:val="22"/>
                <w:szCs w:val="22"/>
                <w:lang w:val="en-US"/>
              </w:rPr>
              <w:t xml:space="preserve">H</w:t>
            </w:r>
            <w:r>
              <w:rPr>
                <w:sz w:val="22"/>
                <w:szCs w:val="22"/>
              </w:rPr>
              <w:t xml:space="preserve">=02 м.</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2008 год.</w:t>
            </w:r>
            <w:r>
              <w:rPr>
                <w:sz w:val="20"/>
                <w:szCs w:val="20"/>
              </w:rPr>
            </w:r>
            <w:r>
              <w:rPr>
                <w:sz w:val="20"/>
                <w:szCs w:val="20"/>
              </w:rPr>
            </w:r>
          </w:p>
        </w:tc>
      </w:tr>
      <w:tr>
        <w:tblPrEx/>
        <w:trPr>
          <w:trHeight w:val="297"/>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Бункер угольный уличный.</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н/д</w:t>
            </w:r>
            <w:r>
              <w:rPr>
                <w:sz w:val="20"/>
                <w:szCs w:val="20"/>
              </w:rPr>
            </w:r>
            <w:r>
              <w:rPr>
                <w:sz w:val="20"/>
                <w:szCs w:val="20"/>
              </w:rPr>
            </w:r>
          </w:p>
        </w:tc>
      </w:tr>
      <w:tr>
        <w:tblPrEx/>
        <w:trPr>
          <w:trHeight w:val="154"/>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Транспортёр шлакоудаления (ТШУ).</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н/д</w:t>
            </w:r>
            <w:r>
              <w:rPr>
                <w:sz w:val="20"/>
                <w:szCs w:val="20"/>
              </w:rPr>
            </w:r>
            <w:r>
              <w:rPr>
                <w:sz w:val="20"/>
                <w:szCs w:val="20"/>
              </w:rPr>
            </w:r>
          </w:p>
        </w:tc>
      </w:tr>
      <w:tr>
        <w:tblPrEx/>
        <w:trPr>
          <w:trHeight w:val="559"/>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Транспортёр подачи угля (ТПУ) № 2 (внутренний).</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н/д</w:t>
            </w:r>
            <w:r>
              <w:rPr>
                <w:sz w:val="20"/>
                <w:szCs w:val="20"/>
              </w:rPr>
            </w:r>
            <w:r>
              <w:rPr>
                <w:sz w:val="20"/>
                <w:szCs w:val="20"/>
              </w:rPr>
            </w:r>
          </w:p>
        </w:tc>
      </w:tr>
      <w:tr>
        <w:tblPrEx/>
        <w:trPr>
          <w:trHeight w:val="559"/>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gridSpan w:val="3"/>
            <w:tcW w:w="8754" w:type="dxa"/>
            <w:textDirection w:val="lrTb"/>
            <w:noWrap w:val="false"/>
          </w:tcPr>
          <w:p>
            <w:pPr>
              <w:jc w:val="both"/>
              <w:rPr>
                <w:sz w:val="20"/>
                <w:szCs w:val="20"/>
              </w:rPr>
            </w:pPr>
            <w:r>
              <w:rPr>
                <w:b/>
                <w:sz w:val="22"/>
                <w:szCs w:val="22"/>
              </w:rPr>
              <w:t xml:space="preserve">Мурманская область, Печенгский муниципальный округ, н.п. Спутник,  котельная № 42/138.</w:t>
            </w:r>
            <w:r>
              <w:rPr>
                <w:sz w:val="20"/>
                <w:szCs w:val="20"/>
              </w:rPr>
            </w:r>
            <w:r>
              <w:rPr>
                <w:sz w:val="20"/>
                <w:szCs w:val="20"/>
              </w:rPr>
            </w:r>
          </w:p>
        </w:tc>
      </w:tr>
      <w:tr>
        <w:tblPrEx/>
        <w:trPr>
          <w:trHeight w:val="559"/>
        </w:trPr>
        <w:tc>
          <w:tcPr>
            <w:tcW w:w="426" w:type="pct"/>
            <w:vAlign w:val="center"/>
            <w:textDirection w:val="lrTb"/>
            <w:noWrap w:val="false"/>
          </w:tcPr>
          <w:p>
            <w:pPr>
              <w:pStyle w:val="943"/>
              <w:numPr>
                <w:ilvl w:val="0"/>
                <w:numId w:val="22"/>
              </w:numPr>
              <w:contextualSpacing w:val="0"/>
              <w:jc w:val="both"/>
              <w:widowControl w:val="off"/>
              <w:rPr>
                <w:sz w:val="20"/>
                <w:szCs w:val="20"/>
                <w:lang w:val="ru-RU" w:eastAsia="en-US"/>
              </w:rPr>
            </w:pPr>
            <w:r>
              <w:rPr>
                <w:sz w:val="22"/>
                <w:szCs w:val="22"/>
                <w:lang w:val="ru-RU" w:eastAsia="en-US"/>
              </w:rPr>
            </w:r>
            <w:r>
              <w:rPr>
                <w:sz w:val="20"/>
                <w:szCs w:val="20"/>
                <w:lang w:val="ru-RU" w:eastAsia="en-US"/>
              </w:rPr>
            </w:r>
            <w:r>
              <w:rPr>
                <w:sz w:val="20"/>
                <w:szCs w:val="20"/>
                <w:lang w:val="ru-RU" w:eastAsia="en-US"/>
              </w:rPr>
            </w:r>
          </w:p>
        </w:tc>
        <w:tc>
          <w:tcPr>
            <w:tcW w:w="3935" w:type="dxa"/>
            <w:textDirection w:val="lrTb"/>
            <w:noWrap w:val="false"/>
          </w:tcPr>
          <w:p>
            <w:pPr>
              <w:jc w:val="both"/>
              <w:rPr>
                <w:sz w:val="20"/>
                <w:szCs w:val="20"/>
              </w:rPr>
            </w:pPr>
            <w:r>
              <w:rPr>
                <w:sz w:val="22"/>
                <w:szCs w:val="22"/>
              </w:rPr>
              <w:t xml:space="preserve">Котел водогрейный КВР-1,5 ст. № 1.</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Установленная мощность </w:t>
            </w:r>
            <w:r>
              <w:rPr>
                <w:sz w:val="20"/>
                <w:szCs w:val="20"/>
              </w:rPr>
            </w:r>
            <w:r>
              <w:rPr>
                <w:sz w:val="20"/>
                <w:szCs w:val="20"/>
              </w:rPr>
            </w:r>
          </w:p>
          <w:p>
            <w:pPr>
              <w:jc w:val="both"/>
              <w:rPr>
                <w:sz w:val="20"/>
                <w:szCs w:val="20"/>
              </w:rPr>
            </w:pPr>
            <w:r>
              <w:rPr>
                <w:sz w:val="22"/>
                <w:szCs w:val="22"/>
              </w:rPr>
              <w:t xml:space="preserve">1,289  Гкал/ч</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2017 год</w:t>
            </w:r>
            <w:r>
              <w:rPr>
                <w:sz w:val="20"/>
                <w:szCs w:val="20"/>
              </w:rPr>
            </w:r>
            <w:r>
              <w:rPr>
                <w:sz w:val="20"/>
                <w:szCs w:val="20"/>
              </w:rPr>
            </w:r>
          </w:p>
        </w:tc>
      </w:tr>
      <w:tr>
        <w:tblPrEx/>
        <w:trPr>
          <w:trHeight w:val="559"/>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Котел водогрейный КВР-1,5 ст. № 2.</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Установленная мощность </w:t>
            </w:r>
            <w:r>
              <w:rPr>
                <w:sz w:val="20"/>
                <w:szCs w:val="20"/>
              </w:rPr>
            </w:r>
            <w:r>
              <w:rPr>
                <w:sz w:val="20"/>
                <w:szCs w:val="20"/>
              </w:rPr>
            </w:r>
          </w:p>
          <w:p>
            <w:pPr>
              <w:jc w:val="both"/>
              <w:rPr>
                <w:sz w:val="20"/>
                <w:szCs w:val="20"/>
              </w:rPr>
            </w:pPr>
            <w:r>
              <w:rPr>
                <w:sz w:val="22"/>
                <w:szCs w:val="22"/>
              </w:rPr>
              <w:t xml:space="preserve">1,289  Гкал/ч</w:t>
            </w:r>
            <w:r>
              <w:rPr>
                <w:sz w:val="20"/>
                <w:szCs w:val="20"/>
              </w:rPr>
            </w:r>
            <w:r>
              <w:rPr>
                <w:sz w:val="20"/>
                <w:szCs w:val="20"/>
              </w:rPr>
            </w:r>
          </w:p>
        </w:tc>
        <w:tc>
          <w:tcPr>
            <w:tcW w:w="1891" w:type="dxa"/>
            <w:textDirection w:val="lrTb"/>
            <w:noWrap w:val="false"/>
          </w:tcPr>
          <w:p>
            <w:pPr>
              <w:ind w:firstLine="458"/>
              <w:jc w:val="both"/>
              <w:rPr>
                <w:sz w:val="20"/>
                <w:szCs w:val="20"/>
              </w:rPr>
            </w:pPr>
            <w:r>
              <w:rPr>
                <w:sz w:val="22"/>
                <w:szCs w:val="22"/>
              </w:rPr>
              <w:t xml:space="preserve">2017 год</w:t>
            </w:r>
            <w:r>
              <w:rPr>
                <w:sz w:val="20"/>
                <w:szCs w:val="20"/>
              </w:rPr>
            </w:r>
            <w:r>
              <w:rPr>
                <w:sz w:val="20"/>
                <w:szCs w:val="20"/>
              </w:rPr>
            </w:r>
          </w:p>
        </w:tc>
      </w:tr>
      <w:tr>
        <w:tblPrEx/>
        <w:trPr>
          <w:trHeight w:val="559"/>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Котел водогрейный КВР-1,5 ст. № 3.</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Установленная мощность </w:t>
            </w:r>
            <w:r>
              <w:rPr>
                <w:sz w:val="20"/>
                <w:szCs w:val="20"/>
              </w:rPr>
            </w:r>
            <w:r>
              <w:rPr>
                <w:sz w:val="20"/>
                <w:szCs w:val="20"/>
              </w:rPr>
            </w:r>
          </w:p>
          <w:p>
            <w:pPr>
              <w:jc w:val="both"/>
              <w:rPr>
                <w:sz w:val="20"/>
                <w:szCs w:val="20"/>
              </w:rPr>
            </w:pPr>
            <w:r>
              <w:rPr>
                <w:sz w:val="22"/>
                <w:szCs w:val="22"/>
              </w:rPr>
              <w:t xml:space="preserve">1,289  Гкал/ч</w:t>
            </w:r>
            <w:r>
              <w:rPr>
                <w:sz w:val="20"/>
                <w:szCs w:val="20"/>
              </w:rPr>
            </w:r>
            <w:r>
              <w:rPr>
                <w:sz w:val="20"/>
                <w:szCs w:val="20"/>
              </w:rPr>
            </w:r>
          </w:p>
        </w:tc>
        <w:tc>
          <w:tcPr>
            <w:tcW w:w="1891" w:type="dxa"/>
            <w:textDirection w:val="lrTb"/>
            <w:noWrap w:val="false"/>
          </w:tcPr>
          <w:p>
            <w:pPr>
              <w:ind w:firstLine="458"/>
              <w:jc w:val="both"/>
              <w:rPr>
                <w:sz w:val="20"/>
                <w:szCs w:val="20"/>
              </w:rPr>
            </w:pPr>
            <w:r>
              <w:rPr>
                <w:sz w:val="22"/>
                <w:szCs w:val="22"/>
              </w:rPr>
              <w:t xml:space="preserve">2017 год</w:t>
            </w:r>
            <w:r>
              <w:rPr>
                <w:sz w:val="20"/>
                <w:szCs w:val="20"/>
              </w:rPr>
            </w:r>
            <w:r>
              <w:rPr>
                <w:sz w:val="20"/>
                <w:szCs w:val="20"/>
              </w:rPr>
            </w:r>
          </w:p>
        </w:tc>
      </w:tr>
      <w:tr>
        <w:tblPrEx/>
        <w:trPr>
          <w:trHeight w:val="559"/>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Котел водогрейный КВР-1,5 ст. № 4.</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Установленная мощность </w:t>
            </w:r>
            <w:r>
              <w:rPr>
                <w:sz w:val="20"/>
                <w:szCs w:val="20"/>
              </w:rPr>
            </w:r>
            <w:r>
              <w:rPr>
                <w:sz w:val="20"/>
                <w:szCs w:val="20"/>
              </w:rPr>
            </w:r>
          </w:p>
          <w:p>
            <w:pPr>
              <w:jc w:val="both"/>
              <w:rPr>
                <w:sz w:val="20"/>
                <w:szCs w:val="20"/>
              </w:rPr>
            </w:pPr>
            <w:r>
              <w:rPr>
                <w:sz w:val="22"/>
                <w:szCs w:val="22"/>
              </w:rPr>
              <w:t xml:space="preserve">1,289  Гкал/ч</w:t>
            </w:r>
            <w:r>
              <w:rPr>
                <w:sz w:val="20"/>
                <w:szCs w:val="20"/>
              </w:rPr>
            </w:r>
            <w:r>
              <w:rPr>
                <w:sz w:val="20"/>
                <w:szCs w:val="20"/>
              </w:rPr>
            </w:r>
          </w:p>
        </w:tc>
        <w:tc>
          <w:tcPr>
            <w:tcW w:w="1891" w:type="dxa"/>
            <w:textDirection w:val="lrTb"/>
            <w:noWrap w:val="false"/>
          </w:tcPr>
          <w:p>
            <w:pPr>
              <w:ind w:firstLine="458"/>
              <w:jc w:val="both"/>
              <w:rPr>
                <w:sz w:val="20"/>
                <w:szCs w:val="20"/>
              </w:rPr>
            </w:pPr>
            <w:r>
              <w:rPr>
                <w:sz w:val="22"/>
                <w:szCs w:val="22"/>
              </w:rPr>
              <w:t xml:space="preserve">2017 год</w:t>
            </w:r>
            <w:r>
              <w:rPr>
                <w:sz w:val="20"/>
                <w:szCs w:val="20"/>
              </w:rPr>
            </w:r>
            <w:r>
              <w:rPr>
                <w:sz w:val="20"/>
                <w:szCs w:val="20"/>
              </w:rPr>
            </w:r>
          </w:p>
        </w:tc>
      </w:tr>
      <w:tr>
        <w:tblPrEx/>
        <w:trPr>
          <w:trHeight w:val="559"/>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Котел водогрейный КВР-1,5 ст. № 5.</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Установленная мощность </w:t>
            </w:r>
            <w:r>
              <w:rPr>
                <w:sz w:val="20"/>
                <w:szCs w:val="20"/>
              </w:rPr>
            </w:r>
            <w:r>
              <w:rPr>
                <w:sz w:val="20"/>
                <w:szCs w:val="20"/>
              </w:rPr>
            </w:r>
          </w:p>
          <w:p>
            <w:pPr>
              <w:jc w:val="both"/>
              <w:rPr>
                <w:sz w:val="20"/>
                <w:szCs w:val="20"/>
              </w:rPr>
            </w:pPr>
            <w:r>
              <w:rPr>
                <w:sz w:val="22"/>
                <w:szCs w:val="22"/>
              </w:rPr>
              <w:t xml:space="preserve">1,289  Гкал/ч</w:t>
            </w:r>
            <w:r>
              <w:rPr>
                <w:sz w:val="20"/>
                <w:szCs w:val="20"/>
              </w:rPr>
            </w:r>
            <w:r>
              <w:rPr>
                <w:sz w:val="20"/>
                <w:szCs w:val="20"/>
              </w:rPr>
            </w:r>
          </w:p>
        </w:tc>
        <w:tc>
          <w:tcPr>
            <w:tcW w:w="1891" w:type="dxa"/>
            <w:textDirection w:val="lrTb"/>
            <w:noWrap w:val="false"/>
          </w:tcPr>
          <w:p>
            <w:pPr>
              <w:ind w:firstLine="458"/>
              <w:jc w:val="both"/>
              <w:rPr>
                <w:sz w:val="20"/>
                <w:szCs w:val="20"/>
              </w:rPr>
            </w:pPr>
            <w:r>
              <w:rPr>
                <w:sz w:val="22"/>
                <w:szCs w:val="22"/>
              </w:rPr>
              <w:t xml:space="preserve">2017 год</w:t>
            </w:r>
            <w:r>
              <w:rPr>
                <w:sz w:val="20"/>
                <w:szCs w:val="20"/>
              </w:rPr>
            </w:r>
            <w:r>
              <w:rPr>
                <w:sz w:val="20"/>
                <w:szCs w:val="20"/>
              </w:rPr>
            </w:r>
          </w:p>
        </w:tc>
      </w:tr>
      <w:tr>
        <w:tblPrEx/>
        <w:trPr>
          <w:trHeight w:val="421"/>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Котел водогрейный КВР-1,5 ст. № 6.</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Установленная мощность </w:t>
            </w:r>
            <w:r>
              <w:rPr>
                <w:sz w:val="20"/>
                <w:szCs w:val="20"/>
              </w:rPr>
            </w:r>
            <w:r>
              <w:rPr>
                <w:sz w:val="20"/>
                <w:szCs w:val="20"/>
              </w:rPr>
            </w:r>
          </w:p>
          <w:p>
            <w:pPr>
              <w:jc w:val="both"/>
              <w:rPr>
                <w:sz w:val="20"/>
                <w:szCs w:val="20"/>
              </w:rPr>
            </w:pPr>
            <w:r>
              <w:rPr>
                <w:sz w:val="22"/>
                <w:szCs w:val="22"/>
              </w:rPr>
              <w:t xml:space="preserve">1,289  Гкал/ч</w:t>
            </w:r>
            <w:r>
              <w:rPr>
                <w:sz w:val="20"/>
                <w:szCs w:val="20"/>
              </w:rPr>
            </w:r>
            <w:r>
              <w:rPr>
                <w:sz w:val="20"/>
                <w:szCs w:val="20"/>
              </w:rPr>
            </w:r>
          </w:p>
        </w:tc>
        <w:tc>
          <w:tcPr>
            <w:tcW w:w="1891" w:type="dxa"/>
            <w:textDirection w:val="lrTb"/>
            <w:noWrap w:val="false"/>
          </w:tcPr>
          <w:p>
            <w:pPr>
              <w:ind w:firstLine="458"/>
              <w:jc w:val="both"/>
              <w:rPr>
                <w:sz w:val="20"/>
                <w:szCs w:val="20"/>
              </w:rPr>
            </w:pPr>
            <w:r>
              <w:rPr>
                <w:sz w:val="22"/>
                <w:szCs w:val="22"/>
              </w:rPr>
              <w:t xml:space="preserve">2017 год</w:t>
            </w:r>
            <w:r>
              <w:rPr>
                <w:sz w:val="20"/>
                <w:szCs w:val="20"/>
              </w:rPr>
            </w:r>
            <w:r>
              <w:rPr>
                <w:sz w:val="20"/>
                <w:szCs w:val="20"/>
              </w:rPr>
            </w:r>
          </w:p>
        </w:tc>
      </w:tr>
      <w:tr>
        <w:tblPrEx/>
        <w:trPr>
          <w:trHeight w:val="559"/>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Котел водогрейный КВР-1,5 ст. № 7.</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Установленная мощность </w:t>
            </w:r>
            <w:r>
              <w:rPr>
                <w:sz w:val="20"/>
                <w:szCs w:val="20"/>
              </w:rPr>
            </w:r>
            <w:r>
              <w:rPr>
                <w:sz w:val="20"/>
                <w:szCs w:val="20"/>
              </w:rPr>
            </w:r>
          </w:p>
          <w:p>
            <w:pPr>
              <w:jc w:val="both"/>
              <w:rPr>
                <w:sz w:val="20"/>
                <w:szCs w:val="20"/>
              </w:rPr>
            </w:pPr>
            <w:r>
              <w:rPr>
                <w:sz w:val="22"/>
                <w:szCs w:val="22"/>
              </w:rPr>
              <w:t xml:space="preserve">1,289  Гкал/ч</w:t>
            </w:r>
            <w:r>
              <w:rPr>
                <w:sz w:val="20"/>
                <w:szCs w:val="20"/>
              </w:rPr>
            </w:r>
            <w:r>
              <w:rPr>
                <w:sz w:val="20"/>
                <w:szCs w:val="20"/>
              </w:rPr>
            </w:r>
          </w:p>
        </w:tc>
        <w:tc>
          <w:tcPr>
            <w:tcW w:w="1891" w:type="dxa"/>
            <w:textDirection w:val="lrTb"/>
            <w:noWrap w:val="false"/>
          </w:tcPr>
          <w:p>
            <w:pPr>
              <w:ind w:firstLine="458"/>
              <w:jc w:val="both"/>
              <w:rPr>
                <w:sz w:val="20"/>
                <w:szCs w:val="20"/>
              </w:rPr>
            </w:pPr>
            <w:r>
              <w:rPr>
                <w:sz w:val="22"/>
                <w:szCs w:val="22"/>
              </w:rPr>
              <w:t xml:space="preserve">2017 год</w:t>
            </w:r>
            <w:r>
              <w:rPr>
                <w:sz w:val="20"/>
                <w:szCs w:val="20"/>
              </w:rPr>
            </w:r>
            <w:r>
              <w:rPr>
                <w:sz w:val="20"/>
                <w:szCs w:val="20"/>
              </w:rPr>
            </w:r>
          </w:p>
        </w:tc>
      </w:tr>
      <w:tr>
        <w:tblPrEx/>
        <w:trPr>
          <w:trHeight w:val="559"/>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Котел водогрейный КВР-1,5 ст. № 8.</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Установленная мощность </w:t>
            </w:r>
            <w:r>
              <w:rPr>
                <w:sz w:val="20"/>
                <w:szCs w:val="20"/>
              </w:rPr>
            </w:r>
            <w:r>
              <w:rPr>
                <w:sz w:val="20"/>
                <w:szCs w:val="20"/>
              </w:rPr>
            </w:r>
          </w:p>
          <w:p>
            <w:pPr>
              <w:jc w:val="both"/>
              <w:rPr>
                <w:sz w:val="20"/>
                <w:szCs w:val="20"/>
              </w:rPr>
            </w:pPr>
            <w:r>
              <w:rPr>
                <w:sz w:val="22"/>
                <w:szCs w:val="22"/>
              </w:rPr>
              <w:t xml:space="preserve">1,289  Гкал/ч</w:t>
            </w:r>
            <w:r>
              <w:rPr>
                <w:sz w:val="20"/>
                <w:szCs w:val="20"/>
              </w:rPr>
            </w:r>
            <w:r>
              <w:rPr>
                <w:sz w:val="20"/>
                <w:szCs w:val="20"/>
              </w:rPr>
            </w:r>
          </w:p>
        </w:tc>
        <w:tc>
          <w:tcPr>
            <w:tcW w:w="1891" w:type="dxa"/>
            <w:textDirection w:val="lrTb"/>
            <w:noWrap w:val="false"/>
          </w:tcPr>
          <w:p>
            <w:pPr>
              <w:ind w:firstLine="458"/>
              <w:jc w:val="both"/>
              <w:rPr>
                <w:sz w:val="20"/>
                <w:szCs w:val="20"/>
              </w:rPr>
            </w:pPr>
            <w:r>
              <w:rPr>
                <w:sz w:val="22"/>
                <w:szCs w:val="22"/>
              </w:rPr>
              <w:t xml:space="preserve">2017 год</w:t>
            </w:r>
            <w:r>
              <w:rPr>
                <w:sz w:val="20"/>
                <w:szCs w:val="20"/>
              </w:rPr>
            </w:r>
            <w:r>
              <w:rPr>
                <w:sz w:val="20"/>
                <w:szCs w:val="20"/>
              </w:rPr>
            </w:r>
          </w:p>
        </w:tc>
      </w:tr>
      <w:tr>
        <w:tblPrEx/>
        <w:trPr>
          <w:trHeight w:val="559"/>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Котел водогрейный КВР-1,5 ст. № 9.</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Установленная мощность </w:t>
            </w:r>
            <w:r>
              <w:rPr>
                <w:sz w:val="20"/>
                <w:szCs w:val="20"/>
              </w:rPr>
            </w:r>
            <w:r>
              <w:rPr>
                <w:sz w:val="20"/>
                <w:szCs w:val="20"/>
              </w:rPr>
            </w:r>
          </w:p>
          <w:p>
            <w:pPr>
              <w:jc w:val="both"/>
              <w:rPr>
                <w:sz w:val="20"/>
                <w:szCs w:val="20"/>
              </w:rPr>
            </w:pPr>
            <w:r>
              <w:rPr>
                <w:sz w:val="22"/>
                <w:szCs w:val="22"/>
              </w:rPr>
              <w:t xml:space="preserve">1,289  Гкал/ч</w:t>
            </w:r>
            <w:r>
              <w:rPr>
                <w:sz w:val="20"/>
                <w:szCs w:val="20"/>
              </w:rPr>
            </w:r>
            <w:r>
              <w:rPr>
                <w:sz w:val="20"/>
                <w:szCs w:val="20"/>
              </w:rPr>
            </w:r>
          </w:p>
        </w:tc>
        <w:tc>
          <w:tcPr>
            <w:tcW w:w="1891" w:type="dxa"/>
            <w:textDirection w:val="lrTb"/>
            <w:noWrap w:val="false"/>
          </w:tcPr>
          <w:p>
            <w:pPr>
              <w:ind w:firstLine="458"/>
              <w:jc w:val="both"/>
              <w:rPr>
                <w:sz w:val="20"/>
                <w:szCs w:val="20"/>
              </w:rPr>
            </w:pPr>
            <w:r>
              <w:rPr>
                <w:sz w:val="22"/>
                <w:szCs w:val="22"/>
              </w:rPr>
              <w:t xml:space="preserve">2017 год</w:t>
            </w:r>
            <w:r>
              <w:rPr>
                <w:sz w:val="20"/>
                <w:szCs w:val="20"/>
              </w:rPr>
            </w:r>
            <w:r>
              <w:rPr>
                <w:sz w:val="20"/>
                <w:szCs w:val="20"/>
              </w:rPr>
            </w:r>
          </w:p>
        </w:tc>
      </w:tr>
      <w:tr>
        <w:tblPrEx/>
        <w:trPr>
          <w:trHeight w:val="277"/>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Котел водогрейный КВР-1,5 ст. № 10.</w:t>
            </w:r>
            <w:r>
              <w:rPr>
                <w:sz w:val="20"/>
                <w:szCs w:val="20"/>
              </w:rPr>
            </w:r>
            <w:r>
              <w:rPr>
                <w:sz w:val="20"/>
                <w:szCs w:val="20"/>
              </w:rPr>
            </w:r>
          </w:p>
        </w:tc>
        <w:tc>
          <w:tcPr>
            <w:tcW w:w="1544" w:type="pct"/>
            <w:textDirection w:val="lrTb"/>
            <w:noWrap w:val="false"/>
          </w:tcPr>
          <w:p>
            <w:pPr>
              <w:jc w:val="both"/>
              <w:rPr>
                <w:sz w:val="20"/>
                <w:szCs w:val="20"/>
              </w:rPr>
            </w:pPr>
            <w:r>
              <w:rPr>
                <w:sz w:val="22"/>
                <w:szCs w:val="22"/>
              </w:rPr>
              <w:t xml:space="preserve">Установленная мощность </w:t>
            </w:r>
            <w:r>
              <w:rPr>
                <w:sz w:val="20"/>
                <w:szCs w:val="20"/>
              </w:rPr>
            </w:r>
            <w:r>
              <w:rPr>
                <w:sz w:val="20"/>
                <w:szCs w:val="20"/>
              </w:rPr>
            </w:r>
          </w:p>
          <w:p>
            <w:pPr>
              <w:jc w:val="both"/>
              <w:rPr>
                <w:sz w:val="20"/>
                <w:szCs w:val="20"/>
              </w:rPr>
            </w:pPr>
            <w:r>
              <w:rPr>
                <w:sz w:val="22"/>
                <w:szCs w:val="22"/>
              </w:rPr>
              <w:t xml:space="preserve">1,289  Гкал/ч</w:t>
            </w:r>
            <w:r>
              <w:rPr>
                <w:sz w:val="20"/>
                <w:szCs w:val="20"/>
              </w:rPr>
            </w:r>
            <w:r>
              <w:rPr>
                <w:sz w:val="20"/>
                <w:szCs w:val="20"/>
              </w:rPr>
            </w:r>
          </w:p>
        </w:tc>
        <w:tc>
          <w:tcPr>
            <w:tcW w:w="1891" w:type="dxa"/>
            <w:textDirection w:val="lrTb"/>
            <w:noWrap w:val="false"/>
          </w:tcPr>
          <w:p>
            <w:pPr>
              <w:ind w:firstLine="458"/>
              <w:jc w:val="both"/>
              <w:rPr>
                <w:sz w:val="20"/>
                <w:szCs w:val="20"/>
              </w:rPr>
            </w:pPr>
            <w:r>
              <w:rPr>
                <w:sz w:val="22"/>
                <w:szCs w:val="22"/>
              </w:rPr>
              <w:t xml:space="preserve">2017 год</w:t>
            </w:r>
            <w:r>
              <w:rPr>
                <w:sz w:val="20"/>
                <w:szCs w:val="20"/>
              </w:rPr>
            </w:r>
            <w:r>
              <w:rPr>
                <w:sz w:val="20"/>
                <w:szCs w:val="20"/>
              </w:rPr>
            </w:r>
          </w:p>
        </w:tc>
      </w:tr>
      <w:tr>
        <w:tblPrEx/>
        <w:trPr>
          <w:trHeight w:val="559"/>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Насос № 1 циркуляция накопительного бака </w:t>
            </w:r>
            <w:r>
              <w:rPr>
                <w:sz w:val="20"/>
                <w:szCs w:val="20"/>
              </w:rPr>
            </w:r>
            <w:r>
              <w:rPr>
                <w:sz w:val="20"/>
                <w:szCs w:val="20"/>
              </w:rPr>
            </w:r>
          </w:p>
          <w:p>
            <w:pPr>
              <w:jc w:val="both"/>
              <w:rPr>
                <w:sz w:val="20"/>
                <w:szCs w:val="20"/>
              </w:rPr>
            </w:pPr>
            <w:r>
              <w:rPr>
                <w:bCs/>
                <w:sz w:val="22"/>
                <w:szCs w:val="22"/>
              </w:rPr>
              <w:t xml:space="preserve">1К 100-85-200У3.1</w:t>
            </w:r>
            <w:r>
              <w:rPr>
                <w:sz w:val="20"/>
                <w:szCs w:val="20"/>
              </w:rPr>
            </w:r>
            <w:r>
              <w:rPr>
                <w:sz w:val="20"/>
                <w:szCs w:val="20"/>
              </w:rPr>
            </w:r>
          </w:p>
        </w:tc>
        <w:tc>
          <w:tcPr>
            <w:tcW w:w="1544" w:type="pct"/>
            <w:textDirection w:val="lrTb"/>
            <w:noWrap w:val="false"/>
          </w:tcPr>
          <w:p>
            <w:pPr>
              <w:jc w:val="both"/>
              <w:rPr>
                <w:bCs/>
                <w:sz w:val="20"/>
                <w:szCs w:val="20"/>
              </w:rPr>
            </w:pPr>
            <w:r>
              <w:rPr>
                <w:bCs/>
                <w:sz w:val="22"/>
                <w:szCs w:val="22"/>
              </w:rPr>
              <w:t xml:space="preserve">Производительность</w:t>
            </w:r>
            <w:r>
              <w:rPr>
                <w:bCs/>
                <w:sz w:val="20"/>
                <w:szCs w:val="20"/>
              </w:rPr>
            </w:r>
            <w:r>
              <w:rPr>
                <w:bCs/>
                <w:sz w:val="20"/>
                <w:szCs w:val="20"/>
              </w:rPr>
            </w:r>
          </w:p>
          <w:p>
            <w:pPr>
              <w:jc w:val="both"/>
              <w:rPr>
                <w:sz w:val="20"/>
                <w:szCs w:val="20"/>
              </w:rPr>
            </w:pPr>
            <w:r>
              <w:rPr>
                <w:bCs/>
                <w:sz w:val="22"/>
                <w:szCs w:val="22"/>
              </w:rPr>
              <w:t xml:space="preserve"> 100 м3/ч</w:t>
            </w:r>
            <w:r>
              <w:rPr>
                <w:sz w:val="20"/>
                <w:szCs w:val="20"/>
              </w:rPr>
            </w:r>
            <w:r>
              <w:rPr>
                <w:sz w:val="20"/>
                <w:szCs w:val="20"/>
              </w:rPr>
            </w:r>
          </w:p>
        </w:tc>
        <w:tc>
          <w:tcPr>
            <w:tcW w:w="1891" w:type="dxa"/>
            <w:textDirection w:val="lrTb"/>
            <w:noWrap w:val="false"/>
          </w:tcPr>
          <w:p>
            <w:pPr>
              <w:ind w:firstLine="458"/>
              <w:jc w:val="both"/>
              <w:rPr>
                <w:sz w:val="20"/>
                <w:szCs w:val="20"/>
              </w:rPr>
            </w:pPr>
            <w:r>
              <w:rPr>
                <w:sz w:val="22"/>
                <w:szCs w:val="22"/>
              </w:rPr>
              <w:t xml:space="preserve">2017 год</w:t>
            </w:r>
            <w:r>
              <w:rPr>
                <w:sz w:val="20"/>
                <w:szCs w:val="20"/>
              </w:rPr>
            </w:r>
            <w:r>
              <w:rPr>
                <w:sz w:val="20"/>
                <w:szCs w:val="20"/>
              </w:rPr>
            </w:r>
          </w:p>
        </w:tc>
      </w:tr>
      <w:tr>
        <w:tblPrEx/>
        <w:trPr>
          <w:trHeight w:val="559"/>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Насос № 2 циркуляция накопительного бака</w:t>
            </w:r>
            <w:r>
              <w:rPr>
                <w:sz w:val="20"/>
                <w:szCs w:val="20"/>
              </w:rPr>
            </w:r>
            <w:r>
              <w:rPr>
                <w:sz w:val="20"/>
                <w:szCs w:val="20"/>
              </w:rPr>
            </w:r>
          </w:p>
          <w:p>
            <w:pPr>
              <w:jc w:val="both"/>
              <w:rPr>
                <w:sz w:val="20"/>
                <w:szCs w:val="20"/>
              </w:rPr>
            </w:pPr>
            <w:r>
              <w:rPr>
                <w:bCs/>
                <w:sz w:val="22"/>
                <w:szCs w:val="22"/>
              </w:rPr>
              <w:t xml:space="preserve">1К 100-85-200У3.1</w:t>
            </w:r>
            <w:r>
              <w:rPr>
                <w:sz w:val="20"/>
                <w:szCs w:val="20"/>
              </w:rPr>
            </w:r>
            <w:r>
              <w:rPr>
                <w:sz w:val="20"/>
                <w:szCs w:val="20"/>
              </w:rPr>
            </w:r>
          </w:p>
        </w:tc>
        <w:tc>
          <w:tcPr>
            <w:tcW w:w="1544" w:type="pct"/>
            <w:textDirection w:val="lrTb"/>
            <w:noWrap w:val="false"/>
          </w:tcPr>
          <w:p>
            <w:pPr>
              <w:jc w:val="both"/>
              <w:rPr>
                <w:bCs/>
                <w:sz w:val="20"/>
                <w:szCs w:val="20"/>
              </w:rPr>
            </w:pPr>
            <w:r>
              <w:rPr>
                <w:bCs/>
                <w:sz w:val="22"/>
                <w:szCs w:val="22"/>
              </w:rPr>
              <w:t xml:space="preserve">Производительность</w:t>
            </w:r>
            <w:r>
              <w:rPr>
                <w:bCs/>
                <w:sz w:val="20"/>
                <w:szCs w:val="20"/>
              </w:rPr>
            </w:r>
            <w:r>
              <w:rPr>
                <w:bCs/>
                <w:sz w:val="20"/>
                <w:szCs w:val="20"/>
              </w:rPr>
            </w:r>
          </w:p>
          <w:p>
            <w:pPr>
              <w:jc w:val="both"/>
              <w:rPr>
                <w:sz w:val="20"/>
                <w:szCs w:val="20"/>
              </w:rPr>
            </w:pPr>
            <w:r>
              <w:rPr>
                <w:bCs/>
                <w:sz w:val="22"/>
                <w:szCs w:val="22"/>
              </w:rPr>
              <w:t xml:space="preserve"> 100 м3/ч</w:t>
            </w:r>
            <w:r>
              <w:rPr>
                <w:sz w:val="20"/>
                <w:szCs w:val="20"/>
              </w:rPr>
            </w:r>
            <w:r>
              <w:rPr>
                <w:sz w:val="20"/>
                <w:szCs w:val="20"/>
              </w:rPr>
            </w:r>
          </w:p>
        </w:tc>
        <w:tc>
          <w:tcPr>
            <w:tcW w:w="1891" w:type="dxa"/>
            <w:textDirection w:val="lrTb"/>
            <w:noWrap w:val="false"/>
          </w:tcPr>
          <w:p>
            <w:pPr>
              <w:ind w:firstLine="458"/>
              <w:jc w:val="both"/>
              <w:rPr>
                <w:sz w:val="20"/>
                <w:szCs w:val="20"/>
              </w:rPr>
            </w:pPr>
            <w:r>
              <w:rPr>
                <w:sz w:val="22"/>
                <w:szCs w:val="22"/>
              </w:rPr>
              <w:t xml:space="preserve">2017 год</w:t>
            </w:r>
            <w:r>
              <w:rPr>
                <w:sz w:val="20"/>
                <w:szCs w:val="20"/>
              </w:rPr>
            </w:r>
            <w:r>
              <w:rPr>
                <w:sz w:val="20"/>
                <w:szCs w:val="20"/>
              </w:rPr>
            </w:r>
          </w:p>
        </w:tc>
      </w:tr>
      <w:tr>
        <w:tblPrEx/>
        <w:trPr>
          <w:trHeight w:val="559"/>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Насос № 3 контура ГВС </w:t>
            </w:r>
            <w:r>
              <w:rPr>
                <w:sz w:val="20"/>
                <w:szCs w:val="20"/>
              </w:rPr>
            </w:r>
            <w:r>
              <w:rPr>
                <w:sz w:val="20"/>
                <w:szCs w:val="20"/>
              </w:rPr>
            </w:r>
          </w:p>
          <w:p>
            <w:pPr>
              <w:jc w:val="both"/>
              <w:rPr>
                <w:sz w:val="20"/>
                <w:szCs w:val="20"/>
              </w:rPr>
            </w:pPr>
            <w:r>
              <w:rPr>
                <w:bCs/>
                <w:sz w:val="22"/>
                <w:szCs w:val="22"/>
              </w:rPr>
              <w:t xml:space="preserve">1К 100-85-200У3.1</w:t>
            </w:r>
            <w:r>
              <w:rPr>
                <w:sz w:val="20"/>
                <w:szCs w:val="20"/>
              </w:rPr>
            </w:r>
            <w:r>
              <w:rPr>
                <w:sz w:val="20"/>
                <w:szCs w:val="20"/>
              </w:rPr>
            </w:r>
          </w:p>
        </w:tc>
        <w:tc>
          <w:tcPr>
            <w:tcW w:w="1544" w:type="pct"/>
            <w:textDirection w:val="lrTb"/>
            <w:noWrap w:val="false"/>
          </w:tcPr>
          <w:p>
            <w:pPr>
              <w:jc w:val="both"/>
              <w:rPr>
                <w:bCs/>
                <w:sz w:val="20"/>
                <w:szCs w:val="20"/>
              </w:rPr>
            </w:pPr>
            <w:r>
              <w:rPr>
                <w:bCs/>
                <w:sz w:val="22"/>
                <w:szCs w:val="22"/>
              </w:rPr>
              <w:t xml:space="preserve">Производительность</w:t>
            </w:r>
            <w:r>
              <w:rPr>
                <w:bCs/>
                <w:sz w:val="20"/>
                <w:szCs w:val="20"/>
              </w:rPr>
            </w:r>
            <w:r>
              <w:rPr>
                <w:bCs/>
                <w:sz w:val="20"/>
                <w:szCs w:val="20"/>
              </w:rPr>
            </w:r>
          </w:p>
          <w:p>
            <w:pPr>
              <w:jc w:val="both"/>
              <w:rPr>
                <w:sz w:val="20"/>
                <w:szCs w:val="20"/>
              </w:rPr>
            </w:pPr>
            <w:r>
              <w:rPr>
                <w:bCs/>
                <w:sz w:val="22"/>
                <w:szCs w:val="22"/>
              </w:rPr>
              <w:t xml:space="preserve"> 100 м3/ч</w:t>
            </w:r>
            <w:r>
              <w:rPr>
                <w:sz w:val="20"/>
                <w:szCs w:val="20"/>
              </w:rPr>
            </w:r>
            <w:r>
              <w:rPr>
                <w:sz w:val="20"/>
                <w:szCs w:val="20"/>
              </w:rPr>
            </w:r>
          </w:p>
        </w:tc>
        <w:tc>
          <w:tcPr>
            <w:tcW w:w="1891" w:type="dxa"/>
            <w:textDirection w:val="lrTb"/>
            <w:noWrap w:val="false"/>
          </w:tcPr>
          <w:p>
            <w:pPr>
              <w:ind w:firstLine="458"/>
              <w:jc w:val="both"/>
              <w:rPr>
                <w:sz w:val="20"/>
                <w:szCs w:val="20"/>
              </w:rPr>
            </w:pPr>
            <w:r>
              <w:rPr>
                <w:sz w:val="22"/>
                <w:szCs w:val="22"/>
              </w:rPr>
              <w:t xml:space="preserve">2017 год</w:t>
            </w:r>
            <w:r>
              <w:rPr>
                <w:sz w:val="20"/>
                <w:szCs w:val="20"/>
              </w:rPr>
            </w:r>
            <w:r>
              <w:rPr>
                <w:sz w:val="20"/>
                <w:szCs w:val="20"/>
              </w:rPr>
            </w:r>
          </w:p>
        </w:tc>
      </w:tr>
      <w:tr>
        <w:tblPrEx/>
        <w:trPr>
          <w:trHeight w:val="559"/>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Насос № 4 контура ГВС </w:t>
            </w:r>
            <w:r>
              <w:rPr>
                <w:sz w:val="20"/>
                <w:szCs w:val="20"/>
              </w:rPr>
            </w:r>
            <w:r>
              <w:rPr>
                <w:sz w:val="20"/>
                <w:szCs w:val="20"/>
              </w:rPr>
            </w:r>
          </w:p>
          <w:p>
            <w:pPr>
              <w:jc w:val="both"/>
              <w:rPr>
                <w:sz w:val="20"/>
                <w:szCs w:val="20"/>
              </w:rPr>
            </w:pPr>
            <w:r>
              <w:rPr>
                <w:bCs/>
                <w:sz w:val="22"/>
                <w:szCs w:val="22"/>
              </w:rPr>
              <w:t xml:space="preserve">1К 100-85-200У3.1</w:t>
            </w:r>
            <w:r>
              <w:rPr>
                <w:sz w:val="20"/>
                <w:szCs w:val="20"/>
              </w:rPr>
            </w:r>
            <w:r>
              <w:rPr>
                <w:sz w:val="20"/>
                <w:szCs w:val="20"/>
              </w:rPr>
            </w:r>
          </w:p>
        </w:tc>
        <w:tc>
          <w:tcPr>
            <w:tcW w:w="1544" w:type="pct"/>
            <w:textDirection w:val="lrTb"/>
            <w:noWrap w:val="false"/>
          </w:tcPr>
          <w:p>
            <w:pPr>
              <w:jc w:val="both"/>
              <w:rPr>
                <w:bCs/>
                <w:sz w:val="20"/>
                <w:szCs w:val="20"/>
              </w:rPr>
            </w:pPr>
            <w:r>
              <w:rPr>
                <w:bCs/>
                <w:sz w:val="22"/>
                <w:szCs w:val="22"/>
              </w:rPr>
              <w:t xml:space="preserve">Производительность</w:t>
            </w:r>
            <w:r>
              <w:rPr>
                <w:bCs/>
                <w:sz w:val="20"/>
                <w:szCs w:val="20"/>
              </w:rPr>
            </w:r>
            <w:r>
              <w:rPr>
                <w:bCs/>
                <w:sz w:val="20"/>
                <w:szCs w:val="20"/>
              </w:rPr>
            </w:r>
          </w:p>
          <w:p>
            <w:pPr>
              <w:jc w:val="both"/>
              <w:rPr>
                <w:sz w:val="20"/>
                <w:szCs w:val="20"/>
              </w:rPr>
            </w:pPr>
            <w:r>
              <w:rPr>
                <w:bCs/>
                <w:sz w:val="22"/>
                <w:szCs w:val="22"/>
              </w:rPr>
              <w:t xml:space="preserve"> 100 м3/ч</w:t>
            </w:r>
            <w:r>
              <w:rPr>
                <w:sz w:val="20"/>
                <w:szCs w:val="20"/>
              </w:rPr>
            </w:r>
            <w:r>
              <w:rPr>
                <w:sz w:val="20"/>
                <w:szCs w:val="20"/>
              </w:rPr>
            </w:r>
          </w:p>
        </w:tc>
        <w:tc>
          <w:tcPr>
            <w:tcW w:w="1891" w:type="dxa"/>
            <w:textDirection w:val="lrTb"/>
            <w:noWrap w:val="false"/>
          </w:tcPr>
          <w:p>
            <w:pPr>
              <w:ind w:firstLine="458"/>
              <w:jc w:val="both"/>
              <w:rPr>
                <w:sz w:val="20"/>
                <w:szCs w:val="20"/>
              </w:rPr>
            </w:pPr>
            <w:r>
              <w:rPr>
                <w:sz w:val="22"/>
                <w:szCs w:val="22"/>
              </w:rPr>
              <w:t xml:space="preserve">2017 год</w:t>
            </w:r>
            <w:r>
              <w:rPr>
                <w:sz w:val="20"/>
                <w:szCs w:val="20"/>
              </w:rPr>
            </w:r>
            <w:r>
              <w:rPr>
                <w:sz w:val="20"/>
                <w:szCs w:val="20"/>
              </w:rPr>
            </w:r>
          </w:p>
        </w:tc>
      </w:tr>
      <w:tr>
        <w:tblPrEx/>
        <w:trPr>
          <w:trHeight w:val="559"/>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Насос № 5 контура ЦО</w:t>
            </w:r>
            <w:r>
              <w:rPr>
                <w:sz w:val="20"/>
                <w:szCs w:val="20"/>
              </w:rPr>
            </w:r>
            <w:r>
              <w:rPr>
                <w:sz w:val="20"/>
                <w:szCs w:val="20"/>
              </w:rPr>
            </w:r>
          </w:p>
          <w:p>
            <w:pPr>
              <w:jc w:val="both"/>
              <w:rPr>
                <w:sz w:val="20"/>
                <w:szCs w:val="20"/>
              </w:rPr>
            </w:pPr>
            <w:r>
              <w:rPr>
                <w:bCs/>
                <w:sz w:val="22"/>
                <w:szCs w:val="22"/>
              </w:rPr>
              <w:t xml:space="preserve">1К 100-85-200У3.1</w:t>
            </w:r>
            <w:r>
              <w:rPr>
                <w:sz w:val="20"/>
                <w:szCs w:val="20"/>
              </w:rPr>
            </w:r>
            <w:r>
              <w:rPr>
                <w:sz w:val="20"/>
                <w:szCs w:val="20"/>
              </w:rPr>
            </w:r>
          </w:p>
        </w:tc>
        <w:tc>
          <w:tcPr>
            <w:tcW w:w="1544" w:type="pct"/>
            <w:textDirection w:val="lrTb"/>
            <w:noWrap w:val="false"/>
          </w:tcPr>
          <w:p>
            <w:pPr>
              <w:jc w:val="both"/>
              <w:rPr>
                <w:bCs/>
                <w:sz w:val="20"/>
                <w:szCs w:val="20"/>
              </w:rPr>
            </w:pPr>
            <w:r>
              <w:rPr>
                <w:bCs/>
                <w:sz w:val="22"/>
                <w:szCs w:val="22"/>
              </w:rPr>
              <w:t xml:space="preserve">Производительность</w:t>
            </w:r>
            <w:r>
              <w:rPr>
                <w:bCs/>
                <w:sz w:val="20"/>
                <w:szCs w:val="20"/>
              </w:rPr>
            </w:r>
            <w:r>
              <w:rPr>
                <w:bCs/>
                <w:sz w:val="20"/>
                <w:szCs w:val="20"/>
              </w:rPr>
            </w:r>
          </w:p>
          <w:p>
            <w:pPr>
              <w:jc w:val="both"/>
              <w:rPr>
                <w:sz w:val="20"/>
                <w:szCs w:val="20"/>
              </w:rPr>
            </w:pPr>
            <w:r>
              <w:rPr>
                <w:bCs/>
                <w:sz w:val="22"/>
                <w:szCs w:val="22"/>
              </w:rPr>
              <w:t xml:space="preserve"> 100 м3/ч</w:t>
            </w:r>
            <w:r>
              <w:rPr>
                <w:sz w:val="20"/>
                <w:szCs w:val="20"/>
              </w:rPr>
            </w:r>
            <w:r>
              <w:rPr>
                <w:sz w:val="20"/>
                <w:szCs w:val="20"/>
              </w:rPr>
            </w:r>
          </w:p>
        </w:tc>
        <w:tc>
          <w:tcPr>
            <w:tcW w:w="1891" w:type="dxa"/>
            <w:textDirection w:val="lrTb"/>
            <w:noWrap w:val="false"/>
          </w:tcPr>
          <w:p>
            <w:pPr>
              <w:ind w:firstLine="458"/>
              <w:jc w:val="both"/>
              <w:rPr>
                <w:sz w:val="20"/>
                <w:szCs w:val="20"/>
              </w:rPr>
            </w:pPr>
            <w:r>
              <w:rPr>
                <w:sz w:val="22"/>
                <w:szCs w:val="22"/>
              </w:rPr>
              <w:t xml:space="preserve">2017 год</w:t>
            </w:r>
            <w:r>
              <w:rPr>
                <w:sz w:val="20"/>
                <w:szCs w:val="20"/>
              </w:rPr>
            </w:r>
            <w:r>
              <w:rPr>
                <w:sz w:val="20"/>
                <w:szCs w:val="20"/>
              </w:rPr>
            </w:r>
          </w:p>
        </w:tc>
      </w:tr>
      <w:tr>
        <w:tblPrEx/>
        <w:trPr>
          <w:trHeight w:val="559"/>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Насос № 6 контура ЦО</w:t>
            </w:r>
            <w:r>
              <w:rPr>
                <w:sz w:val="20"/>
                <w:szCs w:val="20"/>
              </w:rPr>
            </w:r>
            <w:r>
              <w:rPr>
                <w:sz w:val="20"/>
                <w:szCs w:val="20"/>
              </w:rPr>
            </w:r>
          </w:p>
          <w:p>
            <w:pPr>
              <w:jc w:val="both"/>
              <w:rPr>
                <w:sz w:val="20"/>
                <w:szCs w:val="20"/>
              </w:rPr>
            </w:pPr>
            <w:r>
              <w:rPr>
                <w:bCs/>
                <w:sz w:val="22"/>
                <w:szCs w:val="22"/>
              </w:rPr>
              <w:t xml:space="preserve">1К 100-85-200У3.1</w:t>
            </w:r>
            <w:r>
              <w:rPr>
                <w:sz w:val="20"/>
                <w:szCs w:val="20"/>
              </w:rPr>
            </w:r>
            <w:r>
              <w:rPr>
                <w:sz w:val="20"/>
                <w:szCs w:val="20"/>
              </w:rPr>
            </w:r>
          </w:p>
        </w:tc>
        <w:tc>
          <w:tcPr>
            <w:tcW w:w="1544" w:type="pct"/>
            <w:textDirection w:val="lrTb"/>
            <w:noWrap w:val="false"/>
          </w:tcPr>
          <w:p>
            <w:pPr>
              <w:jc w:val="both"/>
              <w:rPr>
                <w:bCs/>
                <w:sz w:val="20"/>
                <w:szCs w:val="20"/>
              </w:rPr>
            </w:pPr>
            <w:r>
              <w:rPr>
                <w:bCs/>
                <w:sz w:val="22"/>
                <w:szCs w:val="22"/>
              </w:rPr>
              <w:t xml:space="preserve">Производительность</w:t>
            </w:r>
            <w:r>
              <w:rPr>
                <w:bCs/>
                <w:sz w:val="20"/>
                <w:szCs w:val="20"/>
              </w:rPr>
            </w:r>
            <w:r>
              <w:rPr>
                <w:bCs/>
                <w:sz w:val="20"/>
                <w:szCs w:val="20"/>
              </w:rPr>
            </w:r>
          </w:p>
          <w:p>
            <w:pPr>
              <w:jc w:val="both"/>
              <w:rPr>
                <w:sz w:val="20"/>
                <w:szCs w:val="20"/>
              </w:rPr>
            </w:pPr>
            <w:r>
              <w:rPr>
                <w:bCs/>
                <w:sz w:val="22"/>
                <w:szCs w:val="22"/>
              </w:rPr>
              <w:t xml:space="preserve"> 100 м3/ч</w:t>
            </w:r>
            <w:r>
              <w:rPr>
                <w:sz w:val="20"/>
                <w:szCs w:val="20"/>
              </w:rPr>
            </w:r>
            <w:r>
              <w:rPr>
                <w:sz w:val="20"/>
                <w:szCs w:val="20"/>
              </w:rPr>
            </w:r>
          </w:p>
        </w:tc>
        <w:tc>
          <w:tcPr>
            <w:tcW w:w="1891" w:type="dxa"/>
            <w:textDirection w:val="lrTb"/>
            <w:noWrap w:val="false"/>
          </w:tcPr>
          <w:p>
            <w:pPr>
              <w:ind w:firstLine="458"/>
              <w:jc w:val="both"/>
              <w:rPr>
                <w:sz w:val="20"/>
                <w:szCs w:val="20"/>
              </w:rPr>
            </w:pPr>
            <w:r>
              <w:rPr>
                <w:sz w:val="22"/>
                <w:szCs w:val="22"/>
              </w:rPr>
              <w:t xml:space="preserve">2017 год</w:t>
            </w:r>
            <w:r>
              <w:rPr>
                <w:sz w:val="20"/>
                <w:szCs w:val="20"/>
              </w:rPr>
            </w:r>
            <w:r>
              <w:rPr>
                <w:sz w:val="20"/>
                <w:szCs w:val="20"/>
              </w:rPr>
            </w:r>
          </w:p>
        </w:tc>
      </w:tr>
      <w:tr>
        <w:tblPrEx/>
        <w:trPr>
          <w:trHeight w:val="559"/>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Насос № 7 ГВС </w:t>
            </w:r>
            <w:r>
              <w:rPr>
                <w:sz w:val="20"/>
                <w:szCs w:val="20"/>
              </w:rPr>
            </w:r>
            <w:r>
              <w:rPr>
                <w:sz w:val="20"/>
                <w:szCs w:val="20"/>
              </w:rPr>
            </w:r>
          </w:p>
          <w:p>
            <w:pPr>
              <w:jc w:val="both"/>
              <w:rPr>
                <w:sz w:val="20"/>
                <w:szCs w:val="20"/>
              </w:rPr>
            </w:pPr>
            <w:r>
              <w:rPr>
                <w:bCs/>
                <w:sz w:val="22"/>
                <w:szCs w:val="22"/>
              </w:rPr>
              <w:t xml:space="preserve">1К 100-85-200У3.1</w:t>
            </w:r>
            <w:r>
              <w:rPr>
                <w:sz w:val="20"/>
                <w:szCs w:val="20"/>
              </w:rPr>
            </w:r>
            <w:r>
              <w:rPr>
                <w:sz w:val="20"/>
                <w:szCs w:val="20"/>
              </w:rPr>
            </w:r>
          </w:p>
        </w:tc>
        <w:tc>
          <w:tcPr>
            <w:tcW w:w="1544" w:type="pct"/>
            <w:textDirection w:val="lrTb"/>
            <w:noWrap w:val="false"/>
          </w:tcPr>
          <w:p>
            <w:pPr>
              <w:jc w:val="both"/>
              <w:rPr>
                <w:bCs/>
                <w:sz w:val="20"/>
                <w:szCs w:val="20"/>
              </w:rPr>
            </w:pPr>
            <w:r>
              <w:rPr>
                <w:bCs/>
                <w:sz w:val="22"/>
                <w:szCs w:val="22"/>
              </w:rPr>
              <w:t xml:space="preserve">Производительность</w:t>
            </w:r>
            <w:r>
              <w:rPr>
                <w:bCs/>
                <w:sz w:val="20"/>
                <w:szCs w:val="20"/>
              </w:rPr>
            </w:r>
            <w:r>
              <w:rPr>
                <w:bCs/>
                <w:sz w:val="20"/>
                <w:szCs w:val="20"/>
              </w:rPr>
            </w:r>
          </w:p>
          <w:p>
            <w:pPr>
              <w:jc w:val="both"/>
              <w:rPr>
                <w:sz w:val="20"/>
                <w:szCs w:val="20"/>
              </w:rPr>
            </w:pPr>
            <w:r>
              <w:rPr>
                <w:bCs/>
                <w:sz w:val="22"/>
                <w:szCs w:val="22"/>
              </w:rPr>
              <w:t xml:space="preserve"> 100 м3/ч</w:t>
            </w:r>
            <w:r>
              <w:rPr>
                <w:sz w:val="20"/>
                <w:szCs w:val="20"/>
              </w:rPr>
            </w:r>
            <w:r>
              <w:rPr>
                <w:sz w:val="20"/>
                <w:szCs w:val="20"/>
              </w:rPr>
            </w:r>
          </w:p>
        </w:tc>
        <w:tc>
          <w:tcPr>
            <w:tcW w:w="1891" w:type="dxa"/>
            <w:textDirection w:val="lrTb"/>
            <w:noWrap w:val="false"/>
          </w:tcPr>
          <w:p>
            <w:pPr>
              <w:ind w:firstLine="458"/>
              <w:jc w:val="both"/>
              <w:rPr>
                <w:sz w:val="20"/>
                <w:szCs w:val="20"/>
              </w:rPr>
            </w:pPr>
            <w:r>
              <w:rPr>
                <w:sz w:val="22"/>
                <w:szCs w:val="22"/>
              </w:rPr>
              <w:t xml:space="preserve">2017 год</w:t>
            </w:r>
            <w:r>
              <w:rPr>
                <w:sz w:val="20"/>
                <w:szCs w:val="20"/>
              </w:rPr>
            </w:r>
            <w:r>
              <w:rPr>
                <w:sz w:val="20"/>
                <w:szCs w:val="20"/>
              </w:rPr>
            </w:r>
          </w:p>
        </w:tc>
      </w:tr>
      <w:tr>
        <w:tblPrEx/>
        <w:trPr>
          <w:trHeight w:val="559"/>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Насос № 8 ГВС </w:t>
            </w:r>
            <w:r>
              <w:rPr>
                <w:sz w:val="20"/>
                <w:szCs w:val="20"/>
              </w:rPr>
            </w:r>
            <w:r>
              <w:rPr>
                <w:sz w:val="20"/>
                <w:szCs w:val="20"/>
              </w:rPr>
            </w:r>
          </w:p>
          <w:p>
            <w:pPr>
              <w:jc w:val="both"/>
              <w:rPr>
                <w:sz w:val="20"/>
                <w:szCs w:val="20"/>
              </w:rPr>
            </w:pPr>
            <w:r>
              <w:rPr>
                <w:bCs/>
                <w:sz w:val="22"/>
                <w:szCs w:val="22"/>
              </w:rPr>
              <w:t xml:space="preserve">1К 100-85-200У3.1</w:t>
            </w:r>
            <w:r>
              <w:rPr>
                <w:sz w:val="20"/>
                <w:szCs w:val="20"/>
              </w:rPr>
            </w:r>
            <w:r>
              <w:rPr>
                <w:sz w:val="20"/>
                <w:szCs w:val="20"/>
              </w:rPr>
            </w:r>
          </w:p>
        </w:tc>
        <w:tc>
          <w:tcPr>
            <w:tcW w:w="1544" w:type="pct"/>
            <w:textDirection w:val="lrTb"/>
            <w:noWrap w:val="false"/>
          </w:tcPr>
          <w:p>
            <w:pPr>
              <w:jc w:val="both"/>
              <w:rPr>
                <w:bCs/>
                <w:sz w:val="20"/>
                <w:szCs w:val="20"/>
              </w:rPr>
            </w:pPr>
            <w:r>
              <w:rPr>
                <w:bCs/>
                <w:sz w:val="22"/>
                <w:szCs w:val="22"/>
              </w:rPr>
              <w:t xml:space="preserve">Производительность</w:t>
            </w:r>
            <w:r>
              <w:rPr>
                <w:bCs/>
                <w:sz w:val="20"/>
                <w:szCs w:val="20"/>
              </w:rPr>
            </w:r>
            <w:r>
              <w:rPr>
                <w:bCs/>
                <w:sz w:val="20"/>
                <w:szCs w:val="20"/>
              </w:rPr>
            </w:r>
          </w:p>
          <w:p>
            <w:pPr>
              <w:jc w:val="both"/>
              <w:rPr>
                <w:sz w:val="20"/>
                <w:szCs w:val="20"/>
              </w:rPr>
            </w:pPr>
            <w:r>
              <w:rPr>
                <w:bCs/>
                <w:sz w:val="22"/>
                <w:szCs w:val="22"/>
              </w:rPr>
              <w:t xml:space="preserve"> 100 м3/ч</w:t>
            </w:r>
            <w:r>
              <w:rPr>
                <w:sz w:val="20"/>
                <w:szCs w:val="20"/>
              </w:rPr>
            </w:r>
            <w:r>
              <w:rPr>
                <w:sz w:val="20"/>
                <w:szCs w:val="20"/>
              </w:rPr>
            </w:r>
          </w:p>
        </w:tc>
        <w:tc>
          <w:tcPr>
            <w:tcW w:w="1891" w:type="dxa"/>
            <w:textDirection w:val="lrTb"/>
            <w:noWrap w:val="false"/>
          </w:tcPr>
          <w:p>
            <w:pPr>
              <w:ind w:firstLine="458"/>
              <w:jc w:val="both"/>
              <w:rPr>
                <w:sz w:val="20"/>
                <w:szCs w:val="20"/>
              </w:rPr>
            </w:pPr>
            <w:r>
              <w:rPr>
                <w:sz w:val="22"/>
                <w:szCs w:val="22"/>
              </w:rPr>
              <w:t xml:space="preserve">2017 год</w:t>
            </w:r>
            <w:r>
              <w:rPr>
                <w:sz w:val="20"/>
                <w:szCs w:val="20"/>
              </w:rPr>
            </w:r>
            <w:r>
              <w:rPr>
                <w:sz w:val="20"/>
                <w:szCs w:val="20"/>
              </w:rPr>
            </w:r>
          </w:p>
        </w:tc>
      </w:tr>
      <w:tr>
        <w:tblPrEx/>
        <w:trPr>
          <w:trHeight w:val="559"/>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Насос № 9 ЦО</w:t>
            </w:r>
            <w:r>
              <w:rPr>
                <w:sz w:val="20"/>
                <w:szCs w:val="20"/>
              </w:rPr>
            </w:r>
            <w:r>
              <w:rPr>
                <w:sz w:val="20"/>
                <w:szCs w:val="20"/>
              </w:rPr>
            </w:r>
          </w:p>
          <w:p>
            <w:pPr>
              <w:jc w:val="both"/>
              <w:rPr>
                <w:sz w:val="20"/>
                <w:szCs w:val="20"/>
              </w:rPr>
            </w:pPr>
            <w:r>
              <w:rPr>
                <w:bCs/>
                <w:sz w:val="22"/>
                <w:szCs w:val="22"/>
              </w:rPr>
              <w:t xml:space="preserve">К 200-150-315 СД</w:t>
            </w:r>
            <w:r>
              <w:rPr>
                <w:sz w:val="20"/>
                <w:szCs w:val="20"/>
              </w:rPr>
            </w:r>
            <w:r>
              <w:rPr>
                <w:sz w:val="20"/>
                <w:szCs w:val="20"/>
              </w:rPr>
            </w:r>
          </w:p>
        </w:tc>
        <w:tc>
          <w:tcPr>
            <w:tcW w:w="1544" w:type="pct"/>
            <w:textDirection w:val="lrTb"/>
            <w:noWrap w:val="false"/>
          </w:tcPr>
          <w:p>
            <w:pPr>
              <w:jc w:val="both"/>
              <w:rPr>
                <w:bCs/>
                <w:sz w:val="20"/>
                <w:szCs w:val="20"/>
              </w:rPr>
            </w:pPr>
            <w:r>
              <w:rPr>
                <w:bCs/>
                <w:sz w:val="22"/>
                <w:szCs w:val="22"/>
              </w:rPr>
              <w:t xml:space="preserve">Производительность</w:t>
            </w:r>
            <w:r>
              <w:rPr>
                <w:bCs/>
                <w:sz w:val="20"/>
                <w:szCs w:val="20"/>
              </w:rPr>
            </w:r>
            <w:r>
              <w:rPr>
                <w:bCs/>
                <w:sz w:val="20"/>
                <w:szCs w:val="20"/>
              </w:rPr>
            </w:r>
          </w:p>
          <w:p>
            <w:pPr>
              <w:jc w:val="both"/>
              <w:rPr>
                <w:sz w:val="20"/>
                <w:szCs w:val="20"/>
              </w:rPr>
            </w:pPr>
            <w:r>
              <w:rPr>
                <w:bCs/>
                <w:sz w:val="22"/>
                <w:szCs w:val="22"/>
              </w:rPr>
              <w:t xml:space="preserve"> 100 м3/ч</w:t>
            </w:r>
            <w:r>
              <w:rPr>
                <w:sz w:val="20"/>
                <w:szCs w:val="20"/>
              </w:rPr>
            </w:r>
            <w:r>
              <w:rPr>
                <w:sz w:val="20"/>
                <w:szCs w:val="20"/>
              </w:rPr>
            </w:r>
          </w:p>
        </w:tc>
        <w:tc>
          <w:tcPr>
            <w:tcW w:w="1891" w:type="dxa"/>
            <w:textDirection w:val="lrTb"/>
            <w:noWrap w:val="false"/>
          </w:tcPr>
          <w:p>
            <w:pPr>
              <w:ind w:firstLine="458"/>
              <w:jc w:val="both"/>
              <w:rPr>
                <w:sz w:val="20"/>
                <w:szCs w:val="20"/>
              </w:rPr>
            </w:pPr>
            <w:r>
              <w:rPr>
                <w:sz w:val="22"/>
                <w:szCs w:val="22"/>
              </w:rPr>
              <w:t xml:space="preserve">2017 год</w:t>
            </w:r>
            <w:r>
              <w:rPr>
                <w:sz w:val="20"/>
                <w:szCs w:val="20"/>
              </w:rPr>
            </w:r>
            <w:r>
              <w:rPr>
                <w:sz w:val="20"/>
                <w:szCs w:val="20"/>
              </w:rPr>
            </w:r>
          </w:p>
        </w:tc>
      </w:tr>
      <w:tr>
        <w:tblPrEx/>
        <w:trPr>
          <w:trHeight w:val="559"/>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Насос № 10 ЦО</w:t>
            </w:r>
            <w:r>
              <w:rPr>
                <w:sz w:val="20"/>
                <w:szCs w:val="20"/>
              </w:rPr>
            </w:r>
            <w:r>
              <w:rPr>
                <w:sz w:val="20"/>
                <w:szCs w:val="20"/>
              </w:rPr>
            </w:r>
          </w:p>
          <w:p>
            <w:pPr>
              <w:jc w:val="both"/>
              <w:rPr>
                <w:sz w:val="20"/>
                <w:szCs w:val="20"/>
              </w:rPr>
            </w:pPr>
            <w:r>
              <w:rPr>
                <w:bCs/>
                <w:sz w:val="22"/>
                <w:szCs w:val="22"/>
              </w:rPr>
              <w:t xml:space="preserve">К 200-150-315 СД</w:t>
            </w:r>
            <w:r>
              <w:rPr>
                <w:sz w:val="20"/>
                <w:szCs w:val="20"/>
              </w:rPr>
            </w:r>
            <w:r>
              <w:rPr>
                <w:sz w:val="20"/>
                <w:szCs w:val="20"/>
              </w:rPr>
            </w:r>
          </w:p>
        </w:tc>
        <w:tc>
          <w:tcPr>
            <w:tcW w:w="1544" w:type="pct"/>
            <w:textDirection w:val="lrTb"/>
            <w:noWrap w:val="false"/>
          </w:tcPr>
          <w:p>
            <w:pPr>
              <w:jc w:val="both"/>
              <w:rPr>
                <w:bCs/>
                <w:sz w:val="20"/>
                <w:szCs w:val="20"/>
              </w:rPr>
            </w:pPr>
            <w:r>
              <w:rPr>
                <w:bCs/>
                <w:sz w:val="22"/>
                <w:szCs w:val="22"/>
              </w:rPr>
              <w:t xml:space="preserve">Производительность</w:t>
            </w:r>
            <w:r>
              <w:rPr>
                <w:bCs/>
                <w:sz w:val="20"/>
                <w:szCs w:val="20"/>
              </w:rPr>
            </w:r>
            <w:r>
              <w:rPr>
                <w:bCs/>
                <w:sz w:val="20"/>
                <w:szCs w:val="20"/>
              </w:rPr>
            </w:r>
          </w:p>
          <w:p>
            <w:pPr>
              <w:jc w:val="both"/>
              <w:rPr>
                <w:sz w:val="20"/>
                <w:szCs w:val="20"/>
              </w:rPr>
            </w:pPr>
            <w:r>
              <w:rPr>
                <w:bCs/>
                <w:sz w:val="22"/>
                <w:szCs w:val="22"/>
              </w:rPr>
              <w:t xml:space="preserve"> 100 м3/ч</w:t>
            </w:r>
            <w:r>
              <w:rPr>
                <w:sz w:val="20"/>
                <w:szCs w:val="20"/>
              </w:rPr>
            </w:r>
            <w:r>
              <w:rPr>
                <w:sz w:val="20"/>
                <w:szCs w:val="20"/>
              </w:rPr>
            </w:r>
          </w:p>
        </w:tc>
        <w:tc>
          <w:tcPr>
            <w:tcW w:w="1891" w:type="dxa"/>
            <w:textDirection w:val="lrTb"/>
            <w:noWrap w:val="false"/>
          </w:tcPr>
          <w:p>
            <w:pPr>
              <w:ind w:firstLine="458"/>
              <w:jc w:val="both"/>
              <w:rPr>
                <w:sz w:val="20"/>
                <w:szCs w:val="20"/>
              </w:rPr>
            </w:pPr>
            <w:r>
              <w:rPr>
                <w:sz w:val="22"/>
                <w:szCs w:val="22"/>
              </w:rPr>
              <w:t xml:space="preserve">2017 год</w:t>
            </w:r>
            <w:r>
              <w:rPr>
                <w:sz w:val="20"/>
                <w:szCs w:val="20"/>
              </w:rPr>
            </w:r>
            <w:r>
              <w:rPr>
                <w:sz w:val="20"/>
                <w:szCs w:val="20"/>
              </w:rPr>
            </w:r>
          </w:p>
        </w:tc>
      </w:tr>
      <w:tr>
        <w:tblPrEx/>
        <w:trPr>
          <w:trHeight w:val="559"/>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Насос № 11 вспомогательный</w:t>
            </w:r>
            <w:r>
              <w:rPr>
                <w:sz w:val="20"/>
                <w:szCs w:val="20"/>
              </w:rPr>
            </w:r>
            <w:r>
              <w:rPr>
                <w:sz w:val="20"/>
                <w:szCs w:val="20"/>
              </w:rPr>
            </w:r>
          </w:p>
          <w:p>
            <w:pPr>
              <w:jc w:val="both"/>
              <w:rPr>
                <w:sz w:val="20"/>
                <w:szCs w:val="20"/>
              </w:rPr>
            </w:pPr>
            <w:r>
              <w:rPr>
                <w:bCs/>
                <w:sz w:val="22"/>
                <w:szCs w:val="22"/>
              </w:rPr>
              <w:t xml:space="preserve">1К 100-85-200У3.1</w:t>
            </w:r>
            <w:r>
              <w:rPr>
                <w:sz w:val="20"/>
                <w:szCs w:val="20"/>
              </w:rPr>
            </w:r>
            <w:r>
              <w:rPr>
                <w:sz w:val="20"/>
                <w:szCs w:val="20"/>
              </w:rPr>
            </w:r>
          </w:p>
        </w:tc>
        <w:tc>
          <w:tcPr>
            <w:tcW w:w="1544" w:type="pct"/>
            <w:textDirection w:val="lrTb"/>
            <w:noWrap w:val="false"/>
          </w:tcPr>
          <w:p>
            <w:pPr>
              <w:jc w:val="both"/>
              <w:rPr>
                <w:bCs/>
                <w:sz w:val="20"/>
                <w:szCs w:val="20"/>
              </w:rPr>
            </w:pPr>
            <w:r>
              <w:rPr>
                <w:bCs/>
                <w:sz w:val="22"/>
                <w:szCs w:val="22"/>
              </w:rPr>
              <w:t xml:space="preserve">Производительность</w:t>
            </w:r>
            <w:r>
              <w:rPr>
                <w:bCs/>
                <w:sz w:val="20"/>
                <w:szCs w:val="20"/>
              </w:rPr>
            </w:r>
            <w:r>
              <w:rPr>
                <w:bCs/>
                <w:sz w:val="20"/>
                <w:szCs w:val="20"/>
              </w:rPr>
            </w:r>
          </w:p>
          <w:p>
            <w:pPr>
              <w:jc w:val="both"/>
              <w:rPr>
                <w:sz w:val="20"/>
                <w:szCs w:val="20"/>
              </w:rPr>
            </w:pPr>
            <w:r>
              <w:rPr>
                <w:bCs/>
                <w:sz w:val="22"/>
                <w:szCs w:val="22"/>
              </w:rPr>
              <w:t xml:space="preserve"> 100 м3/ч</w:t>
            </w:r>
            <w:r>
              <w:rPr>
                <w:sz w:val="20"/>
                <w:szCs w:val="20"/>
              </w:rPr>
            </w:r>
            <w:r>
              <w:rPr>
                <w:sz w:val="20"/>
                <w:szCs w:val="20"/>
              </w:rPr>
            </w:r>
          </w:p>
        </w:tc>
        <w:tc>
          <w:tcPr>
            <w:tcW w:w="1891" w:type="dxa"/>
            <w:textDirection w:val="lrTb"/>
            <w:noWrap w:val="false"/>
          </w:tcPr>
          <w:p>
            <w:pPr>
              <w:ind w:firstLine="458"/>
              <w:jc w:val="both"/>
              <w:rPr>
                <w:sz w:val="20"/>
                <w:szCs w:val="20"/>
              </w:rPr>
            </w:pPr>
            <w:r>
              <w:rPr>
                <w:sz w:val="22"/>
                <w:szCs w:val="22"/>
              </w:rPr>
              <w:t xml:space="preserve">2017 год</w:t>
            </w:r>
            <w:r>
              <w:rPr>
                <w:sz w:val="20"/>
                <w:szCs w:val="20"/>
              </w:rPr>
            </w:r>
            <w:r>
              <w:rPr>
                <w:sz w:val="20"/>
                <w:szCs w:val="20"/>
              </w:rPr>
            </w:r>
          </w:p>
        </w:tc>
      </w:tr>
      <w:tr>
        <w:tblPrEx/>
        <w:trPr>
          <w:trHeight w:val="703"/>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Теплообменный аппарат № 1 с</w:t>
            </w:r>
            <w:r>
              <w:rPr>
                <w:bCs/>
                <w:sz w:val="22"/>
                <w:szCs w:val="22"/>
              </w:rPr>
              <w:t xml:space="preserve">коростной ПВ 12-219-4000 (ГВС – 6 секций).</w:t>
            </w:r>
            <w:r>
              <w:rPr>
                <w:sz w:val="20"/>
                <w:szCs w:val="20"/>
              </w:rPr>
            </w:r>
            <w:r>
              <w:rPr>
                <w:sz w:val="20"/>
                <w:szCs w:val="20"/>
              </w:rPr>
            </w:r>
          </w:p>
        </w:tc>
        <w:tc>
          <w:tcPr>
            <w:tcW w:w="1544" w:type="pct"/>
            <w:textDirection w:val="lrTb"/>
            <w:noWrap w:val="false"/>
          </w:tcPr>
          <w:p>
            <w:pPr>
              <w:jc w:val="both"/>
              <w:rPr>
                <w:bCs/>
                <w:sz w:val="20"/>
                <w:szCs w:val="20"/>
              </w:rPr>
            </w:pPr>
            <w:r>
              <w:rPr>
                <w:bCs/>
                <w:sz w:val="22"/>
                <w:szCs w:val="22"/>
              </w:rPr>
              <w:t xml:space="preserve">Поверхность нагрева,</w:t>
            </w:r>
            <w:r>
              <w:rPr>
                <w:bCs/>
                <w:sz w:val="20"/>
                <w:szCs w:val="20"/>
              </w:rPr>
            </w:r>
            <w:r>
              <w:rPr>
                <w:bCs/>
                <w:sz w:val="20"/>
                <w:szCs w:val="20"/>
              </w:rPr>
            </w:r>
          </w:p>
          <w:p>
            <w:pPr>
              <w:jc w:val="both"/>
              <w:rPr>
                <w:bCs/>
                <w:sz w:val="20"/>
                <w:szCs w:val="20"/>
              </w:rPr>
            </w:pPr>
            <w:r>
              <w:rPr>
                <w:bCs/>
                <w:sz w:val="22"/>
                <w:szCs w:val="22"/>
              </w:rPr>
              <w:t xml:space="preserve"> 11,5 (общая – 69) м2</w:t>
            </w:r>
            <w:r>
              <w:rPr>
                <w:bCs/>
                <w:sz w:val="20"/>
                <w:szCs w:val="20"/>
              </w:rPr>
            </w:r>
            <w:r>
              <w:rPr>
                <w:bCs/>
                <w:sz w:val="20"/>
                <w:szCs w:val="20"/>
              </w:rPr>
            </w:r>
          </w:p>
        </w:tc>
        <w:tc>
          <w:tcPr>
            <w:tcW w:w="1891" w:type="dxa"/>
            <w:textDirection w:val="lrTb"/>
            <w:noWrap w:val="false"/>
          </w:tcPr>
          <w:p>
            <w:pPr>
              <w:jc w:val="both"/>
              <w:rPr>
                <w:sz w:val="20"/>
                <w:szCs w:val="20"/>
              </w:rPr>
            </w:pPr>
            <w:r>
              <w:rPr>
                <w:sz w:val="22"/>
                <w:szCs w:val="22"/>
              </w:rPr>
              <w:t xml:space="preserve">2017 год</w:t>
            </w:r>
            <w:r>
              <w:rPr>
                <w:sz w:val="20"/>
                <w:szCs w:val="20"/>
              </w:rPr>
            </w:r>
            <w:r>
              <w:rPr>
                <w:sz w:val="20"/>
                <w:szCs w:val="20"/>
              </w:rPr>
            </w:r>
          </w:p>
        </w:tc>
      </w:tr>
      <w:tr>
        <w:tblPrEx/>
        <w:trPr>
          <w:trHeight w:val="559"/>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Теплообменный аппарат № 2 с</w:t>
            </w:r>
            <w:r>
              <w:rPr>
                <w:bCs/>
                <w:sz w:val="22"/>
                <w:szCs w:val="22"/>
              </w:rPr>
              <w:t xml:space="preserve">коростной 12-219-4000 (ЦО – 20 секций).</w:t>
            </w:r>
            <w:r>
              <w:rPr>
                <w:sz w:val="20"/>
                <w:szCs w:val="20"/>
              </w:rPr>
            </w:r>
            <w:r>
              <w:rPr>
                <w:sz w:val="20"/>
                <w:szCs w:val="20"/>
              </w:rPr>
            </w:r>
          </w:p>
        </w:tc>
        <w:tc>
          <w:tcPr>
            <w:tcW w:w="1544" w:type="pct"/>
            <w:textDirection w:val="lrTb"/>
            <w:noWrap w:val="false"/>
          </w:tcPr>
          <w:p>
            <w:pPr>
              <w:jc w:val="both"/>
              <w:rPr>
                <w:bCs/>
                <w:sz w:val="20"/>
                <w:szCs w:val="20"/>
              </w:rPr>
            </w:pPr>
            <w:r>
              <w:rPr>
                <w:bCs/>
                <w:sz w:val="22"/>
                <w:szCs w:val="22"/>
              </w:rPr>
              <w:t xml:space="preserve">Поверхность нагрева,</w:t>
            </w:r>
            <w:r>
              <w:rPr>
                <w:bCs/>
                <w:sz w:val="20"/>
                <w:szCs w:val="20"/>
              </w:rPr>
            </w:r>
            <w:r>
              <w:rPr>
                <w:bCs/>
                <w:sz w:val="20"/>
                <w:szCs w:val="20"/>
              </w:rPr>
            </w:r>
          </w:p>
          <w:p>
            <w:pPr>
              <w:jc w:val="both"/>
              <w:rPr>
                <w:bCs/>
                <w:sz w:val="20"/>
                <w:szCs w:val="20"/>
              </w:rPr>
            </w:pPr>
            <w:r>
              <w:rPr>
                <w:bCs/>
                <w:sz w:val="22"/>
                <w:szCs w:val="22"/>
              </w:rPr>
              <w:t xml:space="preserve"> 11,5 (общая – 230) м2</w:t>
            </w:r>
            <w:r>
              <w:rPr>
                <w:bCs/>
                <w:sz w:val="20"/>
                <w:szCs w:val="20"/>
              </w:rPr>
            </w:r>
            <w:r>
              <w:rPr>
                <w:bCs/>
                <w:sz w:val="20"/>
                <w:szCs w:val="20"/>
              </w:rPr>
            </w:r>
          </w:p>
        </w:tc>
        <w:tc>
          <w:tcPr>
            <w:tcW w:w="1891" w:type="dxa"/>
            <w:textDirection w:val="lrTb"/>
            <w:noWrap w:val="false"/>
          </w:tcPr>
          <w:p>
            <w:pPr>
              <w:jc w:val="both"/>
              <w:rPr>
                <w:sz w:val="20"/>
                <w:szCs w:val="20"/>
              </w:rPr>
            </w:pPr>
            <w:r>
              <w:rPr>
                <w:sz w:val="22"/>
                <w:szCs w:val="22"/>
              </w:rPr>
              <w:t xml:space="preserve">2017 год.</w:t>
            </w:r>
            <w:r>
              <w:rPr>
                <w:sz w:val="20"/>
                <w:szCs w:val="20"/>
              </w:rPr>
            </w:r>
            <w:r>
              <w:rPr>
                <w:sz w:val="20"/>
                <w:szCs w:val="20"/>
              </w:rPr>
            </w:r>
          </w:p>
        </w:tc>
      </w:tr>
      <w:tr>
        <w:tblPrEx/>
        <w:trPr>
          <w:trHeight w:val="218"/>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bCs/>
                <w:sz w:val="22"/>
                <w:szCs w:val="22"/>
              </w:rPr>
              <w:t xml:space="preserve">Емкость запаса ГВС</w:t>
            </w:r>
            <w:r>
              <w:rPr>
                <w:sz w:val="20"/>
                <w:szCs w:val="20"/>
              </w:rPr>
            </w:r>
            <w:r>
              <w:rPr>
                <w:sz w:val="20"/>
                <w:szCs w:val="20"/>
              </w:rPr>
            </w:r>
          </w:p>
        </w:tc>
        <w:tc>
          <w:tcPr>
            <w:tcW w:w="1544" w:type="pct"/>
            <w:textDirection w:val="lrTb"/>
            <w:noWrap w:val="false"/>
          </w:tcPr>
          <w:p>
            <w:pPr>
              <w:jc w:val="both"/>
              <w:rPr>
                <w:bCs/>
                <w:sz w:val="20"/>
                <w:szCs w:val="20"/>
              </w:rPr>
            </w:pPr>
            <w:r>
              <w:rPr>
                <w:bCs/>
                <w:sz w:val="22"/>
                <w:szCs w:val="22"/>
              </w:rPr>
              <w:t xml:space="preserve">Объем бака, 60 м3</w:t>
            </w:r>
            <w:r>
              <w:rPr>
                <w:bCs/>
                <w:sz w:val="20"/>
                <w:szCs w:val="20"/>
              </w:rPr>
            </w:r>
            <w:r>
              <w:rPr>
                <w:bCs/>
                <w:sz w:val="20"/>
                <w:szCs w:val="20"/>
              </w:rPr>
            </w:r>
          </w:p>
        </w:tc>
        <w:tc>
          <w:tcPr>
            <w:tcW w:w="1891" w:type="dxa"/>
            <w:textDirection w:val="lrTb"/>
            <w:noWrap w:val="false"/>
          </w:tcPr>
          <w:p>
            <w:pPr>
              <w:jc w:val="both"/>
              <w:rPr>
                <w:sz w:val="20"/>
                <w:szCs w:val="20"/>
              </w:rPr>
            </w:pPr>
            <w:r>
              <w:rPr>
                <w:sz w:val="22"/>
                <w:szCs w:val="22"/>
              </w:rPr>
              <w:t xml:space="preserve">2017 год.</w:t>
            </w:r>
            <w:r>
              <w:rPr>
                <w:sz w:val="20"/>
                <w:szCs w:val="20"/>
              </w:rPr>
            </w:r>
            <w:r>
              <w:rPr>
                <w:sz w:val="20"/>
                <w:szCs w:val="20"/>
              </w:rPr>
            </w:r>
          </w:p>
        </w:tc>
      </w:tr>
      <w:tr>
        <w:tblPrEx/>
        <w:trPr>
          <w:trHeight w:val="216"/>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Металлическая дымовая труба № 1.</w:t>
            </w:r>
            <w:r>
              <w:rPr>
                <w:sz w:val="20"/>
                <w:szCs w:val="20"/>
              </w:rPr>
            </w:r>
            <w:r>
              <w:rPr>
                <w:sz w:val="20"/>
                <w:szCs w:val="20"/>
              </w:rPr>
            </w:r>
          </w:p>
        </w:tc>
        <w:tc>
          <w:tcPr>
            <w:tcW w:w="1544" w:type="pct"/>
            <w:textDirection w:val="lrTb"/>
            <w:noWrap w:val="false"/>
          </w:tcPr>
          <w:p>
            <w:pPr>
              <w:jc w:val="both"/>
              <w:rPr>
                <w:sz w:val="20"/>
                <w:szCs w:val="20"/>
              </w:rPr>
            </w:pPr>
            <w:r>
              <w:rPr>
                <w:sz w:val="22"/>
                <w:szCs w:val="22"/>
                <w:lang w:val="en-US"/>
              </w:rPr>
              <w:t xml:space="preserve">D</w:t>
            </w:r>
            <w:r>
              <w:rPr>
                <w:sz w:val="22"/>
                <w:szCs w:val="22"/>
              </w:rPr>
              <w:t xml:space="preserve">=0,82 м. </w:t>
            </w:r>
            <w:r>
              <w:rPr>
                <w:sz w:val="22"/>
                <w:szCs w:val="22"/>
                <w:lang w:val="en-US"/>
              </w:rPr>
              <w:t xml:space="preserve">H</w:t>
            </w:r>
            <w:r>
              <w:rPr>
                <w:sz w:val="22"/>
                <w:szCs w:val="22"/>
              </w:rPr>
              <w:t xml:space="preserve">=24 м.</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н/д</w:t>
            </w:r>
            <w:r>
              <w:rPr>
                <w:sz w:val="20"/>
                <w:szCs w:val="20"/>
              </w:rPr>
            </w:r>
            <w:r>
              <w:rPr>
                <w:sz w:val="20"/>
                <w:szCs w:val="20"/>
              </w:rPr>
            </w:r>
          </w:p>
        </w:tc>
      </w:tr>
      <w:tr>
        <w:tblPrEx/>
        <w:trPr>
          <w:trHeight w:val="198"/>
        </w:trPr>
        <w:tc>
          <w:tcPr>
            <w:tcW w:w="426" w:type="pct"/>
            <w:vAlign w:val="center"/>
            <w:textDirection w:val="lrTb"/>
            <w:noWrap w:val="false"/>
          </w:tcPr>
          <w:p>
            <w:pPr>
              <w:pStyle w:val="943"/>
              <w:numPr>
                <w:ilvl w:val="0"/>
                <w:numId w:val="22"/>
              </w:numPr>
              <w:contextualSpacing w:val="0"/>
              <w:jc w:val="both"/>
              <w:widowControl w:val="off"/>
              <w:rPr>
                <w:sz w:val="20"/>
                <w:szCs w:val="20"/>
                <w:lang w:eastAsia="en-US"/>
              </w:rPr>
            </w:pPr>
            <w:r>
              <w:rPr>
                <w:sz w:val="22"/>
                <w:szCs w:val="22"/>
                <w:lang w:eastAsia="en-US"/>
              </w:rPr>
            </w:r>
            <w:r>
              <w:rPr>
                <w:sz w:val="20"/>
                <w:szCs w:val="20"/>
                <w:lang w:eastAsia="en-US"/>
              </w:rPr>
            </w:r>
            <w:r>
              <w:rPr>
                <w:sz w:val="20"/>
                <w:szCs w:val="20"/>
                <w:lang w:eastAsia="en-US"/>
              </w:rPr>
            </w:r>
          </w:p>
        </w:tc>
        <w:tc>
          <w:tcPr>
            <w:tcW w:w="3935" w:type="dxa"/>
            <w:textDirection w:val="lrTb"/>
            <w:noWrap w:val="false"/>
          </w:tcPr>
          <w:p>
            <w:pPr>
              <w:jc w:val="both"/>
              <w:rPr>
                <w:sz w:val="20"/>
                <w:szCs w:val="20"/>
              </w:rPr>
            </w:pPr>
            <w:r>
              <w:rPr>
                <w:sz w:val="22"/>
                <w:szCs w:val="22"/>
              </w:rPr>
              <w:t xml:space="preserve">Металлическая дымовая труба № 2.</w:t>
            </w:r>
            <w:r>
              <w:rPr>
                <w:sz w:val="20"/>
                <w:szCs w:val="20"/>
              </w:rPr>
            </w:r>
            <w:r>
              <w:rPr>
                <w:sz w:val="20"/>
                <w:szCs w:val="20"/>
              </w:rPr>
            </w:r>
          </w:p>
        </w:tc>
        <w:tc>
          <w:tcPr>
            <w:tcW w:w="1544" w:type="pct"/>
            <w:textDirection w:val="lrTb"/>
            <w:noWrap w:val="false"/>
          </w:tcPr>
          <w:p>
            <w:pPr>
              <w:jc w:val="both"/>
              <w:rPr>
                <w:sz w:val="20"/>
                <w:szCs w:val="20"/>
              </w:rPr>
            </w:pPr>
            <w:r>
              <w:rPr>
                <w:sz w:val="22"/>
                <w:szCs w:val="22"/>
                <w:lang w:val="en-US"/>
              </w:rPr>
              <w:t xml:space="preserve">D</w:t>
            </w:r>
            <w:r>
              <w:rPr>
                <w:sz w:val="22"/>
                <w:szCs w:val="22"/>
              </w:rPr>
              <w:t xml:space="preserve">=0,53 м. </w:t>
            </w:r>
            <w:r>
              <w:rPr>
                <w:sz w:val="22"/>
                <w:szCs w:val="22"/>
                <w:lang w:val="en-US"/>
              </w:rPr>
              <w:t xml:space="preserve">H</w:t>
            </w:r>
            <w:r>
              <w:rPr>
                <w:sz w:val="22"/>
                <w:szCs w:val="22"/>
              </w:rPr>
              <w:t xml:space="preserve">=24 м.</w:t>
            </w:r>
            <w:r>
              <w:rPr>
                <w:sz w:val="20"/>
                <w:szCs w:val="20"/>
              </w:rPr>
            </w:r>
            <w:r>
              <w:rPr>
                <w:sz w:val="20"/>
                <w:szCs w:val="20"/>
              </w:rPr>
            </w:r>
          </w:p>
        </w:tc>
        <w:tc>
          <w:tcPr>
            <w:tcW w:w="1891" w:type="dxa"/>
            <w:textDirection w:val="lrTb"/>
            <w:noWrap w:val="false"/>
          </w:tcPr>
          <w:p>
            <w:pPr>
              <w:jc w:val="both"/>
              <w:rPr>
                <w:sz w:val="20"/>
                <w:szCs w:val="20"/>
              </w:rPr>
            </w:pPr>
            <w:r>
              <w:rPr>
                <w:sz w:val="22"/>
                <w:szCs w:val="22"/>
              </w:rPr>
              <w:t xml:space="preserve">2021 г.</w:t>
            </w:r>
            <w:r>
              <w:rPr>
                <w:sz w:val="20"/>
                <w:szCs w:val="20"/>
              </w:rPr>
            </w:r>
            <w:r>
              <w:rPr>
                <w:sz w:val="20"/>
                <w:szCs w:val="20"/>
              </w:rPr>
            </w:r>
          </w:p>
        </w:tc>
      </w:tr>
    </w:tbl>
    <w:p>
      <w:pPr>
        <w:ind w:firstLine="680"/>
        <w:jc w:val="both"/>
        <w:rPr>
          <w:b/>
          <w:sz w:val="24"/>
          <w:szCs w:val="24"/>
        </w:rPr>
      </w:pPr>
      <w:r>
        <w:rPr>
          <w:b/>
          <w:sz w:val="24"/>
          <w:szCs w:val="24"/>
        </w:rPr>
      </w:r>
      <w:r>
        <w:rPr>
          <w:b/>
          <w:sz w:val="24"/>
          <w:szCs w:val="24"/>
        </w:rPr>
      </w:r>
      <w:r>
        <w:rPr>
          <w:b/>
          <w:sz w:val="24"/>
          <w:szCs w:val="24"/>
        </w:rPr>
      </w:r>
    </w:p>
    <w:p>
      <w:pPr>
        <w:ind w:firstLine="680"/>
        <w:jc w:val="both"/>
        <w:rPr>
          <w:b/>
          <w:sz w:val="24"/>
          <w:szCs w:val="24"/>
        </w:rPr>
      </w:pPr>
      <w:r>
        <w:rPr>
          <w:b/>
          <w:sz w:val="24"/>
          <w:szCs w:val="24"/>
        </w:rPr>
      </w:r>
      <w:r>
        <w:rPr>
          <w:b/>
          <w:sz w:val="24"/>
          <w:szCs w:val="24"/>
        </w:rPr>
      </w:r>
      <w:r>
        <w:rPr>
          <w:b/>
          <w:sz w:val="24"/>
          <w:szCs w:val="24"/>
        </w:rPr>
      </w:r>
    </w:p>
    <w:tbl>
      <w:tblPr>
        <w:tblStyle w:val="937"/>
        <w:tblW w:w="5000" w:type="pc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117"/>
        <w:gridCol w:w="3117"/>
        <w:gridCol w:w="3336"/>
      </w:tblGrid>
      <w:tr>
        <w:tblPrEx/>
        <w:trPr/>
        <w:tc>
          <w:tcPr>
            <w:tcW w:w="1667" w:type="pct"/>
            <w:textDirection w:val="lrTb"/>
            <w:noWrap w:val="false"/>
          </w:tcPr>
          <w:p>
            <w:pPr>
              <w:jc w:val="both"/>
              <w:rPr>
                <w:b/>
                <w:sz w:val="24"/>
                <w:szCs w:val="24"/>
              </w:rPr>
            </w:pPr>
            <w:r>
              <w:rPr>
                <w:b/>
                <w:sz w:val="24"/>
                <w:szCs w:val="24"/>
              </w:rPr>
              <w:t xml:space="preserve">Концедент</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Концессионер</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Субъект</w:t>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t xml:space="preserve">Муниципальное образование Печенгский муниципальный округ Мурманской области</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Общество с ограниченной ответственностью «ПромВоенСтрой»</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Мурманская область</w:t>
            </w:r>
            <w:r>
              <w:rPr>
                <w:b/>
                <w:sz w:val="24"/>
                <w:szCs w:val="24"/>
              </w:rPr>
            </w:r>
            <w:r>
              <w:rPr>
                <w:b/>
                <w:sz w:val="24"/>
                <w:szCs w:val="24"/>
              </w:rPr>
            </w:r>
          </w:p>
          <w:p>
            <w:pPr>
              <w:jc w:val="both"/>
              <w:rPr>
                <w:b/>
                <w:sz w:val="24"/>
                <w:szCs w:val="24"/>
              </w:rPr>
            </w:pPr>
            <w:r>
              <w:rPr>
                <w:b/>
                <w:sz w:val="24"/>
                <w:szCs w:val="24"/>
              </w:rPr>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t xml:space="preserve">Глава округа </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Генеральный директор</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Губернатор</w:t>
            </w:r>
            <w:r>
              <w:rPr>
                <w:b/>
                <w:sz w:val="24"/>
                <w:szCs w:val="24"/>
              </w:rPr>
            </w:r>
            <w:r>
              <w:rPr>
                <w:b/>
                <w:sz w:val="24"/>
                <w:szCs w:val="24"/>
              </w:rPr>
            </w:r>
          </w:p>
        </w:tc>
      </w:tr>
      <w:tr>
        <w:tblPrEx/>
        <w:trPr>
          <w:trHeight w:val="567"/>
        </w:trPr>
        <w:tc>
          <w:tcPr>
            <w:tcW w:w="1667" w:type="pct"/>
            <w:vAlign w:val="bottom"/>
            <w:textDirection w:val="lrTb"/>
            <w:noWrap w:val="false"/>
          </w:tcPr>
          <w:p>
            <w:pPr>
              <w:jc w:val="both"/>
              <w:rPr>
                <w:b/>
                <w:sz w:val="24"/>
                <w:szCs w:val="24"/>
              </w:rPr>
            </w:pPr>
            <w:r>
              <w:rPr>
                <w:b/>
                <w:sz w:val="24"/>
                <w:szCs w:val="24"/>
              </w:rPr>
              <w:t xml:space="preserve">_______________________</w:t>
            </w:r>
            <w:r>
              <w:rPr>
                <w:b/>
                <w:sz w:val="24"/>
                <w:szCs w:val="24"/>
              </w:rPr>
            </w:r>
            <w:r>
              <w:rPr>
                <w:b/>
                <w:sz w:val="24"/>
                <w:szCs w:val="24"/>
              </w:rPr>
            </w:r>
          </w:p>
        </w:tc>
        <w:tc>
          <w:tcPr>
            <w:tcW w:w="1667" w:type="pct"/>
            <w:vAlign w:val="bottom"/>
            <w:textDirection w:val="lrTb"/>
            <w:noWrap w:val="false"/>
          </w:tcPr>
          <w:p>
            <w:pPr>
              <w:jc w:val="both"/>
              <w:rPr>
                <w:b/>
                <w:sz w:val="24"/>
                <w:szCs w:val="24"/>
              </w:rPr>
            </w:pPr>
            <w:r>
              <w:rPr>
                <w:b/>
                <w:sz w:val="24"/>
                <w:szCs w:val="24"/>
              </w:rPr>
              <w:t xml:space="preserve">_______________________</w:t>
            </w:r>
            <w:r>
              <w:rPr>
                <w:b/>
                <w:sz w:val="24"/>
                <w:szCs w:val="24"/>
              </w:rPr>
            </w:r>
            <w:r>
              <w:rPr>
                <w:b/>
                <w:sz w:val="24"/>
                <w:szCs w:val="24"/>
              </w:rPr>
            </w:r>
          </w:p>
        </w:tc>
        <w:tc>
          <w:tcPr>
            <w:tcW w:w="1667" w:type="pct"/>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r>
      <w:tr>
        <w:tblPrEx/>
        <w:trPr/>
        <w:tc>
          <w:tcPr>
            <w:tcW w:w="1667" w:type="pct"/>
            <w:textDirection w:val="lrTb"/>
            <w:noWrap w:val="false"/>
          </w:tcPr>
          <w:p>
            <w:pPr>
              <w:jc w:val="both"/>
              <w:rPr>
                <w:b/>
                <w:sz w:val="24"/>
                <w:szCs w:val="24"/>
              </w:rPr>
            </w:pPr>
            <w:r>
              <w:rPr>
                <w:sz w:val="24"/>
                <w:szCs w:val="24"/>
              </w:rPr>
              <w:t xml:space="preserve">МП      /Кузнецов А.В../</w:t>
            </w:r>
            <w:r>
              <w:rPr>
                <w:b/>
                <w:sz w:val="24"/>
                <w:szCs w:val="24"/>
              </w:rPr>
            </w:r>
            <w:r>
              <w:rPr>
                <w:b/>
                <w:sz w:val="24"/>
                <w:szCs w:val="24"/>
              </w:rPr>
            </w:r>
          </w:p>
        </w:tc>
        <w:tc>
          <w:tcPr>
            <w:tcW w:w="1667" w:type="pct"/>
            <w:textDirection w:val="lrTb"/>
            <w:noWrap w:val="false"/>
          </w:tcPr>
          <w:p>
            <w:pPr>
              <w:jc w:val="both"/>
              <w:rPr>
                <w:b/>
                <w:sz w:val="24"/>
                <w:szCs w:val="24"/>
              </w:rPr>
            </w:pPr>
            <w:r>
              <w:rPr>
                <w:sz w:val="24"/>
                <w:szCs w:val="24"/>
              </w:rPr>
              <w:t xml:space="preserve">МП       /Аршакян А.Р./</w:t>
            </w:r>
            <w:r>
              <w:rPr>
                <w:b/>
                <w:sz w:val="24"/>
                <w:szCs w:val="24"/>
              </w:rPr>
            </w:r>
            <w:r>
              <w:rPr>
                <w:b/>
                <w:sz w:val="24"/>
                <w:szCs w:val="24"/>
              </w:rPr>
            </w:r>
          </w:p>
        </w:tc>
        <w:tc>
          <w:tcPr>
            <w:tcW w:w="1667" w:type="pct"/>
            <w:textDirection w:val="lrTb"/>
            <w:noWrap w:val="false"/>
          </w:tcPr>
          <w:p>
            <w:pPr>
              <w:jc w:val="both"/>
              <w:rPr>
                <w:b/>
                <w:sz w:val="24"/>
                <w:szCs w:val="24"/>
              </w:rPr>
            </w:pPr>
            <w:r>
              <w:rPr>
                <w:sz w:val="24"/>
                <w:szCs w:val="24"/>
              </w:rPr>
              <w:t xml:space="preserve">МП         /Чибис А.В./</w:t>
            </w:r>
            <w:r>
              <w:rPr>
                <w:b/>
                <w:sz w:val="24"/>
                <w:szCs w:val="24"/>
              </w:rPr>
            </w:r>
            <w:r>
              <w:rPr>
                <w:b/>
                <w:sz w:val="24"/>
                <w:szCs w:val="24"/>
              </w:rPr>
            </w:r>
          </w:p>
        </w:tc>
      </w:tr>
      <w:tr>
        <w:tblPrEx/>
        <w:trPr/>
        <w:tc>
          <w:tcPr>
            <w:tcW w:w="1667" w:type="pct"/>
            <w:textDirection w:val="lrTb"/>
            <w:noWrap w:val="false"/>
          </w:tcPr>
          <w:p>
            <w:pPr>
              <w:jc w:val="both"/>
              <w:rPr>
                <w:b/>
                <w:sz w:val="24"/>
                <w:szCs w:val="24"/>
              </w:rPr>
            </w:pPr>
            <w:r>
              <w:rPr>
                <w:sz w:val="24"/>
                <w:szCs w:val="24"/>
              </w:rPr>
              <w:t xml:space="preserve">«___»____________ 20__ г.</w:t>
            </w:r>
            <w:r>
              <w:rPr>
                <w:b/>
                <w:sz w:val="24"/>
                <w:szCs w:val="24"/>
              </w:rPr>
            </w:r>
            <w:r>
              <w:rPr>
                <w:b/>
                <w:sz w:val="24"/>
                <w:szCs w:val="24"/>
              </w:rPr>
            </w:r>
          </w:p>
        </w:tc>
        <w:tc>
          <w:tcPr>
            <w:tcW w:w="1667" w:type="pct"/>
            <w:textDirection w:val="lrTb"/>
            <w:noWrap w:val="false"/>
          </w:tcPr>
          <w:p>
            <w:pPr>
              <w:jc w:val="both"/>
              <w:rPr>
                <w:sz w:val="24"/>
                <w:szCs w:val="24"/>
              </w:rPr>
            </w:pPr>
            <w:r>
              <w:rPr>
                <w:sz w:val="24"/>
                <w:szCs w:val="24"/>
              </w:rPr>
              <w:t xml:space="preserve">«___»____________ 20__ г.</w:t>
            </w:r>
            <w:r>
              <w:rPr>
                <w:sz w:val="24"/>
                <w:szCs w:val="24"/>
              </w:rPr>
            </w:r>
            <w:r>
              <w:rPr>
                <w:sz w:val="24"/>
                <w:szCs w:val="24"/>
              </w:rPr>
            </w:r>
          </w:p>
        </w:tc>
        <w:tc>
          <w:tcPr>
            <w:tcW w:w="1667" w:type="pct"/>
            <w:textDirection w:val="lrTb"/>
            <w:noWrap w:val="false"/>
          </w:tcPr>
          <w:p>
            <w:pPr>
              <w:jc w:val="both"/>
              <w:rPr>
                <w:b/>
                <w:sz w:val="24"/>
                <w:szCs w:val="24"/>
              </w:rPr>
            </w:pPr>
            <w:r>
              <w:rPr>
                <w:sz w:val="24"/>
                <w:szCs w:val="24"/>
              </w:rPr>
              <w:t xml:space="preserve">«___»____________ 20__ г.</w:t>
            </w:r>
            <w:r>
              <w:rPr>
                <w:b/>
                <w:sz w:val="24"/>
                <w:szCs w:val="24"/>
              </w:rPr>
            </w:r>
            <w:r>
              <w:rPr>
                <w:b/>
                <w:sz w:val="24"/>
                <w:szCs w:val="24"/>
              </w:rPr>
            </w:r>
          </w:p>
        </w:tc>
      </w:tr>
    </w:tbl>
    <w:p>
      <w:pPr>
        <w:ind w:firstLine="680"/>
        <w:jc w:val="both"/>
        <w:rPr>
          <w:sz w:val="24"/>
          <w:szCs w:val="24"/>
        </w:rPr>
      </w:pPr>
      <w:r>
        <w:rPr>
          <w:sz w:val="24"/>
          <w:szCs w:val="24"/>
        </w:rPr>
      </w:r>
      <w:r>
        <w:rPr>
          <w:sz w:val="24"/>
          <w:szCs w:val="24"/>
        </w:rPr>
      </w:r>
      <w:r>
        <w:rPr>
          <w:sz w:val="24"/>
          <w:szCs w:val="24"/>
        </w:rPr>
      </w:r>
    </w:p>
    <w:p>
      <w:pPr>
        <w:ind w:firstLine="680"/>
        <w:jc w:val="both"/>
        <w:rPr>
          <w:sz w:val="24"/>
          <w:szCs w:val="24"/>
        </w:rPr>
      </w:pPr>
      <w:r>
        <w:rPr>
          <w:sz w:val="24"/>
          <w:szCs w:val="24"/>
        </w:rPr>
      </w:r>
      <w:r>
        <w:rPr>
          <w:sz w:val="24"/>
          <w:szCs w:val="24"/>
        </w:rPr>
      </w:r>
      <w:r>
        <w:rPr>
          <w:sz w:val="24"/>
          <w:szCs w:val="24"/>
        </w:rPr>
      </w:r>
    </w:p>
    <w:p>
      <w:pPr>
        <w:ind w:firstLine="680"/>
        <w:jc w:val="both"/>
        <w:rPr>
          <w:sz w:val="24"/>
          <w:szCs w:val="24"/>
        </w:rPr>
      </w:pPr>
      <w:r>
        <w:rPr>
          <w:sz w:val="24"/>
          <w:szCs w:val="24"/>
        </w:rPr>
      </w:r>
      <w:r>
        <w:rPr>
          <w:sz w:val="24"/>
          <w:szCs w:val="24"/>
        </w:rPr>
      </w:r>
      <w:r>
        <w:rPr>
          <w:sz w:val="24"/>
          <w:szCs w:val="24"/>
        </w:rPr>
      </w:r>
    </w:p>
    <w:p>
      <w:pPr>
        <w:ind w:left="5528" w:right="0" w:firstLine="0"/>
        <w:jc w:val="both"/>
        <w:rPr>
          <w:sz w:val="24"/>
          <w:szCs w:val="24"/>
        </w:rPr>
      </w:pPr>
      <w:r>
        <w:rPr>
          <w:sz w:val="24"/>
          <w:szCs w:val="24"/>
        </w:rPr>
        <w:t xml:space="preserve">Приложение № 17</w:t>
      </w:r>
      <w:r>
        <w:rPr>
          <w:sz w:val="24"/>
          <w:szCs w:val="24"/>
        </w:rPr>
      </w:r>
      <w:r>
        <w:rPr>
          <w:sz w:val="24"/>
          <w:szCs w:val="24"/>
        </w:rPr>
      </w:r>
    </w:p>
    <w:p>
      <w:pPr>
        <w:ind w:left="5528" w:right="0" w:firstLine="0"/>
        <w:jc w:val="both"/>
        <w:rPr>
          <w:sz w:val="24"/>
          <w:szCs w:val="24"/>
        </w:rPr>
      </w:pPr>
      <w:r>
        <w:rPr>
          <w:sz w:val="24"/>
          <w:szCs w:val="24"/>
        </w:rPr>
        <w:t xml:space="preserve">к Концессионному соглашению</w:t>
      </w:r>
      <w:r>
        <w:rPr>
          <w:sz w:val="24"/>
          <w:szCs w:val="24"/>
        </w:rPr>
      </w:r>
      <w:r>
        <w:rPr>
          <w:sz w:val="24"/>
          <w:szCs w:val="24"/>
        </w:rPr>
      </w:r>
    </w:p>
    <w:p>
      <w:pPr>
        <w:ind w:left="5528" w:right="0" w:firstLine="0"/>
        <w:jc w:val="both"/>
        <w:rPr>
          <w:sz w:val="24"/>
          <w:szCs w:val="24"/>
        </w:rPr>
      </w:pPr>
      <w:r>
        <w:rPr>
          <w:sz w:val="24"/>
          <w:szCs w:val="24"/>
        </w:rPr>
        <w:t xml:space="preserve">от «__»______ 2024 года №______</w:t>
      </w:r>
      <w:r>
        <w:rPr>
          <w:sz w:val="24"/>
          <w:szCs w:val="24"/>
        </w:rPr>
      </w:r>
      <w:r>
        <w:rPr>
          <w:sz w:val="24"/>
          <w:szCs w:val="24"/>
        </w:rPr>
      </w:r>
    </w:p>
    <w:p>
      <w:pPr>
        <w:ind w:firstLine="680"/>
        <w:jc w:val="both"/>
        <w:rPr>
          <w:sz w:val="24"/>
          <w:szCs w:val="24"/>
        </w:rPr>
      </w:pPr>
      <w:r>
        <w:rPr>
          <w:sz w:val="24"/>
          <w:szCs w:val="24"/>
        </w:rPr>
      </w:r>
      <w:r>
        <w:rPr>
          <w:sz w:val="24"/>
          <w:szCs w:val="24"/>
        </w:rPr>
      </w:r>
      <w:r>
        <w:rPr>
          <w:sz w:val="24"/>
          <w:szCs w:val="24"/>
        </w:rPr>
      </w:r>
    </w:p>
    <w:p>
      <w:pPr>
        <w:ind w:firstLine="680"/>
        <w:jc w:val="center"/>
        <w:rPr>
          <w:b/>
          <w:sz w:val="24"/>
          <w:szCs w:val="24"/>
        </w:rPr>
      </w:pPr>
      <w:r>
        <w:rPr>
          <w:b/>
          <w:sz w:val="24"/>
          <w:szCs w:val="24"/>
        </w:rPr>
        <w:t xml:space="preserve">Термины и определения</w:t>
      </w:r>
      <w:r>
        <w:rPr>
          <w:b/>
          <w:sz w:val="24"/>
          <w:szCs w:val="24"/>
        </w:rPr>
      </w:r>
      <w:r>
        <w:rPr>
          <w:b/>
          <w:sz w:val="24"/>
          <w:szCs w:val="24"/>
        </w:rPr>
      </w:r>
    </w:p>
    <w:p>
      <w:pPr>
        <w:ind w:firstLine="680"/>
        <w:jc w:val="both"/>
        <w:rPr>
          <w:b/>
          <w:sz w:val="24"/>
          <w:szCs w:val="24"/>
        </w:rPr>
      </w:pPr>
      <w:r>
        <w:rPr>
          <w:b/>
          <w:sz w:val="24"/>
          <w:szCs w:val="24"/>
        </w:rPr>
      </w:r>
      <w:r>
        <w:rPr>
          <w:b/>
          <w:sz w:val="24"/>
          <w:szCs w:val="24"/>
        </w:rPr>
      </w:r>
      <w:r>
        <w:rPr>
          <w:b/>
          <w:sz w:val="24"/>
          <w:szCs w:val="24"/>
        </w:rPr>
      </w:r>
    </w:p>
    <w:p>
      <w:pPr>
        <w:ind w:firstLine="680"/>
        <w:jc w:val="both"/>
        <w:rPr>
          <w:sz w:val="24"/>
          <w:szCs w:val="24"/>
        </w:rPr>
      </w:pPr>
      <w:r>
        <w:rPr>
          <w:b/>
          <w:sz w:val="24"/>
          <w:szCs w:val="24"/>
        </w:rPr>
        <w:t xml:space="preserve">Экономически обоснованные расходы – </w:t>
      </w:r>
      <w:r>
        <w:rPr>
          <w:sz w:val="24"/>
          <w:szCs w:val="24"/>
        </w:rPr>
        <w:t xml:space="preserve">Расходы организации, связанные с производством и реализацией продукции (услуг) по регулируемым видам деятельности, которые определяются на основании заклю</w:t>
      </w:r>
      <w:r>
        <w:rPr>
          <w:sz w:val="24"/>
          <w:szCs w:val="24"/>
        </w:rPr>
        <w:t xml:space="preserve">чения Комитета по тарифному регулированию Мурманской области в соответствии Приказом Федеральной службы по тарифам от 13.06.2013 г. № 760-э «Об утверждении методических указаний по расчету регулируемых цен (тарифов) в сфере теплоснабжения» (Далее № 760-Э).</w:t>
      </w:r>
      <w:r>
        <w:rPr>
          <w:sz w:val="24"/>
          <w:szCs w:val="24"/>
        </w:rPr>
      </w:r>
      <w:r>
        <w:rPr>
          <w:sz w:val="24"/>
          <w:szCs w:val="24"/>
        </w:rPr>
      </w:r>
    </w:p>
    <w:p>
      <w:pPr>
        <w:ind w:firstLine="680"/>
        <w:jc w:val="both"/>
        <w:rPr>
          <w:sz w:val="24"/>
          <w:szCs w:val="24"/>
        </w:rPr>
      </w:pPr>
      <w:r>
        <w:rPr>
          <w:b/>
          <w:sz w:val="24"/>
          <w:szCs w:val="24"/>
        </w:rPr>
        <w:t xml:space="preserve">Недополученные доходы</w:t>
      </w:r>
      <w:r>
        <w:rPr>
          <w:sz w:val="24"/>
          <w:szCs w:val="24"/>
        </w:rPr>
        <w:t xml:space="preserve"> - недополученные дох</w:t>
      </w:r>
      <w:r>
        <w:rPr>
          <w:sz w:val="24"/>
          <w:szCs w:val="24"/>
        </w:rPr>
        <w:t xml:space="preserve">оды Концессионера, связанные с осуществлением Концессионером регулируемых видов деятельности, возмещаемые за счет средств бюджета Мурманской области в случаях, предусмотренных статьей 10 Федерального закона № 190-ФЗ «О теплоснабжении» от 27 июля 2010 года.</w:t>
      </w:r>
      <w:r>
        <w:rPr>
          <w:sz w:val="24"/>
          <w:szCs w:val="24"/>
        </w:rPr>
      </w:r>
      <w:r>
        <w:rPr>
          <w:sz w:val="24"/>
          <w:szCs w:val="24"/>
        </w:rPr>
      </w:r>
    </w:p>
    <w:p>
      <w:pPr>
        <w:ind w:firstLine="680"/>
        <w:jc w:val="both"/>
        <w:rPr>
          <w:b/>
          <w:sz w:val="24"/>
          <w:szCs w:val="24"/>
        </w:rPr>
      </w:pPr>
      <w:r>
        <w:rPr>
          <w:b/>
          <w:sz w:val="24"/>
          <w:szCs w:val="24"/>
        </w:rPr>
        <w:t xml:space="preserve">Выпадающие доходы</w:t>
      </w:r>
      <w:r>
        <w:rPr>
          <w:sz w:val="24"/>
          <w:szCs w:val="24"/>
        </w:rPr>
        <w:t xml:space="preserve"> – Выпадающие доходы по регулируемым видам деятельности, связанные с превышением учтенного при установлении тарифов объема полезного отпуска над фактическим, подтверж</w:t>
      </w:r>
      <w:r>
        <w:rPr>
          <w:sz w:val="24"/>
          <w:szCs w:val="24"/>
        </w:rPr>
        <w:t xml:space="preserve">даются по итогам расчетного периода регулирования данными статистической и бухгалтерской отчетности. Средства на компенсацию таких выпадающих доходов учитываются органом регулирования при установлении регулируемых цен (тарифов) для такой регулируемой орган</w:t>
      </w:r>
      <w:r>
        <w:rPr>
          <w:sz w:val="24"/>
          <w:szCs w:val="24"/>
        </w:rPr>
        <w:t xml:space="preserve">изации начиная с периода, следующего за периодом, в котором указанные выпадающие доходы были документально подтверждены на основании годовой бухгалтерской и статистической отчетности, но не позднее чем на 3-й расчетный период регулирования, в полном объеме</w:t>
      </w:r>
      <w:r>
        <w:rPr>
          <w:b/>
          <w:sz w:val="24"/>
          <w:szCs w:val="24"/>
        </w:rPr>
        <w:t xml:space="preserve">.</w:t>
      </w:r>
      <w:r>
        <w:rPr>
          <w:b/>
          <w:sz w:val="24"/>
          <w:szCs w:val="24"/>
        </w:rPr>
      </w:r>
      <w:r>
        <w:rPr>
          <w:b/>
          <w:sz w:val="24"/>
          <w:szCs w:val="24"/>
        </w:rPr>
      </w:r>
    </w:p>
    <w:p>
      <w:pPr>
        <w:ind w:firstLine="680"/>
        <w:jc w:val="both"/>
        <w:rPr>
          <w:sz w:val="24"/>
          <w:szCs w:val="24"/>
        </w:rPr>
      </w:pPr>
      <w:r>
        <w:rPr>
          <w:b/>
          <w:sz w:val="24"/>
          <w:szCs w:val="24"/>
        </w:rPr>
        <w:t xml:space="preserve">Компенсационная стоимость</w:t>
      </w:r>
      <w:r>
        <w:rPr>
          <w:sz w:val="24"/>
          <w:szCs w:val="24"/>
        </w:rPr>
        <w:t xml:space="preserve"> </w:t>
      </w:r>
      <w:r>
        <w:rPr>
          <w:b/>
          <w:sz w:val="24"/>
          <w:szCs w:val="24"/>
        </w:rPr>
        <w:t xml:space="preserve">объекта </w:t>
      </w:r>
      <w:r>
        <w:rPr>
          <w:sz w:val="24"/>
          <w:szCs w:val="24"/>
        </w:rPr>
        <w:t xml:space="preserve">– возмещение расходов Концессионеру при досрочном расторжении Соглашения, рассчитанное на дату расторжения Соглашения как разность вложенных Концесси</w:t>
      </w:r>
      <w:r>
        <w:rPr>
          <w:sz w:val="24"/>
          <w:szCs w:val="24"/>
        </w:rPr>
        <w:t xml:space="preserve">онером в создание Объекта Соглашения денежных средств и полученных Концессионером до расторжения Соглашения объемов возмещения денежных средств на создание Объекта, на основании экспертного заключения Комитета по тарифному регулированию Мурманской области.</w:t>
      </w:r>
      <w:r>
        <w:rPr>
          <w:sz w:val="24"/>
          <w:szCs w:val="24"/>
        </w:rPr>
      </w:r>
      <w:r>
        <w:rPr>
          <w:sz w:val="24"/>
          <w:szCs w:val="24"/>
        </w:rPr>
      </w:r>
    </w:p>
    <w:p>
      <w:pPr>
        <w:ind w:firstLine="680"/>
        <w:jc w:val="both"/>
        <w:rPr>
          <w:sz w:val="24"/>
          <w:szCs w:val="24"/>
        </w:rPr>
      </w:pPr>
      <w:r>
        <w:rPr>
          <w:b/>
          <w:sz w:val="24"/>
          <w:szCs w:val="24"/>
        </w:rPr>
        <w:t xml:space="preserve">Капитальный грант </w:t>
      </w:r>
      <w:r>
        <w:rPr>
          <w:sz w:val="24"/>
          <w:szCs w:val="24"/>
        </w:rPr>
        <w:t xml:space="preserve">–  денежные средства Концедента, направляемые на софинансирование расходов Концессионера на Реконструкцию Объекта соглашения и объем предоставления которых определен в </w:t>
      </w:r>
      <w:r>
        <w:rPr>
          <w:b/>
          <w:sz w:val="24"/>
          <w:szCs w:val="24"/>
        </w:rPr>
        <w:t xml:space="preserve">п. 137</w:t>
      </w:r>
      <w:r>
        <w:rPr>
          <w:sz w:val="24"/>
          <w:szCs w:val="24"/>
        </w:rPr>
        <w:t xml:space="preserve"> Соглашения.</w:t>
      </w:r>
      <w:r>
        <w:rPr>
          <w:sz w:val="24"/>
          <w:szCs w:val="24"/>
        </w:rPr>
      </w:r>
      <w:r>
        <w:rPr>
          <w:sz w:val="24"/>
          <w:szCs w:val="24"/>
        </w:rPr>
      </w:r>
    </w:p>
    <w:p>
      <w:pPr>
        <w:ind w:firstLine="680"/>
        <w:jc w:val="both"/>
        <w:rPr>
          <w:sz w:val="24"/>
          <w:szCs w:val="24"/>
        </w:rPr>
      </w:pPr>
      <w:r>
        <w:rPr>
          <w:b/>
          <w:sz w:val="24"/>
          <w:szCs w:val="24"/>
        </w:rPr>
        <w:t xml:space="preserve">Территория обслуживания</w:t>
      </w:r>
      <w:r>
        <w:rPr>
          <w:sz w:val="24"/>
          <w:szCs w:val="24"/>
        </w:rPr>
        <w:t xml:space="preserve"> – зона действия Объектов соглашения, определенная их местонахождением, указанным в Приложении № 1.</w:t>
      </w:r>
      <w:r>
        <w:rPr>
          <w:sz w:val="24"/>
          <w:szCs w:val="24"/>
        </w:rPr>
      </w:r>
      <w:r>
        <w:rPr>
          <w:sz w:val="24"/>
          <w:szCs w:val="24"/>
        </w:rPr>
      </w:r>
    </w:p>
    <w:p>
      <w:pPr>
        <w:ind w:firstLine="680"/>
        <w:jc w:val="both"/>
        <w:rPr>
          <w:sz w:val="24"/>
          <w:szCs w:val="24"/>
        </w:rPr>
      </w:pPr>
      <w:r>
        <w:rPr>
          <w:sz w:val="24"/>
          <w:szCs w:val="24"/>
        </w:rPr>
      </w:r>
      <w:r>
        <w:rPr>
          <w:sz w:val="24"/>
          <w:szCs w:val="24"/>
        </w:rPr>
      </w:r>
      <w:r>
        <w:rPr>
          <w:sz w:val="24"/>
          <w:szCs w:val="24"/>
        </w:rPr>
      </w:r>
    </w:p>
    <w:p>
      <w:pPr>
        <w:ind w:firstLine="680"/>
        <w:jc w:val="both"/>
        <w:rPr>
          <w:sz w:val="24"/>
          <w:szCs w:val="24"/>
        </w:rPr>
      </w:pPr>
      <w:r>
        <w:rPr>
          <w:sz w:val="24"/>
          <w:szCs w:val="24"/>
        </w:rPr>
      </w:r>
      <w:r>
        <w:rPr>
          <w:sz w:val="24"/>
          <w:szCs w:val="24"/>
        </w:rPr>
      </w:r>
      <w:r>
        <w:rPr>
          <w:sz w:val="24"/>
          <w:szCs w:val="24"/>
        </w:rPr>
      </w:r>
    </w:p>
    <w:tbl>
      <w:tblPr>
        <w:tblStyle w:val="937"/>
        <w:tblW w:w="5000" w:type="pc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117"/>
        <w:gridCol w:w="3117"/>
        <w:gridCol w:w="3336"/>
      </w:tblGrid>
      <w:tr>
        <w:tblPrEx/>
        <w:trPr/>
        <w:tc>
          <w:tcPr>
            <w:tcW w:w="1667" w:type="pct"/>
            <w:textDirection w:val="lrTb"/>
            <w:noWrap w:val="false"/>
          </w:tcPr>
          <w:p>
            <w:pPr>
              <w:jc w:val="both"/>
              <w:rPr>
                <w:b/>
                <w:sz w:val="24"/>
                <w:szCs w:val="24"/>
              </w:rPr>
            </w:pPr>
            <w:r>
              <w:rPr>
                <w:b/>
                <w:sz w:val="24"/>
                <w:szCs w:val="24"/>
              </w:rPr>
              <w:t xml:space="preserve">Концедент</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Концессионер</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Субъект</w:t>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t xml:space="preserve">Муниципальное образование Печенгский муниципальный округ Мурманской области</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Общество с ограниченной ответственностью «ПромВоенСтрой»</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Мурманская область</w:t>
            </w:r>
            <w:r>
              <w:rPr>
                <w:b/>
                <w:sz w:val="24"/>
                <w:szCs w:val="24"/>
              </w:rPr>
            </w:r>
            <w:r>
              <w:rPr>
                <w:b/>
                <w:sz w:val="24"/>
                <w:szCs w:val="24"/>
              </w:rPr>
            </w:r>
          </w:p>
          <w:p>
            <w:pPr>
              <w:jc w:val="both"/>
              <w:rPr>
                <w:b/>
                <w:sz w:val="24"/>
                <w:szCs w:val="24"/>
              </w:rPr>
            </w:pPr>
            <w:r>
              <w:rPr>
                <w:b/>
                <w:sz w:val="24"/>
                <w:szCs w:val="24"/>
              </w:rPr>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t xml:space="preserve">Глава округа </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Генеральный директор</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Губернатор</w:t>
            </w:r>
            <w:r>
              <w:rPr>
                <w:b/>
                <w:sz w:val="24"/>
                <w:szCs w:val="24"/>
              </w:rPr>
            </w:r>
            <w:r>
              <w:rPr>
                <w:b/>
                <w:sz w:val="24"/>
                <w:szCs w:val="24"/>
              </w:rPr>
            </w:r>
          </w:p>
        </w:tc>
      </w:tr>
      <w:tr>
        <w:tblPrEx/>
        <w:trPr>
          <w:trHeight w:val="567"/>
        </w:trPr>
        <w:tc>
          <w:tcPr>
            <w:tcW w:w="1667" w:type="pct"/>
            <w:vAlign w:val="bottom"/>
            <w:textDirection w:val="lrTb"/>
            <w:noWrap w:val="false"/>
          </w:tcPr>
          <w:p>
            <w:pPr>
              <w:jc w:val="both"/>
              <w:rPr>
                <w:b/>
                <w:sz w:val="24"/>
                <w:szCs w:val="24"/>
              </w:rPr>
            </w:pPr>
            <w:r>
              <w:rPr>
                <w:b/>
                <w:sz w:val="24"/>
                <w:szCs w:val="24"/>
              </w:rPr>
              <w:t xml:space="preserve">_______________________</w:t>
            </w:r>
            <w:r>
              <w:rPr>
                <w:b/>
                <w:sz w:val="24"/>
                <w:szCs w:val="24"/>
              </w:rPr>
            </w:r>
            <w:r>
              <w:rPr>
                <w:b/>
                <w:sz w:val="24"/>
                <w:szCs w:val="24"/>
              </w:rPr>
            </w:r>
          </w:p>
        </w:tc>
        <w:tc>
          <w:tcPr>
            <w:tcW w:w="1667" w:type="pct"/>
            <w:vAlign w:val="bottom"/>
            <w:textDirection w:val="lrTb"/>
            <w:noWrap w:val="false"/>
          </w:tcPr>
          <w:p>
            <w:pPr>
              <w:jc w:val="both"/>
              <w:rPr>
                <w:b/>
                <w:sz w:val="24"/>
                <w:szCs w:val="24"/>
              </w:rPr>
            </w:pPr>
            <w:r>
              <w:rPr>
                <w:b/>
                <w:sz w:val="24"/>
                <w:szCs w:val="24"/>
              </w:rPr>
              <w:t xml:space="preserve">_______________________</w:t>
            </w:r>
            <w:r>
              <w:rPr>
                <w:b/>
                <w:sz w:val="24"/>
                <w:szCs w:val="24"/>
              </w:rPr>
            </w:r>
            <w:r>
              <w:rPr>
                <w:b/>
                <w:sz w:val="24"/>
                <w:szCs w:val="24"/>
              </w:rPr>
            </w:r>
          </w:p>
        </w:tc>
        <w:tc>
          <w:tcPr>
            <w:tcW w:w="1667" w:type="pct"/>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r>
      <w:tr>
        <w:tblPrEx/>
        <w:trPr/>
        <w:tc>
          <w:tcPr>
            <w:tcW w:w="1667" w:type="pct"/>
            <w:textDirection w:val="lrTb"/>
            <w:noWrap w:val="false"/>
          </w:tcPr>
          <w:p>
            <w:pPr>
              <w:jc w:val="both"/>
              <w:rPr>
                <w:b/>
                <w:sz w:val="24"/>
                <w:szCs w:val="24"/>
              </w:rPr>
            </w:pPr>
            <w:r>
              <w:rPr>
                <w:sz w:val="24"/>
                <w:szCs w:val="24"/>
              </w:rPr>
              <w:t xml:space="preserve">МП      /Кузнецов А.В../</w:t>
            </w:r>
            <w:r>
              <w:rPr>
                <w:b/>
                <w:sz w:val="24"/>
                <w:szCs w:val="24"/>
              </w:rPr>
            </w:r>
            <w:r>
              <w:rPr>
                <w:b/>
                <w:sz w:val="24"/>
                <w:szCs w:val="24"/>
              </w:rPr>
            </w:r>
          </w:p>
        </w:tc>
        <w:tc>
          <w:tcPr>
            <w:tcW w:w="1667" w:type="pct"/>
            <w:textDirection w:val="lrTb"/>
            <w:noWrap w:val="false"/>
          </w:tcPr>
          <w:p>
            <w:pPr>
              <w:jc w:val="both"/>
              <w:rPr>
                <w:b/>
                <w:sz w:val="24"/>
                <w:szCs w:val="24"/>
              </w:rPr>
            </w:pPr>
            <w:r>
              <w:rPr>
                <w:sz w:val="24"/>
                <w:szCs w:val="24"/>
              </w:rPr>
              <w:t xml:space="preserve">МП       /Аршакян А.Р./</w:t>
            </w:r>
            <w:r>
              <w:rPr>
                <w:b/>
                <w:sz w:val="24"/>
                <w:szCs w:val="24"/>
              </w:rPr>
            </w:r>
            <w:r>
              <w:rPr>
                <w:b/>
                <w:sz w:val="24"/>
                <w:szCs w:val="24"/>
              </w:rPr>
            </w:r>
          </w:p>
        </w:tc>
        <w:tc>
          <w:tcPr>
            <w:tcW w:w="1667" w:type="pct"/>
            <w:textDirection w:val="lrTb"/>
            <w:noWrap w:val="false"/>
          </w:tcPr>
          <w:p>
            <w:pPr>
              <w:jc w:val="both"/>
              <w:rPr>
                <w:b/>
                <w:sz w:val="24"/>
                <w:szCs w:val="24"/>
              </w:rPr>
            </w:pPr>
            <w:r>
              <w:rPr>
                <w:sz w:val="24"/>
                <w:szCs w:val="24"/>
              </w:rPr>
              <w:t xml:space="preserve">МП         /Чибис А.В./</w:t>
            </w:r>
            <w:r>
              <w:rPr>
                <w:b/>
                <w:sz w:val="24"/>
                <w:szCs w:val="24"/>
              </w:rPr>
            </w:r>
            <w:r>
              <w:rPr>
                <w:b/>
                <w:sz w:val="24"/>
                <w:szCs w:val="24"/>
              </w:rPr>
            </w:r>
          </w:p>
        </w:tc>
      </w:tr>
      <w:tr>
        <w:tblPrEx/>
        <w:trPr/>
        <w:tc>
          <w:tcPr>
            <w:tcW w:w="1667" w:type="pct"/>
            <w:textDirection w:val="lrTb"/>
            <w:noWrap w:val="false"/>
          </w:tcPr>
          <w:p>
            <w:pPr>
              <w:jc w:val="both"/>
              <w:rPr>
                <w:b/>
                <w:sz w:val="24"/>
                <w:szCs w:val="24"/>
              </w:rPr>
            </w:pPr>
            <w:r>
              <w:rPr>
                <w:sz w:val="24"/>
                <w:szCs w:val="24"/>
              </w:rPr>
              <w:t xml:space="preserve">«___»____________ 20__ г.</w:t>
            </w:r>
            <w:r>
              <w:rPr>
                <w:b/>
                <w:sz w:val="24"/>
                <w:szCs w:val="24"/>
              </w:rPr>
            </w:r>
            <w:r>
              <w:rPr>
                <w:b/>
                <w:sz w:val="24"/>
                <w:szCs w:val="24"/>
              </w:rPr>
            </w:r>
          </w:p>
        </w:tc>
        <w:tc>
          <w:tcPr>
            <w:tcW w:w="1667" w:type="pct"/>
            <w:textDirection w:val="lrTb"/>
            <w:noWrap w:val="false"/>
          </w:tcPr>
          <w:p>
            <w:pPr>
              <w:jc w:val="both"/>
              <w:rPr>
                <w:sz w:val="24"/>
                <w:szCs w:val="24"/>
              </w:rPr>
            </w:pPr>
            <w:r>
              <w:rPr>
                <w:sz w:val="24"/>
                <w:szCs w:val="24"/>
              </w:rPr>
              <w:t xml:space="preserve">«___»____________ 20__ г.</w:t>
            </w:r>
            <w:r>
              <w:rPr>
                <w:sz w:val="24"/>
                <w:szCs w:val="24"/>
              </w:rPr>
            </w:r>
            <w:r>
              <w:rPr>
                <w:sz w:val="24"/>
                <w:szCs w:val="24"/>
              </w:rPr>
            </w:r>
          </w:p>
        </w:tc>
        <w:tc>
          <w:tcPr>
            <w:tcW w:w="1667" w:type="pct"/>
            <w:textDirection w:val="lrTb"/>
            <w:noWrap w:val="false"/>
          </w:tcPr>
          <w:p>
            <w:pPr>
              <w:jc w:val="both"/>
              <w:rPr>
                <w:b/>
                <w:sz w:val="24"/>
                <w:szCs w:val="24"/>
              </w:rPr>
            </w:pPr>
            <w:r>
              <w:rPr>
                <w:sz w:val="24"/>
                <w:szCs w:val="24"/>
              </w:rPr>
              <w:t xml:space="preserve">«___»____________ 20__ г.</w:t>
            </w:r>
            <w:r>
              <w:rPr>
                <w:b/>
                <w:sz w:val="24"/>
                <w:szCs w:val="24"/>
              </w:rPr>
            </w:r>
            <w:r>
              <w:rPr>
                <w:b/>
                <w:sz w:val="24"/>
                <w:szCs w:val="24"/>
              </w:rPr>
            </w:r>
          </w:p>
        </w:tc>
      </w:tr>
    </w:tbl>
    <w:p>
      <w:pPr>
        <w:ind w:firstLine="680"/>
        <w:jc w:val="both"/>
        <w:rPr>
          <w:sz w:val="24"/>
          <w:szCs w:val="24"/>
        </w:rPr>
      </w:pPr>
      <w:r>
        <w:rPr>
          <w:sz w:val="24"/>
          <w:szCs w:val="24"/>
        </w:rPr>
      </w:r>
      <w:r>
        <w:rPr>
          <w:sz w:val="24"/>
          <w:szCs w:val="24"/>
        </w:rPr>
      </w:r>
      <w:r>
        <w:rPr>
          <w:sz w:val="24"/>
          <w:szCs w:val="24"/>
        </w:rPr>
      </w:r>
    </w:p>
    <w:p>
      <w:pPr>
        <w:ind w:firstLine="680"/>
        <w:jc w:val="both"/>
        <w:rPr>
          <w:sz w:val="24"/>
          <w:szCs w:val="24"/>
        </w:rPr>
      </w:pPr>
      <w:r>
        <w:rPr>
          <w:sz w:val="24"/>
          <w:szCs w:val="24"/>
        </w:rPr>
      </w:r>
      <w:r>
        <w:rPr>
          <w:sz w:val="24"/>
          <w:szCs w:val="24"/>
        </w:rPr>
      </w:r>
      <w:r>
        <w:rPr>
          <w:sz w:val="24"/>
          <w:szCs w:val="24"/>
        </w:rPr>
      </w:r>
    </w:p>
    <w:p>
      <w:pPr>
        <w:ind w:firstLine="680"/>
        <w:jc w:val="both"/>
        <w:rPr>
          <w:sz w:val="24"/>
          <w:szCs w:val="24"/>
        </w:rPr>
      </w:pPr>
      <w:r>
        <w:rPr>
          <w:sz w:val="24"/>
          <w:szCs w:val="24"/>
        </w:rPr>
      </w:r>
      <w:r>
        <w:rPr>
          <w:sz w:val="24"/>
          <w:szCs w:val="24"/>
        </w:rPr>
      </w:r>
      <w:r>
        <w:rPr>
          <w:sz w:val="24"/>
          <w:szCs w:val="24"/>
        </w:rPr>
      </w:r>
    </w:p>
    <w:p>
      <w:pPr>
        <w:ind w:left="5528" w:right="0" w:firstLine="0"/>
        <w:jc w:val="both"/>
        <w:rPr>
          <w:sz w:val="24"/>
          <w:szCs w:val="24"/>
        </w:rPr>
      </w:pPr>
      <w:r>
        <w:rPr>
          <w:sz w:val="24"/>
          <w:szCs w:val="24"/>
        </w:rPr>
        <w:t xml:space="preserve">Приложение № 18</w:t>
      </w:r>
      <w:r>
        <w:rPr>
          <w:sz w:val="24"/>
          <w:szCs w:val="24"/>
        </w:rPr>
      </w:r>
      <w:r>
        <w:rPr>
          <w:sz w:val="24"/>
          <w:szCs w:val="24"/>
        </w:rPr>
      </w:r>
    </w:p>
    <w:p>
      <w:pPr>
        <w:ind w:left="5528" w:right="0" w:firstLine="0"/>
        <w:jc w:val="both"/>
        <w:rPr>
          <w:sz w:val="24"/>
          <w:szCs w:val="24"/>
        </w:rPr>
      </w:pPr>
      <w:r>
        <w:rPr>
          <w:sz w:val="24"/>
          <w:szCs w:val="24"/>
        </w:rPr>
        <w:t xml:space="preserve">к Концессионному соглашению</w:t>
      </w:r>
      <w:r>
        <w:rPr>
          <w:sz w:val="24"/>
          <w:szCs w:val="24"/>
        </w:rPr>
      </w:r>
      <w:r>
        <w:rPr>
          <w:sz w:val="24"/>
          <w:szCs w:val="24"/>
        </w:rPr>
      </w:r>
    </w:p>
    <w:p>
      <w:pPr>
        <w:ind w:left="5528" w:right="0" w:firstLine="0"/>
        <w:jc w:val="both"/>
        <w:rPr>
          <w:sz w:val="24"/>
          <w:szCs w:val="24"/>
        </w:rPr>
      </w:pPr>
      <w:r>
        <w:rPr>
          <w:sz w:val="24"/>
          <w:szCs w:val="24"/>
        </w:rPr>
        <w:t xml:space="preserve">от «__»______ 2024 года №______</w:t>
      </w:r>
      <w:r>
        <w:rPr>
          <w:sz w:val="24"/>
          <w:szCs w:val="24"/>
        </w:rPr>
      </w:r>
      <w:r>
        <w:rPr>
          <w:sz w:val="24"/>
          <w:szCs w:val="24"/>
        </w:rPr>
      </w:r>
    </w:p>
    <w:p>
      <w:pPr>
        <w:ind w:firstLine="680"/>
        <w:jc w:val="both"/>
        <w:rPr>
          <w:sz w:val="24"/>
          <w:szCs w:val="24"/>
        </w:rPr>
      </w:pPr>
      <w:r>
        <w:rPr>
          <w:sz w:val="24"/>
          <w:szCs w:val="24"/>
        </w:rPr>
      </w:r>
      <w:r>
        <w:rPr>
          <w:sz w:val="24"/>
          <w:szCs w:val="24"/>
        </w:rPr>
      </w:r>
      <w:r>
        <w:rPr>
          <w:sz w:val="24"/>
          <w:szCs w:val="24"/>
        </w:rPr>
      </w:r>
    </w:p>
    <w:p>
      <w:pPr>
        <w:ind w:firstLine="680"/>
        <w:jc w:val="both"/>
        <w:rPr>
          <w:sz w:val="24"/>
          <w:szCs w:val="24"/>
        </w:rPr>
      </w:pPr>
      <w:r>
        <w:rPr>
          <w:sz w:val="24"/>
          <w:szCs w:val="24"/>
        </w:rPr>
      </w:r>
      <w:r>
        <w:rPr>
          <w:sz w:val="24"/>
          <w:szCs w:val="24"/>
        </w:rPr>
      </w:r>
      <w:r>
        <w:rPr>
          <w:sz w:val="24"/>
          <w:szCs w:val="24"/>
        </w:rPr>
      </w:r>
    </w:p>
    <w:p>
      <w:pPr>
        <w:contextualSpacing/>
        <w:jc w:val="center"/>
        <w:rPr>
          <w:rFonts w:eastAsia="Calibri"/>
          <w:b/>
          <w:sz w:val="24"/>
          <w:szCs w:val="24"/>
        </w:rPr>
        <w:outlineLvl w:val="0"/>
      </w:pPr>
      <w:r/>
      <w:bookmarkStart w:id="137" w:name="_Hlk148017811"/>
      <w:r>
        <w:rPr>
          <w:rFonts w:eastAsia="Calibri"/>
          <w:b/>
          <w:sz w:val="24"/>
          <w:szCs w:val="24"/>
        </w:rPr>
        <w:t xml:space="preserve">Порядок расчета размера и график выплаты Капитального гранта</w:t>
      </w:r>
      <w:r>
        <w:rPr>
          <w:rFonts w:eastAsia="Calibri"/>
          <w:b/>
          <w:sz w:val="24"/>
          <w:szCs w:val="24"/>
        </w:rPr>
      </w:r>
      <w:r>
        <w:rPr>
          <w:rFonts w:eastAsia="Calibri"/>
          <w:b/>
          <w:sz w:val="24"/>
          <w:szCs w:val="24"/>
        </w:rPr>
      </w:r>
    </w:p>
    <w:p>
      <w:pPr>
        <w:jc w:val="both"/>
        <w:spacing w:after="80"/>
        <w:rPr>
          <w:sz w:val="24"/>
          <w:szCs w:val="24"/>
        </w:rPr>
      </w:pPr>
      <w:r>
        <w:rPr>
          <w:sz w:val="24"/>
          <w:szCs w:val="24"/>
        </w:rPr>
      </w:r>
      <w:r>
        <w:rPr>
          <w:sz w:val="24"/>
          <w:szCs w:val="24"/>
        </w:rPr>
      </w:r>
      <w:r>
        <w:rPr>
          <w:sz w:val="24"/>
          <w:szCs w:val="24"/>
        </w:rPr>
      </w:r>
    </w:p>
    <w:p>
      <w:pPr>
        <w:jc w:val="both"/>
        <w:spacing w:after="80"/>
        <w:rPr>
          <w:sz w:val="24"/>
          <w:szCs w:val="24"/>
        </w:rPr>
      </w:pPr>
      <w:r>
        <w:rPr>
          <w:sz w:val="24"/>
          <w:szCs w:val="24"/>
        </w:rPr>
        <w:t xml:space="preserve">1. Размер </w:t>
      </w:r>
      <w:r>
        <w:rPr>
          <w:rFonts w:eastAsia="Calibri"/>
          <w:sz w:val="24"/>
          <w:szCs w:val="24"/>
        </w:rPr>
        <w:t xml:space="preserve">Капитального </w:t>
      </w:r>
      <w:r>
        <w:rPr>
          <w:sz w:val="24"/>
          <w:szCs w:val="24"/>
        </w:rPr>
        <w:t xml:space="preserve">г</w:t>
      </w:r>
      <w:r>
        <w:rPr>
          <w:rFonts w:eastAsia="Calibri"/>
          <w:sz w:val="24"/>
          <w:szCs w:val="24"/>
        </w:rPr>
        <w:t xml:space="preserve">ранта определен в пункте </w:t>
      </w:r>
      <w:r>
        <w:rPr>
          <w:sz w:val="24"/>
          <w:szCs w:val="24"/>
        </w:rPr>
        <w:t xml:space="preserve">137</w:t>
      </w:r>
      <w:r>
        <w:rPr>
          <w:rFonts w:eastAsia="Calibri"/>
          <w:sz w:val="24"/>
          <w:szCs w:val="24"/>
        </w:rPr>
        <w:t xml:space="preserve"> </w:t>
      </w:r>
      <w:r>
        <w:rPr>
          <w:sz w:val="24"/>
          <w:szCs w:val="24"/>
        </w:rPr>
        <w:t xml:space="preserve">Концессионного со</w:t>
      </w:r>
      <w:r>
        <w:rPr>
          <w:rFonts w:eastAsia="Calibri"/>
          <w:sz w:val="24"/>
          <w:szCs w:val="24"/>
        </w:rPr>
        <w:t xml:space="preserve">глашения. Размер платежей Капитального Гранта, фактически подлежащих выплате в соответствующие календарные кварталы, начинающие исчисляться с квартала, на который приходится Дата </w:t>
      </w:r>
      <w:r>
        <w:rPr>
          <w:sz w:val="24"/>
          <w:szCs w:val="24"/>
        </w:rPr>
        <w:t xml:space="preserve">з</w:t>
      </w:r>
      <w:r>
        <w:rPr>
          <w:rFonts w:eastAsia="Calibri"/>
          <w:sz w:val="24"/>
          <w:szCs w:val="24"/>
        </w:rPr>
        <w:t xml:space="preserve">аключения </w:t>
      </w:r>
      <w:r>
        <w:rPr>
          <w:sz w:val="24"/>
          <w:szCs w:val="24"/>
        </w:rPr>
        <w:t xml:space="preserve">Концессионного с</w:t>
      </w:r>
      <w:r>
        <w:rPr>
          <w:rFonts w:eastAsia="Calibri"/>
          <w:sz w:val="24"/>
          <w:szCs w:val="24"/>
        </w:rPr>
        <w:t xml:space="preserve">оглашения, не должен превышать размеров, указанных в Таблице </w:t>
      </w:r>
      <w:r>
        <w:rPr>
          <w:sz w:val="24"/>
          <w:szCs w:val="24"/>
        </w:rPr>
        <w:t xml:space="preserve">1.</w:t>
      </w:r>
      <w:bookmarkEnd w:id="137"/>
      <w:r>
        <w:rPr>
          <w:sz w:val="24"/>
          <w:szCs w:val="24"/>
        </w:rPr>
      </w:r>
      <w:r>
        <w:rPr>
          <w:sz w:val="24"/>
          <w:szCs w:val="24"/>
        </w:rPr>
      </w:r>
    </w:p>
    <w:p>
      <w:pPr>
        <w:contextualSpacing/>
        <w:jc w:val="both"/>
        <w:spacing w:after="80"/>
        <w:rPr>
          <w:rFonts w:eastAsia="Calibri"/>
          <w:b/>
          <w:sz w:val="24"/>
          <w:szCs w:val="24"/>
          <w:lang w:eastAsia="en-US"/>
        </w:rPr>
        <w:outlineLvl w:val="0"/>
      </w:pPr>
      <w:r>
        <w:rPr>
          <w:rFonts w:eastAsia="Calibri"/>
          <w:b/>
          <w:sz w:val="24"/>
          <w:szCs w:val="24"/>
          <w:lang w:eastAsia="en-US"/>
        </w:rPr>
        <w:t xml:space="preserve">Таблица 1. График выплаты Капитального гранта</w:t>
      </w:r>
      <w:r>
        <w:rPr>
          <w:rFonts w:eastAsia="Calibri"/>
          <w:b/>
          <w:sz w:val="24"/>
          <w:szCs w:val="24"/>
          <w:lang w:eastAsia="en-US"/>
        </w:rPr>
      </w:r>
      <w:r>
        <w:rPr>
          <w:rFonts w:eastAsia="Calibri"/>
          <w:b/>
          <w:sz w:val="24"/>
          <w:szCs w:val="24"/>
          <w:lang w:eastAsia="en-US"/>
        </w:rPr>
      </w:r>
    </w:p>
    <w:tbl>
      <w:tblPr>
        <w:tblStyle w:val="982"/>
        <w:tblpPr w:horzAnchor="margin" w:tblpXSpec="center" w:vertAnchor="text" w:tblpY="154" w:leftFromText="180" w:topFromText="0" w:rightFromText="180" w:bottomFromText="0"/>
        <w:tblW w:w="0" w:type="auto"/>
        <w:tblLook w:val="04A0" w:firstRow="1" w:lastRow="0" w:firstColumn="1" w:lastColumn="0" w:noHBand="0" w:noVBand="1"/>
      </w:tblPr>
      <w:tblGrid>
        <w:gridCol w:w="6298"/>
        <w:gridCol w:w="3272"/>
      </w:tblGrid>
      <w:tr>
        <w:tblPrEx/>
        <w:trPr/>
        <w:tc>
          <w:tcPr>
            <w:tcW w:w="6579" w:type="dxa"/>
            <w:textDirection w:val="lrTb"/>
            <w:noWrap w:val="false"/>
          </w:tcPr>
          <w:p>
            <w:pPr>
              <w:contextualSpacing/>
              <w:ind w:left="567"/>
              <w:spacing w:after="80"/>
              <w:rPr>
                <w:rFonts w:ascii="Times New Roman" w:hAnsi="Times New Roman" w:eastAsia="Times New Roman"/>
                <w:b/>
                <w:bCs/>
                <w:sz w:val="24"/>
                <w:szCs w:val="24"/>
              </w:rPr>
            </w:pPr>
            <w:r/>
            <w:bookmarkStart w:id="138" w:name="_Hlk148017868"/>
            <w:r>
              <w:rPr>
                <w:rFonts w:ascii="Times New Roman" w:hAnsi="Times New Roman" w:eastAsia="Times New Roman"/>
                <w:b/>
                <w:bCs/>
                <w:sz w:val="24"/>
                <w:szCs w:val="24"/>
              </w:rPr>
              <w:t xml:space="preserve">Срок выплаты</w:t>
            </w:r>
            <w:r>
              <w:rPr>
                <w:rFonts w:ascii="Times New Roman" w:hAnsi="Times New Roman" w:eastAsia="Times New Roman"/>
                <w:b/>
                <w:bCs/>
                <w:sz w:val="24"/>
                <w:szCs w:val="24"/>
              </w:rPr>
            </w:r>
            <w:r>
              <w:rPr>
                <w:rFonts w:ascii="Times New Roman" w:hAnsi="Times New Roman" w:eastAsia="Times New Roman"/>
                <w:b/>
                <w:bCs/>
                <w:sz w:val="24"/>
                <w:szCs w:val="24"/>
              </w:rPr>
            </w:r>
          </w:p>
        </w:tc>
        <w:tc>
          <w:tcPr>
            <w:tcW w:w="3332" w:type="dxa"/>
            <w:textDirection w:val="lrTb"/>
            <w:noWrap w:val="false"/>
          </w:tcPr>
          <w:p>
            <w:pPr>
              <w:contextualSpacing/>
              <w:ind w:left="574"/>
              <w:spacing w:after="80"/>
              <w:rPr>
                <w:rFonts w:ascii="Times New Roman" w:hAnsi="Times New Roman" w:eastAsia="Times New Roman"/>
                <w:b/>
                <w:bCs/>
                <w:sz w:val="24"/>
                <w:szCs w:val="24"/>
                <w:lang w:val="ru-RU"/>
              </w:rPr>
            </w:pPr>
            <w:r>
              <w:rPr>
                <w:rFonts w:ascii="Times New Roman" w:hAnsi="Times New Roman" w:eastAsia="Times New Roman"/>
                <w:b/>
                <w:bCs/>
                <w:sz w:val="24"/>
                <w:szCs w:val="24"/>
                <w:lang w:val="ru-RU"/>
              </w:rPr>
              <w:t xml:space="preserve">Размер Капитального гранта, тыс. руб.</w:t>
            </w:r>
            <w:r>
              <w:rPr>
                <w:rFonts w:ascii="Times New Roman" w:hAnsi="Times New Roman" w:eastAsia="Times New Roman"/>
                <w:b/>
                <w:bCs/>
                <w:sz w:val="24"/>
                <w:szCs w:val="24"/>
                <w:lang w:val="ru-RU"/>
              </w:rPr>
            </w:r>
            <w:r>
              <w:rPr>
                <w:rFonts w:ascii="Times New Roman" w:hAnsi="Times New Roman" w:eastAsia="Times New Roman"/>
                <w:b/>
                <w:bCs/>
                <w:sz w:val="24"/>
                <w:szCs w:val="24"/>
                <w:lang w:val="ru-RU"/>
              </w:rPr>
            </w:r>
          </w:p>
        </w:tc>
      </w:tr>
      <w:tr>
        <w:tblPrEx/>
        <w:trPr/>
        <w:tc>
          <w:tcPr>
            <w:gridSpan w:val="2"/>
            <w:tcW w:w="9911" w:type="dxa"/>
            <w:textDirection w:val="lrTb"/>
            <w:noWrap w:val="false"/>
          </w:tcPr>
          <w:p>
            <w:pPr>
              <w:contextualSpacing/>
              <w:ind w:left="142"/>
              <w:spacing w:after="80"/>
              <w:rPr>
                <w:rFonts w:ascii="Times New Roman" w:hAnsi="Times New Roman" w:eastAsia="Times New Roman"/>
                <w:b/>
                <w:bCs/>
                <w:sz w:val="24"/>
                <w:szCs w:val="24"/>
              </w:rPr>
            </w:pPr>
            <w:r>
              <w:rPr>
                <w:rFonts w:ascii="Times New Roman" w:hAnsi="Times New Roman" w:eastAsia="Times New Roman"/>
                <w:b/>
                <w:bCs/>
                <w:sz w:val="24"/>
                <w:szCs w:val="24"/>
              </w:rPr>
              <w:t xml:space="preserve">2024 год</w:t>
            </w:r>
            <w:r>
              <w:rPr>
                <w:rFonts w:ascii="Times New Roman" w:hAnsi="Times New Roman" w:eastAsia="Times New Roman"/>
                <w:b/>
                <w:bCs/>
                <w:sz w:val="24"/>
                <w:szCs w:val="24"/>
              </w:rPr>
            </w:r>
            <w:r>
              <w:rPr>
                <w:rFonts w:ascii="Times New Roman" w:hAnsi="Times New Roman" w:eastAsia="Times New Roman"/>
                <w:b/>
                <w:bCs/>
                <w:sz w:val="24"/>
                <w:szCs w:val="24"/>
              </w:rPr>
            </w:r>
          </w:p>
        </w:tc>
      </w:tr>
      <w:tr>
        <w:tblPrEx/>
        <w:trPr/>
        <w:tc>
          <w:tcPr>
            <w:tcW w:w="6579" w:type="dxa"/>
            <w:textDirection w:val="lrTb"/>
            <w:noWrap w:val="false"/>
          </w:tcPr>
          <w:p>
            <w:pPr>
              <w:spacing w:after="80"/>
              <w:rPr>
                <w:rFonts w:ascii="Times New Roman" w:hAnsi="Times New Roman"/>
                <w:sz w:val="24"/>
                <w:szCs w:val="24"/>
                <w:lang w:val="ru-RU"/>
              </w:rPr>
            </w:pPr>
            <w:r>
              <w:rPr>
                <w:rFonts w:ascii="Times New Roman" w:hAnsi="Times New Roman" w:eastAsia="Times New Roman"/>
                <w:sz w:val="24"/>
                <w:szCs w:val="24"/>
                <w:lang w:val="ru-RU"/>
              </w:rPr>
              <w:t xml:space="preserve">В течении 10 рабочих дней с даты предоставления Концессионером  заявки на перечисление Капитального гранта но не позднее 90 календарных дней с даты подписания концессионного соглашения.</w:t>
            </w:r>
            <w:r>
              <w:rPr>
                <w:rFonts w:ascii="Times New Roman" w:hAnsi="Times New Roman"/>
                <w:sz w:val="24"/>
                <w:szCs w:val="24"/>
                <w:lang w:val="ru-RU"/>
              </w:rPr>
            </w:r>
            <w:r>
              <w:rPr>
                <w:rFonts w:ascii="Times New Roman" w:hAnsi="Times New Roman"/>
                <w:sz w:val="24"/>
                <w:szCs w:val="24"/>
                <w:lang w:val="ru-RU"/>
              </w:rPr>
            </w:r>
          </w:p>
        </w:tc>
        <w:tc>
          <w:tcPr>
            <w:tcW w:w="3332" w:type="dxa"/>
            <w:textDirection w:val="lrTb"/>
            <w:noWrap w:val="false"/>
          </w:tcPr>
          <w:p>
            <w:pPr>
              <w:ind w:hanging="1269"/>
              <w:rPr>
                <w:rFonts w:ascii="Times New Roman" w:hAnsi="Times New Roman"/>
                <w:sz w:val="24"/>
                <w:szCs w:val="24"/>
              </w:rPr>
            </w:pPr>
            <w:r>
              <w:rPr>
                <w:rFonts w:ascii="Times New Roman" w:hAnsi="Times New Roman" w:eastAsia="Times New Roman"/>
                <w:sz w:val="24"/>
                <w:szCs w:val="24"/>
              </w:rPr>
              <w:t xml:space="preserve">123 787,50</w:t>
            </w:r>
            <w:r>
              <w:rPr>
                <w:rFonts w:ascii="Times New Roman" w:hAnsi="Times New Roman"/>
                <w:sz w:val="24"/>
                <w:szCs w:val="24"/>
              </w:rPr>
            </w:r>
            <w:r>
              <w:rPr>
                <w:rFonts w:ascii="Times New Roman" w:hAnsi="Times New Roman"/>
                <w:sz w:val="24"/>
                <w:szCs w:val="24"/>
              </w:rPr>
            </w:r>
          </w:p>
          <w:p>
            <w:pPr>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tc>
      </w:tr>
      <w:tr>
        <w:tblPrEx/>
        <w:trPr/>
        <w:tc>
          <w:tcPr>
            <w:gridSpan w:val="2"/>
            <w:tcW w:w="9911" w:type="dxa"/>
            <w:textDirection w:val="lrTb"/>
            <w:noWrap w:val="false"/>
          </w:tcPr>
          <w:p>
            <w:pPr>
              <w:contextualSpacing/>
              <w:ind w:left="142"/>
              <w:spacing w:after="80"/>
              <w:rPr>
                <w:rFonts w:ascii="Times New Roman" w:hAnsi="Times New Roman" w:eastAsia="Times New Roman"/>
                <w:b/>
                <w:sz w:val="24"/>
                <w:szCs w:val="24"/>
              </w:rPr>
            </w:pPr>
            <w:r>
              <w:rPr>
                <w:rFonts w:ascii="Times New Roman" w:hAnsi="Times New Roman" w:eastAsia="Times New Roman"/>
                <w:b/>
                <w:sz w:val="24"/>
                <w:szCs w:val="24"/>
              </w:rPr>
              <w:t xml:space="preserve">2025 год</w:t>
            </w:r>
            <w:r>
              <w:rPr>
                <w:rFonts w:ascii="Times New Roman" w:hAnsi="Times New Roman" w:eastAsia="Times New Roman"/>
                <w:b/>
                <w:sz w:val="24"/>
                <w:szCs w:val="24"/>
              </w:rPr>
            </w:r>
            <w:r>
              <w:rPr>
                <w:rFonts w:ascii="Times New Roman" w:hAnsi="Times New Roman" w:eastAsia="Times New Roman"/>
                <w:b/>
                <w:sz w:val="24"/>
                <w:szCs w:val="24"/>
              </w:rPr>
            </w:r>
          </w:p>
        </w:tc>
      </w:tr>
      <w:tr>
        <w:tblPrEx/>
        <w:trPr/>
        <w:tc>
          <w:tcPr>
            <w:tcW w:w="6579" w:type="dxa"/>
            <w:textDirection w:val="lrTb"/>
            <w:noWrap w:val="false"/>
          </w:tcPr>
          <w:p>
            <w:pPr>
              <w:spacing w:after="80"/>
              <w:rPr>
                <w:rFonts w:ascii="Times New Roman" w:hAnsi="Times New Roman" w:eastAsia="Times New Roman"/>
                <w:sz w:val="24"/>
                <w:szCs w:val="24"/>
              </w:rPr>
            </w:pPr>
            <w:r>
              <w:rPr>
                <w:rFonts w:ascii="Times New Roman" w:hAnsi="Times New Roman" w:eastAsia="Times New Roman"/>
                <w:sz w:val="24"/>
                <w:szCs w:val="24"/>
              </w:rPr>
              <w:t xml:space="preserve">Первый квартал 2025 г.</w:t>
            </w:r>
            <w:r>
              <w:rPr>
                <w:rFonts w:ascii="Times New Roman" w:hAnsi="Times New Roman" w:eastAsia="Times New Roman"/>
                <w:sz w:val="24"/>
                <w:szCs w:val="24"/>
              </w:rPr>
            </w:r>
            <w:r>
              <w:rPr>
                <w:rFonts w:ascii="Times New Roman" w:hAnsi="Times New Roman" w:eastAsia="Times New Roman"/>
                <w:sz w:val="24"/>
                <w:szCs w:val="24"/>
              </w:rPr>
            </w:r>
          </w:p>
        </w:tc>
        <w:tc>
          <w:tcPr>
            <w:tcW w:w="3332" w:type="dxa"/>
            <w:textDirection w:val="lrTb"/>
            <w:noWrap w:val="false"/>
          </w:tcPr>
          <w:p>
            <w:pPr>
              <w:ind w:left="142"/>
              <w:spacing w:after="80"/>
              <w:rPr>
                <w:rFonts w:ascii="Times New Roman" w:hAnsi="Times New Roman" w:eastAsia="Times New Roman"/>
                <w:sz w:val="24"/>
                <w:szCs w:val="24"/>
              </w:rPr>
            </w:pPr>
            <w:r>
              <w:rPr>
                <w:rFonts w:ascii="Times New Roman" w:hAnsi="Times New Roman" w:eastAsia="Times New Roman"/>
                <w:sz w:val="24"/>
                <w:szCs w:val="24"/>
              </w:rPr>
              <w:t xml:space="preserve">104 288,86</w:t>
            </w:r>
            <w:r>
              <w:rPr>
                <w:rFonts w:ascii="Times New Roman" w:hAnsi="Times New Roman" w:eastAsia="Times New Roman"/>
                <w:sz w:val="24"/>
                <w:szCs w:val="24"/>
              </w:rPr>
            </w:r>
            <w:r>
              <w:rPr>
                <w:rFonts w:ascii="Times New Roman" w:hAnsi="Times New Roman" w:eastAsia="Times New Roman"/>
                <w:sz w:val="24"/>
                <w:szCs w:val="24"/>
              </w:rPr>
            </w:r>
          </w:p>
        </w:tc>
      </w:tr>
      <w:tr>
        <w:tblPrEx/>
        <w:trPr/>
        <w:tc>
          <w:tcPr>
            <w:tcW w:w="6579" w:type="dxa"/>
            <w:textDirection w:val="lrTb"/>
            <w:noWrap w:val="false"/>
          </w:tcPr>
          <w:p>
            <w:pPr>
              <w:spacing w:after="80"/>
              <w:rPr>
                <w:rFonts w:ascii="Times New Roman" w:hAnsi="Times New Roman" w:eastAsia="Times New Roman"/>
                <w:sz w:val="24"/>
                <w:szCs w:val="24"/>
              </w:rPr>
            </w:pPr>
            <w:r>
              <w:rPr>
                <w:rFonts w:ascii="Times New Roman" w:hAnsi="Times New Roman" w:eastAsia="Times New Roman"/>
                <w:sz w:val="24"/>
                <w:szCs w:val="24"/>
              </w:rPr>
              <w:t xml:space="preserve">Второй квартал 2025 г.</w:t>
            </w:r>
            <w:r>
              <w:rPr>
                <w:rFonts w:ascii="Times New Roman" w:hAnsi="Times New Roman" w:eastAsia="Times New Roman"/>
                <w:sz w:val="24"/>
                <w:szCs w:val="24"/>
              </w:rPr>
            </w:r>
            <w:r>
              <w:rPr>
                <w:rFonts w:ascii="Times New Roman" w:hAnsi="Times New Roman" w:eastAsia="Times New Roman"/>
                <w:sz w:val="24"/>
                <w:szCs w:val="24"/>
              </w:rPr>
            </w:r>
          </w:p>
        </w:tc>
        <w:tc>
          <w:tcPr>
            <w:tcW w:w="3332" w:type="dxa"/>
            <w:textDirection w:val="lrTb"/>
            <w:noWrap w:val="false"/>
          </w:tcPr>
          <w:p>
            <w:pPr>
              <w:ind w:left="142"/>
              <w:spacing w:after="80"/>
              <w:rPr>
                <w:rFonts w:ascii="Times New Roman" w:hAnsi="Times New Roman" w:eastAsia="Times New Roman"/>
                <w:sz w:val="24"/>
                <w:szCs w:val="24"/>
              </w:rPr>
            </w:pPr>
            <w:r>
              <w:rPr>
                <w:rFonts w:ascii="Times New Roman" w:hAnsi="Times New Roman" w:eastAsia="Times New Roman"/>
                <w:sz w:val="24"/>
                <w:szCs w:val="24"/>
              </w:rPr>
              <w:t xml:space="preserve">32 645,8</w:t>
            </w:r>
            <w:r>
              <w:rPr>
                <w:rFonts w:ascii="Times New Roman" w:hAnsi="Times New Roman" w:eastAsia="Times New Roman"/>
                <w:sz w:val="24"/>
                <w:szCs w:val="24"/>
              </w:rPr>
            </w:r>
            <w:r>
              <w:rPr>
                <w:rFonts w:ascii="Times New Roman" w:hAnsi="Times New Roman" w:eastAsia="Times New Roman"/>
                <w:sz w:val="24"/>
                <w:szCs w:val="24"/>
              </w:rPr>
            </w:r>
          </w:p>
        </w:tc>
      </w:tr>
      <w:tr>
        <w:tblPrEx/>
        <w:trPr/>
        <w:tc>
          <w:tcPr>
            <w:tcW w:w="6579" w:type="dxa"/>
            <w:textDirection w:val="lrTb"/>
            <w:noWrap w:val="false"/>
          </w:tcPr>
          <w:p>
            <w:pPr>
              <w:contextualSpacing/>
              <w:spacing w:after="80"/>
              <w:rPr>
                <w:rFonts w:ascii="Times New Roman" w:hAnsi="Times New Roman" w:eastAsia="Times New Roman"/>
                <w:b/>
                <w:sz w:val="24"/>
                <w:szCs w:val="24"/>
              </w:rPr>
            </w:pPr>
            <w:r>
              <w:rPr>
                <w:rFonts w:ascii="Times New Roman" w:hAnsi="Times New Roman" w:eastAsia="Times New Roman"/>
                <w:b/>
                <w:sz w:val="24"/>
                <w:szCs w:val="24"/>
              </w:rPr>
              <w:t xml:space="preserve">ВСЕГО:</w:t>
            </w:r>
            <w:r>
              <w:rPr>
                <w:rFonts w:ascii="Times New Roman" w:hAnsi="Times New Roman" w:eastAsia="Times New Roman"/>
                <w:b/>
                <w:sz w:val="24"/>
                <w:szCs w:val="24"/>
              </w:rPr>
            </w:r>
            <w:r>
              <w:rPr>
                <w:rFonts w:ascii="Times New Roman" w:hAnsi="Times New Roman" w:eastAsia="Times New Roman"/>
                <w:b/>
                <w:sz w:val="24"/>
                <w:szCs w:val="24"/>
              </w:rPr>
            </w:r>
          </w:p>
        </w:tc>
        <w:tc>
          <w:tcPr>
            <w:tcW w:w="3332" w:type="dxa"/>
            <w:textDirection w:val="lrTb"/>
            <w:noWrap w:val="false"/>
          </w:tcPr>
          <w:p>
            <w:pPr>
              <w:contextualSpacing/>
              <w:ind w:hanging="625"/>
              <w:spacing w:after="80"/>
              <w:rPr>
                <w:rFonts w:ascii="Times New Roman" w:hAnsi="Times New Roman" w:eastAsia="Times New Roman"/>
                <w:b/>
                <w:sz w:val="24"/>
                <w:szCs w:val="24"/>
              </w:rPr>
            </w:pPr>
            <w:r>
              <w:rPr>
                <w:rFonts w:ascii="Times New Roman" w:hAnsi="Times New Roman" w:eastAsia="Times New Roman"/>
                <w:b/>
                <w:sz w:val="24"/>
                <w:szCs w:val="24"/>
              </w:rPr>
              <w:t xml:space="preserve">260 722,16</w:t>
            </w:r>
            <w:bookmarkEnd w:id="138"/>
            <w:r>
              <w:rPr>
                <w:rFonts w:ascii="Times New Roman" w:hAnsi="Times New Roman" w:eastAsia="Times New Roman"/>
                <w:b/>
                <w:sz w:val="24"/>
                <w:szCs w:val="24"/>
              </w:rPr>
            </w:r>
            <w:r>
              <w:rPr>
                <w:rFonts w:ascii="Times New Roman" w:hAnsi="Times New Roman" w:eastAsia="Times New Roman"/>
                <w:b/>
                <w:sz w:val="24"/>
                <w:szCs w:val="24"/>
              </w:rPr>
            </w:r>
          </w:p>
        </w:tc>
      </w:tr>
    </w:tbl>
    <w:p>
      <w:pPr>
        <w:contextualSpacing/>
        <w:jc w:val="both"/>
        <w:spacing w:after="80"/>
        <w:rPr>
          <w:rFonts w:eastAsia="Calibri"/>
          <w:b/>
          <w:sz w:val="24"/>
          <w:szCs w:val="24"/>
          <w:lang w:eastAsia="en-US"/>
        </w:rPr>
        <w:outlineLvl w:val="0"/>
      </w:pPr>
      <w:r>
        <w:rPr>
          <w:rFonts w:eastAsia="Calibri"/>
          <w:b/>
          <w:sz w:val="24"/>
          <w:szCs w:val="24"/>
          <w:lang w:eastAsia="en-US"/>
        </w:rPr>
      </w:r>
      <w:r>
        <w:rPr>
          <w:rFonts w:eastAsia="Calibri"/>
          <w:b/>
          <w:sz w:val="24"/>
          <w:szCs w:val="24"/>
          <w:lang w:eastAsia="en-US"/>
        </w:rPr>
      </w:r>
      <w:r>
        <w:rPr>
          <w:rFonts w:eastAsia="Calibri"/>
          <w:b/>
          <w:sz w:val="24"/>
          <w:szCs w:val="24"/>
          <w:lang w:eastAsia="en-US"/>
        </w:rPr>
      </w:r>
    </w:p>
    <w:p>
      <w:pPr>
        <w:contextualSpacing/>
        <w:jc w:val="both"/>
        <w:spacing w:after="80"/>
        <w:rPr>
          <w:sz w:val="24"/>
          <w:szCs w:val="24"/>
        </w:rPr>
      </w:pPr>
      <w:r>
        <w:rPr>
          <w:sz w:val="24"/>
          <w:szCs w:val="24"/>
        </w:rPr>
      </w:r>
      <w:r>
        <w:rPr>
          <w:sz w:val="24"/>
          <w:szCs w:val="24"/>
        </w:rPr>
      </w:r>
      <w:r>
        <w:rPr>
          <w:sz w:val="24"/>
          <w:szCs w:val="24"/>
        </w:rPr>
      </w:r>
    </w:p>
    <w:p>
      <w:pPr>
        <w:jc w:val="both"/>
        <w:spacing w:after="80"/>
        <w:tabs>
          <w:tab w:val="left" w:pos="709" w:leader="none"/>
          <w:tab w:val="left" w:pos="993" w:leader="none"/>
        </w:tabs>
        <w:rPr>
          <w:rFonts w:eastAsia="Arial Unicode MS"/>
          <w:sz w:val="24"/>
          <w:szCs w:val="24"/>
        </w:rPr>
      </w:pPr>
      <w:r/>
      <w:bookmarkStart w:id="139" w:name="_Hlk148018001"/>
      <w:r>
        <w:rPr>
          <w:rFonts w:eastAsia="Arial Unicode MS"/>
          <w:sz w:val="24"/>
          <w:szCs w:val="24"/>
        </w:rPr>
        <w:tab/>
        <w:t xml:space="preserve">2. Предоставляемый Концессионеру Капитальный грант имеет целевое назначение – расходы по договорам, заключенным Концессионером в целях реконструкции Объекта соглашения, включая предоставление авансовых платежей: </w:t>
      </w:r>
      <w:r>
        <w:rPr>
          <w:rFonts w:eastAsia="Arial Unicode MS"/>
          <w:sz w:val="24"/>
          <w:szCs w:val="24"/>
        </w:rPr>
      </w:r>
      <w:r>
        <w:rPr>
          <w:rFonts w:eastAsia="Arial Unicode MS"/>
          <w:sz w:val="24"/>
          <w:szCs w:val="24"/>
        </w:rPr>
      </w:r>
    </w:p>
    <w:p>
      <w:pPr>
        <w:ind w:left="851"/>
        <w:jc w:val="both"/>
        <w:spacing w:after="80"/>
        <w:tabs>
          <w:tab w:val="left" w:pos="709" w:leader="none"/>
          <w:tab w:val="left" w:pos="993" w:leader="none"/>
        </w:tabs>
        <w:rPr>
          <w:rFonts w:eastAsia="Arial Unicode MS"/>
          <w:sz w:val="24"/>
          <w:szCs w:val="24"/>
        </w:rPr>
      </w:pPr>
      <w:r>
        <w:rPr>
          <w:rFonts w:eastAsia="Arial Unicode MS"/>
          <w:sz w:val="24"/>
          <w:szCs w:val="24"/>
        </w:rPr>
        <w:t xml:space="preserve">1)</w:t>
      </w:r>
      <w:r>
        <w:rPr>
          <w:rFonts w:eastAsia="Arial Unicode MS"/>
          <w:sz w:val="24"/>
          <w:szCs w:val="24"/>
        </w:rPr>
        <w:tab/>
        <w:t xml:space="preserve">расходы на разработку Проектно</w:t>
      </w:r>
      <w:r>
        <w:rPr>
          <w:rFonts w:eastAsia="Arial Unicode MS"/>
          <w:sz w:val="24"/>
          <w:szCs w:val="24"/>
        </w:rPr>
        <w:t xml:space="preserve">й документации, в том числе по договору, заключенному в целях корректировки Проектной документации (включая предоставление аванса проектировщику), а также на получение положительного заключения государственной экспертизы в отношении Проектной документации;</w:t>
      </w:r>
      <w:r>
        <w:rPr>
          <w:rFonts w:eastAsia="Arial Unicode MS"/>
          <w:sz w:val="24"/>
          <w:szCs w:val="24"/>
        </w:rPr>
      </w:r>
      <w:r>
        <w:rPr>
          <w:rFonts w:eastAsia="Arial Unicode MS"/>
          <w:sz w:val="24"/>
          <w:szCs w:val="24"/>
        </w:rPr>
      </w:r>
    </w:p>
    <w:p>
      <w:pPr>
        <w:ind w:left="851"/>
        <w:jc w:val="both"/>
        <w:spacing w:after="80"/>
        <w:tabs>
          <w:tab w:val="left" w:pos="709" w:leader="none"/>
          <w:tab w:val="left" w:pos="993" w:leader="none"/>
        </w:tabs>
        <w:rPr>
          <w:rFonts w:eastAsia="Arial Unicode MS"/>
          <w:sz w:val="24"/>
          <w:szCs w:val="24"/>
        </w:rPr>
      </w:pPr>
      <w:r>
        <w:rPr>
          <w:rFonts w:eastAsia="Arial Unicode MS"/>
          <w:sz w:val="24"/>
          <w:szCs w:val="24"/>
        </w:rPr>
        <w:t xml:space="preserve">2)</w:t>
      </w:r>
      <w:r>
        <w:rPr>
          <w:rFonts w:eastAsia="Arial Unicode MS"/>
          <w:sz w:val="24"/>
          <w:szCs w:val="24"/>
        </w:rPr>
        <w:tab/>
        <w:t xml:space="preserve">расходы на разработку Рабочей Документации, в том числе по договору, заключенному в целях корректировки Рабочей Документации (включая предоставление аванса проектировщику);</w:t>
      </w:r>
      <w:r>
        <w:rPr>
          <w:rFonts w:eastAsia="Arial Unicode MS"/>
          <w:sz w:val="24"/>
          <w:szCs w:val="24"/>
        </w:rPr>
      </w:r>
      <w:r>
        <w:rPr>
          <w:rFonts w:eastAsia="Arial Unicode MS"/>
          <w:sz w:val="24"/>
          <w:szCs w:val="24"/>
        </w:rPr>
      </w:r>
    </w:p>
    <w:p>
      <w:pPr>
        <w:ind w:left="851"/>
        <w:jc w:val="both"/>
        <w:spacing w:after="80"/>
        <w:tabs>
          <w:tab w:val="left" w:pos="709" w:leader="none"/>
          <w:tab w:val="left" w:pos="993" w:leader="none"/>
        </w:tabs>
        <w:rPr>
          <w:rFonts w:eastAsia="Arial Unicode MS"/>
          <w:sz w:val="24"/>
          <w:szCs w:val="24"/>
        </w:rPr>
      </w:pPr>
      <w:r>
        <w:rPr>
          <w:rFonts w:eastAsia="Arial Unicode MS"/>
          <w:sz w:val="24"/>
          <w:szCs w:val="24"/>
        </w:rPr>
        <w:t xml:space="preserve">3)</w:t>
      </w:r>
      <w:r>
        <w:rPr>
          <w:rFonts w:eastAsia="Arial Unicode MS"/>
          <w:sz w:val="24"/>
          <w:szCs w:val="24"/>
        </w:rPr>
        <w:tab/>
        <w:t xml:space="preserve">расходы по договорам подряда (в том числе предоставление аванса подрядчикам), заключаемыми Концессионером в целях реконструкции Объекта соглашения;</w:t>
      </w:r>
      <w:r>
        <w:rPr>
          <w:rFonts w:eastAsia="Arial Unicode MS"/>
          <w:sz w:val="24"/>
          <w:szCs w:val="24"/>
        </w:rPr>
      </w:r>
      <w:r>
        <w:rPr>
          <w:rFonts w:eastAsia="Arial Unicode MS"/>
          <w:sz w:val="24"/>
          <w:szCs w:val="24"/>
        </w:rPr>
      </w:r>
    </w:p>
    <w:p>
      <w:pPr>
        <w:ind w:left="851"/>
        <w:jc w:val="both"/>
        <w:spacing w:after="80"/>
        <w:tabs>
          <w:tab w:val="left" w:pos="709" w:leader="none"/>
          <w:tab w:val="left" w:pos="993" w:leader="none"/>
        </w:tabs>
        <w:rPr>
          <w:rFonts w:eastAsia="Arial Unicode MS"/>
          <w:sz w:val="24"/>
          <w:szCs w:val="24"/>
        </w:rPr>
      </w:pPr>
      <w:r>
        <w:rPr>
          <w:rFonts w:eastAsia="Arial Unicode MS"/>
          <w:sz w:val="24"/>
          <w:szCs w:val="24"/>
        </w:rPr>
        <w:t xml:space="preserve">4)</w:t>
      </w:r>
      <w:r>
        <w:rPr>
          <w:rFonts w:eastAsia="Arial Unicode MS"/>
          <w:sz w:val="24"/>
          <w:szCs w:val="24"/>
        </w:rPr>
        <w:tab/>
        <w:t xml:space="preserve">на авансы и закупку оборудования и материалов, предусмотренные Проектной документацией;</w:t>
      </w:r>
      <w:r>
        <w:rPr>
          <w:rFonts w:eastAsia="Arial Unicode MS"/>
          <w:sz w:val="24"/>
          <w:szCs w:val="24"/>
        </w:rPr>
      </w:r>
      <w:r>
        <w:rPr>
          <w:rFonts w:eastAsia="Arial Unicode MS"/>
          <w:sz w:val="24"/>
          <w:szCs w:val="24"/>
        </w:rPr>
      </w:r>
    </w:p>
    <w:p>
      <w:pPr>
        <w:ind w:left="851"/>
        <w:jc w:val="both"/>
        <w:spacing w:after="80"/>
        <w:tabs>
          <w:tab w:val="left" w:pos="709" w:leader="none"/>
          <w:tab w:val="left" w:pos="993" w:leader="none"/>
        </w:tabs>
        <w:rPr>
          <w:rFonts w:eastAsia="Arial Unicode MS"/>
          <w:sz w:val="24"/>
          <w:szCs w:val="24"/>
        </w:rPr>
      </w:pPr>
      <w:r>
        <w:rPr>
          <w:rFonts w:eastAsia="Arial Unicode MS"/>
          <w:sz w:val="24"/>
          <w:szCs w:val="24"/>
        </w:rPr>
        <w:t xml:space="preserve">5)</w:t>
      </w:r>
      <w:r>
        <w:rPr>
          <w:rFonts w:eastAsia="Arial Unicode MS"/>
          <w:sz w:val="24"/>
          <w:szCs w:val="24"/>
        </w:rPr>
        <w:tab/>
        <w:t xml:space="preserve">иные расходы в связи с реконструкцией Объекта cоглашения, предусмотренные Проектной документацией. </w:t>
      </w:r>
      <w:r>
        <w:rPr>
          <w:rFonts w:eastAsia="Arial Unicode MS"/>
          <w:sz w:val="24"/>
          <w:szCs w:val="24"/>
        </w:rPr>
      </w:r>
      <w:r>
        <w:rPr>
          <w:rFonts w:eastAsia="Arial Unicode MS"/>
          <w:sz w:val="24"/>
          <w:szCs w:val="24"/>
        </w:rPr>
      </w:r>
    </w:p>
    <w:p>
      <w:pPr>
        <w:jc w:val="both"/>
        <w:spacing w:after="80"/>
        <w:tabs>
          <w:tab w:val="left" w:pos="709" w:leader="none"/>
          <w:tab w:val="left" w:pos="1134" w:leader="none"/>
        </w:tabs>
        <w:rPr>
          <w:rFonts w:eastAsia="Arial Unicode MS"/>
          <w:sz w:val="24"/>
          <w:szCs w:val="24"/>
        </w:rPr>
      </w:pPr>
      <w:r>
        <w:rPr>
          <w:rFonts w:eastAsia="Arial Unicode MS"/>
          <w:sz w:val="24"/>
          <w:szCs w:val="24"/>
        </w:rPr>
        <w:tab/>
        <w:t xml:space="preserve">3. Капитальный грант выплачивается в период реконструкции Объекта соглашения и до даты ввода в</w:t>
      </w:r>
      <w:r>
        <w:rPr>
          <w:rFonts w:eastAsia="Arial Unicode MS"/>
          <w:sz w:val="24"/>
          <w:szCs w:val="24"/>
        </w:rPr>
        <w:t xml:space="preserve"> Эксплуатацию путем перечисления средств Капитального гранта на основании заявки Концессионера и счета на оплату Капитального гранта, в размере и сроки, указанные в Таблице 1 настоящего Приложения, на лицевой счет Концессионера в Федеральном казначействе. </w:t>
      </w:r>
      <w:r>
        <w:rPr>
          <w:rFonts w:eastAsia="Arial Unicode MS"/>
          <w:sz w:val="24"/>
          <w:szCs w:val="24"/>
        </w:rPr>
      </w:r>
      <w:r>
        <w:rPr>
          <w:rFonts w:eastAsia="Arial Unicode MS"/>
          <w:sz w:val="24"/>
          <w:szCs w:val="24"/>
        </w:rPr>
      </w:r>
    </w:p>
    <w:p>
      <w:pPr>
        <w:jc w:val="both"/>
        <w:spacing w:after="80"/>
        <w:tabs>
          <w:tab w:val="left" w:pos="709" w:leader="none"/>
          <w:tab w:val="left" w:pos="1134" w:leader="none"/>
        </w:tabs>
        <w:rPr>
          <w:rFonts w:eastAsia="Arial Unicode MS"/>
          <w:sz w:val="24"/>
          <w:szCs w:val="24"/>
        </w:rPr>
      </w:pPr>
      <w:r>
        <w:rPr>
          <w:rFonts w:eastAsia="Arial Unicode MS"/>
          <w:sz w:val="24"/>
          <w:szCs w:val="24"/>
        </w:rPr>
        <w:tab/>
        <w:t xml:space="preserve">Орган, уполномоченный на выплату Капитального гранта: Администрация Печенгского муниципального округа Му</w:t>
      </w:r>
      <w:r>
        <w:rPr>
          <w:rFonts w:eastAsia="Arial Unicode MS"/>
          <w:sz w:val="24"/>
          <w:szCs w:val="24"/>
        </w:rPr>
        <w:t xml:space="preserve">рманской области (ИНН: 5105013648 КПП: 510501001; Казначейский счет: 03231643475150004900; Единый казначейский счет: 40102810745370000041 в Отделении Мурманск Банка России //УФК по Мурманской области, г. Мурманск, Лицевой счет 03493D50400, БИК: 014705901).</w:t>
      </w:r>
      <w:r>
        <w:rPr>
          <w:rFonts w:eastAsia="Arial Unicode MS"/>
          <w:sz w:val="24"/>
          <w:szCs w:val="24"/>
        </w:rPr>
      </w:r>
      <w:r>
        <w:rPr>
          <w:rFonts w:eastAsia="Arial Unicode MS"/>
          <w:sz w:val="24"/>
          <w:szCs w:val="24"/>
        </w:rPr>
      </w:r>
    </w:p>
    <w:p>
      <w:pPr>
        <w:jc w:val="both"/>
        <w:spacing w:after="80"/>
        <w:tabs>
          <w:tab w:val="left" w:pos="709" w:leader="none"/>
          <w:tab w:val="left" w:pos="1134" w:leader="none"/>
        </w:tabs>
        <w:rPr>
          <w:rFonts w:eastAsia="Arial Unicode MS"/>
          <w:sz w:val="24"/>
          <w:szCs w:val="24"/>
        </w:rPr>
      </w:pPr>
      <w:r>
        <w:rPr>
          <w:rFonts w:eastAsia="Arial Unicode MS"/>
          <w:sz w:val="24"/>
          <w:szCs w:val="24"/>
        </w:rPr>
        <w:tab/>
        <w:t xml:space="preserve">В заявке Концессионер должен указать планируемый к в</w:t>
      </w:r>
      <w:r>
        <w:rPr>
          <w:rFonts w:eastAsia="Arial Unicode MS"/>
          <w:sz w:val="24"/>
          <w:szCs w:val="24"/>
        </w:rPr>
        <w:t xml:space="preserve">ыполнению перечень работ по реконструкции Объекта соглашения, на выполнение которых испрашивается часть Капитального гранта. Концедент обязан в течение 5 (пяти) рабочих дней с даты заключения Концессионного соглашения направить Концессионеру форму заявки н</w:t>
      </w:r>
      <w:r>
        <w:rPr>
          <w:rFonts w:eastAsia="Arial Unicode MS"/>
          <w:sz w:val="24"/>
          <w:szCs w:val="24"/>
        </w:rPr>
        <w:t xml:space="preserve">а выплату Капитального гранта. Однако в случае, если Концедентом не будет выполнено данное обязательство, то Концессионер составляет форму заявку на получение Капитального гранта самостоятельно, и Концедент обязан по такой форме заявки осуществить выплату.</w:t>
      </w:r>
      <w:r>
        <w:rPr>
          <w:rFonts w:eastAsia="Arial Unicode MS"/>
          <w:sz w:val="24"/>
          <w:szCs w:val="24"/>
        </w:rPr>
      </w:r>
      <w:r>
        <w:rPr>
          <w:rFonts w:eastAsia="Arial Unicode MS"/>
          <w:sz w:val="24"/>
          <w:szCs w:val="24"/>
        </w:rPr>
      </w:r>
    </w:p>
    <w:p>
      <w:pPr>
        <w:jc w:val="both"/>
        <w:spacing w:after="80"/>
        <w:tabs>
          <w:tab w:val="left" w:pos="709" w:leader="none"/>
          <w:tab w:val="left" w:pos="1134" w:leader="none"/>
        </w:tabs>
        <w:rPr>
          <w:rFonts w:eastAsia="Arial Unicode MS"/>
          <w:sz w:val="24"/>
          <w:szCs w:val="24"/>
        </w:rPr>
      </w:pPr>
      <w:r>
        <w:rPr>
          <w:rFonts w:eastAsia="Arial Unicode MS"/>
          <w:sz w:val="24"/>
          <w:szCs w:val="24"/>
        </w:rPr>
        <w:tab/>
        <w:t xml:space="preserve">4. В случае, если в любом из кварталов Концессионер не обратился за получением Капитального гранта, или Капитальный грант не был выплачен, оставшаяся невыплаченной часть Капитального гранта выплачивается в последующие кварталы текущего года.</w:t>
      </w:r>
      <w:r>
        <w:rPr>
          <w:rFonts w:eastAsia="Arial Unicode MS"/>
          <w:sz w:val="24"/>
          <w:szCs w:val="24"/>
        </w:rPr>
      </w:r>
      <w:r>
        <w:rPr>
          <w:rFonts w:eastAsia="Arial Unicode MS"/>
          <w:sz w:val="24"/>
          <w:szCs w:val="24"/>
        </w:rPr>
      </w:r>
    </w:p>
    <w:p>
      <w:pPr>
        <w:jc w:val="both"/>
        <w:spacing w:after="80"/>
        <w:tabs>
          <w:tab w:val="left" w:pos="709" w:leader="none"/>
          <w:tab w:val="left" w:pos="993" w:leader="none"/>
        </w:tabs>
        <w:rPr>
          <w:rFonts w:eastAsia="Arial Unicode MS"/>
          <w:sz w:val="24"/>
          <w:szCs w:val="24"/>
        </w:rPr>
      </w:pPr>
      <w:r>
        <w:rPr>
          <w:rFonts w:eastAsia="Arial Unicode MS"/>
          <w:sz w:val="24"/>
          <w:szCs w:val="24"/>
        </w:rPr>
        <w:tab/>
        <w:t xml:space="preserve">5. Если размер Капитального гранта, фактически предоставленного Концессионеру в соответствующем кале</w:t>
      </w:r>
      <w:r>
        <w:rPr>
          <w:rFonts w:eastAsia="Arial Unicode MS"/>
          <w:sz w:val="24"/>
          <w:szCs w:val="24"/>
        </w:rPr>
        <w:t xml:space="preserve">ндарном году, составляет меньше размера, предусмотренного в Таблице 1 настоящего Приложения на такой календарный год, сумма разницы, образовавшейся в соответствующем календарном году, подлежит переносу на календарный год, следующий за таким отчетным годом </w:t>
      </w:r>
      <w:r>
        <w:rPr>
          <w:rFonts w:eastAsia="Arial Unicode MS"/>
          <w:sz w:val="24"/>
          <w:szCs w:val="24"/>
        </w:rPr>
        <w:t xml:space="preserve">в соответствии с правилами,</w:t>
      </w:r>
      <w:r>
        <w:rPr>
          <w:rFonts w:eastAsia="Arial Unicode MS"/>
          <w:sz w:val="24"/>
          <w:szCs w:val="24"/>
        </w:rPr>
        <w:t xml:space="preserve"> указанными п. 6. настоящего Приложения.</w:t>
      </w:r>
      <w:r>
        <w:rPr>
          <w:rFonts w:eastAsia="Arial Unicode MS"/>
          <w:sz w:val="24"/>
          <w:szCs w:val="24"/>
        </w:rPr>
      </w:r>
      <w:r>
        <w:rPr>
          <w:rFonts w:eastAsia="Arial Unicode MS"/>
          <w:sz w:val="24"/>
          <w:szCs w:val="24"/>
        </w:rPr>
      </w:r>
    </w:p>
    <w:p>
      <w:pPr>
        <w:jc w:val="both"/>
        <w:spacing w:after="80"/>
        <w:tabs>
          <w:tab w:val="left" w:pos="709" w:leader="none"/>
          <w:tab w:val="left" w:pos="993" w:leader="none"/>
        </w:tabs>
        <w:rPr>
          <w:rFonts w:eastAsia="Arial Unicode MS"/>
          <w:sz w:val="24"/>
          <w:szCs w:val="24"/>
        </w:rPr>
      </w:pPr>
      <w:r/>
      <w:bookmarkStart w:id="140" w:name="_Ref138933157"/>
      <w:r>
        <w:rPr>
          <w:rFonts w:eastAsia="Arial Unicode MS"/>
          <w:sz w:val="24"/>
          <w:szCs w:val="24"/>
        </w:rPr>
        <w:tab/>
        <w:t xml:space="preserve">6. Для принятия решения о предоставлении Капитального гранта Концессионер в срок не позднее чем за 5 (Пять) Рабочих Дней до окончания соответствующего календарного квартала или в течение 15 (Пятнадц</w:t>
      </w:r>
      <w:r>
        <w:rPr>
          <w:rFonts w:eastAsia="Arial Unicode MS"/>
          <w:sz w:val="24"/>
          <w:szCs w:val="24"/>
        </w:rPr>
        <w:t xml:space="preserve">ати) календарных дней от даты Заключения Концессионного соглашения или даты начала отчетного квартала (в случае направления заявки на выплату Капитального гранта путем авансирования) направляет Концеденту документы, указанные в п. 3. настоящего Приложения.</w:t>
      </w:r>
      <w:bookmarkEnd w:id="140"/>
      <w:r>
        <w:rPr>
          <w:rFonts w:eastAsia="Arial Unicode MS"/>
          <w:sz w:val="24"/>
          <w:szCs w:val="24"/>
        </w:rPr>
      </w:r>
      <w:r>
        <w:rPr>
          <w:rFonts w:eastAsia="Arial Unicode MS"/>
          <w:sz w:val="24"/>
          <w:szCs w:val="24"/>
        </w:rPr>
      </w:r>
    </w:p>
    <w:p>
      <w:pPr>
        <w:jc w:val="both"/>
        <w:spacing w:after="80"/>
        <w:tabs>
          <w:tab w:val="left" w:pos="709" w:leader="none"/>
          <w:tab w:val="left" w:pos="993" w:leader="none"/>
        </w:tabs>
        <w:rPr>
          <w:rFonts w:eastAsia="Arial Unicode MS"/>
          <w:sz w:val="24"/>
          <w:szCs w:val="24"/>
        </w:rPr>
      </w:pPr>
      <w:r>
        <w:rPr>
          <w:rFonts w:eastAsia="Arial Unicode MS"/>
          <w:sz w:val="24"/>
          <w:szCs w:val="24"/>
        </w:rPr>
        <w:tab/>
        <w:t xml:space="preserve">7. </w:t>
      </w:r>
      <w:bookmarkStart w:id="141" w:name="_Ref138933134"/>
      <w:r>
        <w:rPr>
          <w:rFonts w:eastAsia="Arial Unicode MS"/>
          <w:sz w:val="24"/>
          <w:szCs w:val="24"/>
        </w:rPr>
        <w:t xml:space="preserve">Концедент обязуется в течение 5 (Пяти) рабочих дней с момента получения от Концессионера документов на выплату Капитального гранта осуществить одно из следующих действий: согласовать заявку на в</w:t>
      </w:r>
      <w:r>
        <w:rPr>
          <w:rFonts w:eastAsia="Arial Unicode MS"/>
          <w:sz w:val="24"/>
          <w:szCs w:val="24"/>
        </w:rPr>
        <w:t xml:space="preserve">ыплату Капитального гранта путем направления Концессионеру соответствующего уведомления; или отказать в согласовании заявки на выплату Капитального гранта путем направления Концессионеру соответствующего уведомления с приложением мотивированных возражений.</w:t>
      </w:r>
      <w:bookmarkEnd w:id="141"/>
      <w:r>
        <w:rPr>
          <w:rFonts w:eastAsia="Arial Unicode MS"/>
          <w:sz w:val="24"/>
          <w:szCs w:val="24"/>
        </w:rPr>
      </w:r>
      <w:r>
        <w:rPr>
          <w:rFonts w:eastAsia="Arial Unicode MS"/>
          <w:sz w:val="24"/>
          <w:szCs w:val="24"/>
        </w:rPr>
      </w:r>
    </w:p>
    <w:p>
      <w:pPr>
        <w:jc w:val="both"/>
        <w:spacing w:after="80"/>
        <w:tabs>
          <w:tab w:val="left" w:pos="709" w:leader="none"/>
          <w:tab w:val="left" w:pos="993" w:leader="none"/>
        </w:tabs>
        <w:rPr>
          <w:rFonts w:eastAsia="Arial Unicode MS"/>
          <w:sz w:val="24"/>
          <w:szCs w:val="24"/>
        </w:rPr>
      </w:pPr>
      <w:r>
        <w:rPr>
          <w:rFonts w:eastAsia="Arial Unicode MS"/>
          <w:sz w:val="24"/>
          <w:szCs w:val="24"/>
        </w:rPr>
        <w:tab/>
        <w:t xml:space="preserve">8. В случае неполучения Концессионером от Концедента ни одного из уведомлений, установленных п. 7. настоящего Приложения, то </w:t>
      </w:r>
      <w:r>
        <w:rPr>
          <w:rFonts w:eastAsia="Arial Unicode MS"/>
          <w:sz w:val="24"/>
          <w:szCs w:val="24"/>
        </w:rPr>
        <w:t xml:space="preserve">заявка на выплату Капитального гранта Концессионера считается согласованной Концедентом по умолчанию в последний день истечения срока, установленного п. 6. настоящего Приложения, что влечет обязанность Концедента по исполнению п. 12. настоящего Приложения.</w:t>
      </w:r>
      <w:r>
        <w:rPr>
          <w:rFonts w:eastAsia="Arial Unicode MS"/>
          <w:sz w:val="24"/>
          <w:szCs w:val="24"/>
        </w:rPr>
      </w:r>
      <w:r>
        <w:rPr>
          <w:rFonts w:eastAsia="Arial Unicode MS"/>
          <w:sz w:val="24"/>
          <w:szCs w:val="24"/>
        </w:rPr>
      </w:r>
    </w:p>
    <w:p>
      <w:pPr>
        <w:jc w:val="both"/>
        <w:spacing w:after="80"/>
        <w:tabs>
          <w:tab w:val="left" w:pos="709" w:leader="none"/>
          <w:tab w:val="left" w:pos="993" w:leader="none"/>
        </w:tabs>
        <w:rPr>
          <w:rFonts w:eastAsia="Arial Unicode MS"/>
          <w:sz w:val="24"/>
          <w:szCs w:val="24"/>
        </w:rPr>
      </w:pPr>
      <w:r>
        <w:rPr>
          <w:rFonts w:eastAsia="Arial Unicode MS"/>
          <w:sz w:val="24"/>
          <w:szCs w:val="24"/>
        </w:rPr>
        <w:tab/>
        <w:t xml:space="preserve">9. Возражения Концедента в отношении заявки на выплату Капитального гранта считаются мотивированными исключительно при несоблюдении одного или всех условий предоставления Капитального гранта, установленных порядком предоставления </w:t>
      </w:r>
      <w:r>
        <w:rPr>
          <w:rFonts w:eastAsia="Arial Unicode MS"/>
          <w:sz w:val="24"/>
          <w:szCs w:val="24"/>
        </w:rPr>
        <w:t xml:space="preserve">Капитального гранта согласно настоящему Приложению. В ином случае возражения Концедента в отношении согласовании заявки на выплату Капитального Гранта являются немотивированными, что влечет обязанность Концедента по исполнению п. 12. настоящего Приложения.</w:t>
      </w:r>
      <w:r>
        <w:rPr>
          <w:rFonts w:eastAsia="Arial Unicode MS"/>
          <w:sz w:val="24"/>
          <w:szCs w:val="24"/>
        </w:rPr>
      </w:r>
      <w:r>
        <w:rPr>
          <w:rFonts w:eastAsia="Arial Unicode MS"/>
          <w:sz w:val="24"/>
          <w:szCs w:val="24"/>
        </w:rPr>
      </w:r>
    </w:p>
    <w:p>
      <w:pPr>
        <w:jc w:val="both"/>
        <w:spacing w:after="80"/>
        <w:tabs>
          <w:tab w:val="left" w:pos="709" w:leader="none"/>
          <w:tab w:val="left" w:pos="993" w:leader="none"/>
        </w:tabs>
        <w:rPr>
          <w:rFonts w:eastAsia="Arial Unicode MS"/>
          <w:sz w:val="24"/>
          <w:szCs w:val="24"/>
        </w:rPr>
      </w:pPr>
      <w:r>
        <w:rPr>
          <w:rFonts w:eastAsia="Arial Unicode MS"/>
          <w:sz w:val="24"/>
          <w:szCs w:val="24"/>
        </w:rPr>
        <w:tab/>
        <w:t xml:space="preserve">10. В случае получения Концессионером мотивированных возражений в отношении согласования заявки на выплату Капитального гранта Концессионер вправе </w:t>
      </w:r>
      <w:r>
        <w:rPr>
          <w:rFonts w:eastAsia="Arial Unicode MS"/>
          <w:sz w:val="24"/>
          <w:szCs w:val="24"/>
        </w:rPr>
        <w:t xml:space="preserve">устранить их и обратиться вновь за выплатой Капитального гранта в порядке, предусмотренном настоящим Приложением.</w:t>
      </w:r>
      <w:r>
        <w:rPr>
          <w:rFonts w:eastAsia="Arial Unicode MS"/>
          <w:sz w:val="24"/>
          <w:szCs w:val="24"/>
        </w:rPr>
      </w:r>
      <w:r>
        <w:rPr>
          <w:rFonts w:eastAsia="Arial Unicode MS"/>
          <w:sz w:val="24"/>
          <w:szCs w:val="24"/>
        </w:rPr>
      </w:r>
    </w:p>
    <w:p>
      <w:pPr>
        <w:jc w:val="both"/>
        <w:spacing w:after="80"/>
        <w:tabs>
          <w:tab w:val="left" w:pos="709" w:leader="none"/>
          <w:tab w:val="left" w:pos="993" w:leader="none"/>
        </w:tabs>
        <w:rPr>
          <w:rFonts w:eastAsia="Arial Unicode MS"/>
          <w:sz w:val="24"/>
          <w:szCs w:val="24"/>
        </w:rPr>
      </w:pPr>
      <w:r>
        <w:rPr>
          <w:rFonts w:eastAsia="Arial Unicode MS"/>
          <w:sz w:val="24"/>
          <w:szCs w:val="24"/>
        </w:rPr>
        <w:tab/>
        <w:t xml:space="preserve">11. При этом в случае н</w:t>
      </w:r>
      <w:r>
        <w:rPr>
          <w:rFonts w:eastAsia="Arial Unicode MS"/>
          <w:sz w:val="24"/>
          <w:szCs w:val="24"/>
        </w:rPr>
        <w:t xml:space="preserve">аличия между Сторонами разногласия о размере очередного платежа Капитального гранта, указанного в заявке на выплату Капитального гранта, Концедент осуществляет выплату не оспариваемой Концедентом суммы очередного платежа на счет Концессионера в срок, устан</w:t>
      </w:r>
      <w:r>
        <w:rPr>
          <w:rFonts w:eastAsia="Arial Unicode MS"/>
          <w:sz w:val="24"/>
          <w:szCs w:val="24"/>
        </w:rPr>
        <w:t xml:space="preserve">овленный п. 12. настоящего Приложения. В отношении оспариваемой Концедентом суммы платежа по Капитальному гранту в случае несогласия Концессионера считается, что между Сторонами возник Спор, подлежащий разрешению в соответствии с Концессионным соглашением.</w:t>
      </w:r>
      <w:r>
        <w:rPr>
          <w:rFonts w:eastAsia="Arial Unicode MS"/>
          <w:sz w:val="24"/>
          <w:szCs w:val="24"/>
        </w:rPr>
      </w:r>
      <w:r>
        <w:rPr>
          <w:rFonts w:eastAsia="Arial Unicode MS"/>
          <w:sz w:val="24"/>
          <w:szCs w:val="24"/>
        </w:rPr>
      </w:r>
    </w:p>
    <w:p>
      <w:pPr>
        <w:jc w:val="both"/>
        <w:spacing w:after="80"/>
        <w:tabs>
          <w:tab w:val="left" w:pos="709" w:leader="none"/>
          <w:tab w:val="left" w:pos="993" w:leader="none"/>
        </w:tabs>
        <w:rPr>
          <w:rFonts w:eastAsia="Arial Unicode MS"/>
          <w:sz w:val="24"/>
          <w:szCs w:val="24"/>
        </w:rPr>
      </w:pPr>
      <w:r>
        <w:rPr>
          <w:rFonts w:eastAsia="Arial Unicode MS"/>
          <w:sz w:val="24"/>
          <w:szCs w:val="24"/>
        </w:rPr>
        <w:tab/>
        <w:t xml:space="preserve">12. </w:t>
      </w:r>
      <w:bookmarkStart w:id="142" w:name="_Ref138933415"/>
      <w:r>
        <w:rPr>
          <w:rFonts w:eastAsia="Arial Unicode MS"/>
          <w:sz w:val="24"/>
          <w:szCs w:val="24"/>
        </w:rPr>
        <w:t xml:space="preserve">Концедент обязуется в течение 10 (десяти) календарных дней с момента согласования заявки на выплату Капитального гранта Концессионера осуществить выплату Капитального гранта путем перечисления денежных средств на счет Концессионера, указ</w:t>
      </w:r>
      <w:r>
        <w:rPr>
          <w:rFonts w:eastAsia="Arial Unicode MS"/>
          <w:sz w:val="24"/>
          <w:szCs w:val="24"/>
        </w:rPr>
        <w:t xml:space="preserve">анный Концессионером в заявке на выплату Капитального гранта. Концедент имеет право исполнить обязательства по выплате Капитального гранта (полностью или в части) досрочно. При этом общий размер подлежащего выплате Капитального гранта не подлежит снижению.</w:t>
      </w:r>
      <w:bookmarkEnd w:id="142"/>
      <w:r>
        <w:rPr>
          <w:rFonts w:eastAsia="Arial Unicode MS"/>
          <w:sz w:val="24"/>
          <w:szCs w:val="24"/>
        </w:rPr>
      </w:r>
      <w:r>
        <w:rPr>
          <w:rFonts w:eastAsia="Arial Unicode MS"/>
          <w:sz w:val="24"/>
          <w:szCs w:val="24"/>
        </w:rPr>
      </w:r>
    </w:p>
    <w:p>
      <w:pPr>
        <w:jc w:val="both"/>
        <w:spacing w:after="80"/>
        <w:tabs>
          <w:tab w:val="left" w:pos="709" w:leader="none"/>
          <w:tab w:val="left" w:pos="993" w:leader="none"/>
        </w:tabs>
        <w:rPr>
          <w:rFonts w:eastAsia="Arial Unicode MS"/>
          <w:sz w:val="24"/>
          <w:szCs w:val="24"/>
        </w:rPr>
      </w:pPr>
      <w:r>
        <w:rPr>
          <w:rFonts w:eastAsia="Arial Unicode MS"/>
          <w:sz w:val="24"/>
          <w:szCs w:val="24"/>
        </w:rPr>
        <w:tab/>
        <w:t xml:space="preserve">13. Для целей досрочного исполнения обязательства по выплате Капитального гранта Концедент направляет Концессионеру уведомление о намерении досрочно исполнить соответствующее обязательство с указанием даты досрочного исполнения.</w:t>
      </w:r>
      <w:r>
        <w:rPr>
          <w:rFonts w:eastAsia="Arial Unicode MS"/>
          <w:sz w:val="24"/>
          <w:szCs w:val="24"/>
        </w:rPr>
      </w:r>
      <w:r>
        <w:rPr>
          <w:rFonts w:eastAsia="Arial Unicode MS"/>
          <w:sz w:val="24"/>
          <w:szCs w:val="24"/>
        </w:rPr>
      </w:r>
    </w:p>
    <w:p>
      <w:pPr>
        <w:jc w:val="both"/>
        <w:spacing w:after="80"/>
        <w:tabs>
          <w:tab w:val="left" w:pos="709" w:leader="none"/>
          <w:tab w:val="left" w:pos="993" w:leader="none"/>
        </w:tabs>
        <w:rPr>
          <w:rFonts w:eastAsia="Arial Unicode MS"/>
          <w:sz w:val="24"/>
          <w:szCs w:val="24"/>
        </w:rPr>
      </w:pPr>
      <w:r>
        <w:rPr>
          <w:rFonts w:eastAsia="Arial Unicode MS"/>
          <w:sz w:val="24"/>
          <w:szCs w:val="24"/>
        </w:rPr>
        <w:tab/>
        <w:t xml:space="preserve">14. Контроль Концедента за расходованием Концессионером средств Капитального Гранта осуществляется в порядке, предусмотренном Концессионным соглашением. </w:t>
      </w:r>
      <w:r>
        <w:rPr>
          <w:rFonts w:eastAsia="Arial Unicode MS"/>
          <w:sz w:val="24"/>
          <w:szCs w:val="24"/>
        </w:rPr>
      </w:r>
      <w:r>
        <w:rPr>
          <w:rFonts w:eastAsia="Arial Unicode MS"/>
          <w:sz w:val="24"/>
          <w:szCs w:val="24"/>
        </w:rPr>
      </w:r>
    </w:p>
    <w:p>
      <w:pPr>
        <w:jc w:val="both"/>
        <w:spacing w:after="80"/>
        <w:tabs>
          <w:tab w:val="left" w:pos="709" w:leader="none"/>
          <w:tab w:val="left" w:pos="993" w:leader="none"/>
        </w:tabs>
        <w:rPr>
          <w:rFonts w:eastAsia="Arial Unicode MS"/>
          <w:sz w:val="24"/>
          <w:szCs w:val="24"/>
        </w:rPr>
      </w:pPr>
      <w:r>
        <w:rPr>
          <w:rFonts w:eastAsia="Arial Unicode MS"/>
          <w:sz w:val="24"/>
          <w:szCs w:val="24"/>
        </w:rPr>
      </w:r>
      <w:r>
        <w:rPr>
          <w:rFonts w:eastAsia="Arial Unicode MS"/>
          <w:sz w:val="24"/>
          <w:szCs w:val="24"/>
        </w:rPr>
      </w:r>
      <w:r>
        <w:rPr>
          <w:rFonts w:eastAsia="Arial Unicode MS"/>
          <w:sz w:val="24"/>
          <w:szCs w:val="24"/>
        </w:rPr>
      </w:r>
    </w:p>
    <w:p>
      <w:pPr>
        <w:jc w:val="both"/>
        <w:spacing w:after="80"/>
        <w:tabs>
          <w:tab w:val="left" w:pos="709" w:leader="none"/>
          <w:tab w:val="left" w:pos="993" w:leader="none"/>
        </w:tabs>
        <w:rPr>
          <w:rFonts w:eastAsia="Arial Unicode MS"/>
          <w:sz w:val="24"/>
          <w:szCs w:val="24"/>
        </w:rPr>
      </w:pPr>
      <w:r>
        <w:rPr>
          <w:rFonts w:eastAsia="Arial Unicode MS"/>
          <w:sz w:val="24"/>
          <w:szCs w:val="24"/>
        </w:rPr>
      </w:r>
      <w:r>
        <w:rPr>
          <w:rFonts w:eastAsia="Arial Unicode MS"/>
          <w:sz w:val="24"/>
          <w:szCs w:val="24"/>
        </w:rPr>
      </w:r>
      <w:r>
        <w:rPr>
          <w:rFonts w:eastAsia="Arial Unicode MS"/>
          <w:sz w:val="24"/>
          <w:szCs w:val="24"/>
        </w:rPr>
      </w:r>
    </w:p>
    <w:tbl>
      <w:tblPr>
        <w:tblStyle w:val="937"/>
        <w:tblW w:w="5000" w:type="pc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190"/>
        <w:gridCol w:w="3190"/>
        <w:gridCol w:w="3190"/>
      </w:tblGrid>
      <w:tr>
        <w:tblPrEx/>
        <w:trPr/>
        <w:tc>
          <w:tcPr>
            <w:tcW w:w="1667" w:type="pct"/>
            <w:textDirection w:val="lrTb"/>
            <w:noWrap w:val="false"/>
          </w:tcPr>
          <w:p>
            <w:pPr>
              <w:jc w:val="both"/>
              <w:rPr>
                <w:b/>
                <w:sz w:val="24"/>
                <w:szCs w:val="24"/>
              </w:rPr>
            </w:pPr>
            <w:r>
              <w:rPr>
                <w:b/>
                <w:sz w:val="24"/>
                <w:szCs w:val="24"/>
              </w:rPr>
            </w:r>
            <w:r>
              <w:rPr>
                <w:b/>
                <w:sz w:val="24"/>
                <w:szCs w:val="24"/>
              </w:rPr>
            </w:r>
            <w:r>
              <w:rPr>
                <w:b/>
                <w:sz w:val="24"/>
                <w:szCs w:val="24"/>
              </w:rPr>
            </w:r>
          </w:p>
          <w:p>
            <w:pPr>
              <w:jc w:val="both"/>
              <w:rPr>
                <w:b/>
                <w:sz w:val="24"/>
                <w:szCs w:val="24"/>
              </w:rPr>
            </w:pPr>
            <w:r>
              <w:rPr>
                <w:b/>
                <w:sz w:val="24"/>
                <w:szCs w:val="24"/>
              </w:rPr>
              <w:t xml:space="preserve">Концедент</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r>
            <w:r>
              <w:rPr>
                <w:b/>
                <w:sz w:val="24"/>
                <w:szCs w:val="24"/>
              </w:rPr>
            </w:r>
            <w:r>
              <w:rPr>
                <w:b/>
                <w:sz w:val="24"/>
                <w:szCs w:val="24"/>
              </w:rPr>
            </w:r>
          </w:p>
          <w:p>
            <w:pPr>
              <w:jc w:val="both"/>
              <w:rPr>
                <w:b/>
                <w:sz w:val="24"/>
                <w:szCs w:val="24"/>
              </w:rPr>
            </w:pPr>
            <w:r>
              <w:rPr>
                <w:b/>
                <w:sz w:val="24"/>
                <w:szCs w:val="24"/>
              </w:rPr>
              <w:t xml:space="preserve">Концессионер</w:t>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r>
            <w:r>
              <w:rPr>
                <w:b/>
                <w:sz w:val="24"/>
                <w:szCs w:val="24"/>
              </w:rPr>
            </w:r>
            <w:r>
              <w:rPr>
                <w:b/>
                <w:sz w:val="24"/>
                <w:szCs w:val="24"/>
              </w:rPr>
            </w:r>
          </w:p>
          <w:p>
            <w:pPr>
              <w:jc w:val="both"/>
              <w:rPr>
                <w:b/>
                <w:sz w:val="24"/>
                <w:szCs w:val="24"/>
              </w:rPr>
            </w:pPr>
            <w:r>
              <w:rPr>
                <w:b/>
                <w:sz w:val="24"/>
                <w:szCs w:val="24"/>
              </w:rPr>
              <w:t xml:space="preserve">Субъект</w:t>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t xml:space="preserve">Муниципальное образование Печенгский муниципальный округ Мурманской области</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Общество с ограниченной ответственностью «ПромВоенСтрой»</w:t>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t xml:space="preserve">Мурманская область</w:t>
            </w:r>
            <w:r>
              <w:rPr>
                <w:b/>
                <w:sz w:val="24"/>
                <w:szCs w:val="24"/>
              </w:rPr>
            </w:r>
            <w:r>
              <w:rPr>
                <w:b/>
                <w:sz w:val="24"/>
                <w:szCs w:val="24"/>
              </w:rPr>
            </w:r>
          </w:p>
          <w:p>
            <w:pPr>
              <w:jc w:val="both"/>
              <w:rPr>
                <w:b/>
                <w:sz w:val="24"/>
                <w:szCs w:val="24"/>
              </w:rPr>
            </w:pPr>
            <w:r>
              <w:rPr>
                <w:b/>
                <w:sz w:val="24"/>
                <w:szCs w:val="24"/>
              </w:rPr>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t xml:space="preserve">Глава округа</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Генеральный директор</w:t>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t xml:space="preserve">Губернатор</w:t>
            </w:r>
            <w:r>
              <w:rPr>
                <w:b/>
                <w:sz w:val="24"/>
                <w:szCs w:val="24"/>
              </w:rPr>
            </w:r>
            <w:r>
              <w:rPr>
                <w:b/>
                <w:sz w:val="24"/>
                <w:szCs w:val="24"/>
              </w:rPr>
            </w:r>
          </w:p>
        </w:tc>
      </w:tr>
      <w:tr>
        <w:tblPrEx/>
        <w:trPr>
          <w:trHeight w:val="567"/>
        </w:trPr>
        <w:tc>
          <w:tcPr>
            <w:tcW w:w="1667" w:type="pct"/>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c>
          <w:tcPr>
            <w:tcW w:w="1667" w:type="pct"/>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c>
          <w:tcPr>
            <w:tcW w:w="1666" w:type="pct"/>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r>
      <w:tr>
        <w:tblPrEx/>
        <w:trPr/>
        <w:tc>
          <w:tcPr>
            <w:tcW w:w="1667" w:type="pct"/>
            <w:textDirection w:val="lrTb"/>
            <w:noWrap w:val="false"/>
          </w:tcPr>
          <w:p>
            <w:pPr>
              <w:jc w:val="both"/>
              <w:rPr>
                <w:b/>
                <w:sz w:val="24"/>
                <w:szCs w:val="24"/>
              </w:rPr>
            </w:pPr>
            <w:r>
              <w:rPr>
                <w:sz w:val="24"/>
                <w:szCs w:val="24"/>
              </w:rPr>
              <w:t xml:space="preserve">МП      /Кузнецов А.В../</w:t>
            </w:r>
            <w:r>
              <w:rPr>
                <w:b/>
                <w:sz w:val="24"/>
                <w:szCs w:val="24"/>
              </w:rPr>
            </w:r>
            <w:r>
              <w:rPr>
                <w:b/>
                <w:sz w:val="24"/>
                <w:szCs w:val="24"/>
              </w:rPr>
            </w:r>
          </w:p>
        </w:tc>
        <w:tc>
          <w:tcPr>
            <w:tcW w:w="1667" w:type="pct"/>
            <w:textDirection w:val="lrTb"/>
            <w:noWrap w:val="false"/>
          </w:tcPr>
          <w:p>
            <w:pPr>
              <w:jc w:val="both"/>
              <w:rPr>
                <w:b/>
                <w:sz w:val="24"/>
                <w:szCs w:val="24"/>
              </w:rPr>
            </w:pPr>
            <w:r>
              <w:rPr>
                <w:sz w:val="24"/>
                <w:szCs w:val="24"/>
              </w:rPr>
              <w:t xml:space="preserve">МП       /Аршакян А.Р./</w:t>
            </w:r>
            <w:r>
              <w:rPr>
                <w:b/>
                <w:sz w:val="24"/>
                <w:szCs w:val="24"/>
              </w:rPr>
            </w:r>
            <w:r>
              <w:rPr>
                <w:b/>
                <w:sz w:val="24"/>
                <w:szCs w:val="24"/>
              </w:rPr>
            </w:r>
          </w:p>
        </w:tc>
        <w:tc>
          <w:tcPr>
            <w:tcW w:w="1666" w:type="pct"/>
            <w:textDirection w:val="lrTb"/>
            <w:noWrap w:val="false"/>
          </w:tcPr>
          <w:p>
            <w:pPr>
              <w:jc w:val="both"/>
              <w:rPr>
                <w:b/>
                <w:sz w:val="24"/>
                <w:szCs w:val="24"/>
              </w:rPr>
            </w:pPr>
            <w:r>
              <w:rPr>
                <w:sz w:val="24"/>
                <w:szCs w:val="24"/>
              </w:rPr>
              <w:t xml:space="preserve">МП         /Чибис А.В./</w:t>
            </w:r>
            <w:r>
              <w:rPr>
                <w:b/>
                <w:sz w:val="24"/>
                <w:szCs w:val="24"/>
              </w:rPr>
            </w:r>
            <w:r>
              <w:rPr>
                <w:b/>
                <w:sz w:val="24"/>
                <w:szCs w:val="24"/>
              </w:rPr>
            </w:r>
          </w:p>
        </w:tc>
      </w:tr>
      <w:tr>
        <w:tblPrEx/>
        <w:trPr/>
        <w:tc>
          <w:tcPr>
            <w:tcW w:w="1667" w:type="pct"/>
            <w:textDirection w:val="lrTb"/>
            <w:noWrap w:val="false"/>
          </w:tcPr>
          <w:p>
            <w:pPr>
              <w:jc w:val="both"/>
              <w:rPr>
                <w:b/>
                <w:sz w:val="24"/>
                <w:szCs w:val="24"/>
              </w:rPr>
            </w:pPr>
            <w:r>
              <w:rPr>
                <w:sz w:val="24"/>
                <w:szCs w:val="24"/>
              </w:rPr>
              <w:t xml:space="preserve">«___»____________ 20__ г.</w:t>
            </w:r>
            <w:r>
              <w:rPr>
                <w:b/>
                <w:sz w:val="24"/>
                <w:szCs w:val="24"/>
              </w:rPr>
            </w:r>
            <w:r>
              <w:rPr>
                <w:b/>
                <w:sz w:val="24"/>
                <w:szCs w:val="24"/>
              </w:rPr>
            </w:r>
          </w:p>
        </w:tc>
        <w:tc>
          <w:tcPr>
            <w:tcW w:w="1667" w:type="pct"/>
            <w:textDirection w:val="lrTb"/>
            <w:noWrap w:val="false"/>
          </w:tcPr>
          <w:p>
            <w:pPr>
              <w:jc w:val="both"/>
              <w:rPr>
                <w:sz w:val="24"/>
                <w:szCs w:val="24"/>
              </w:rPr>
            </w:pPr>
            <w:r>
              <w:rPr>
                <w:sz w:val="24"/>
                <w:szCs w:val="24"/>
              </w:rPr>
              <w:t xml:space="preserve">«___»____________ 20__ г.</w:t>
            </w:r>
            <w:r>
              <w:rPr>
                <w:sz w:val="24"/>
                <w:szCs w:val="24"/>
              </w:rPr>
            </w:r>
            <w:r>
              <w:rPr>
                <w:sz w:val="24"/>
                <w:szCs w:val="24"/>
              </w:rPr>
            </w:r>
          </w:p>
        </w:tc>
        <w:tc>
          <w:tcPr>
            <w:tcW w:w="1666" w:type="pct"/>
            <w:textDirection w:val="lrTb"/>
            <w:noWrap w:val="false"/>
          </w:tcPr>
          <w:p>
            <w:pPr>
              <w:jc w:val="both"/>
              <w:rPr>
                <w:b/>
                <w:sz w:val="24"/>
                <w:szCs w:val="24"/>
              </w:rPr>
            </w:pPr>
            <w:r>
              <w:rPr>
                <w:sz w:val="24"/>
                <w:szCs w:val="24"/>
              </w:rPr>
              <w:t xml:space="preserve">«___»____________ 20__ г.</w:t>
            </w:r>
            <w:r>
              <w:rPr>
                <w:b/>
                <w:sz w:val="24"/>
                <w:szCs w:val="24"/>
              </w:rPr>
            </w:r>
            <w:r>
              <w:rPr>
                <w:b/>
                <w:sz w:val="24"/>
                <w:szCs w:val="24"/>
              </w:rPr>
            </w:r>
          </w:p>
        </w:tc>
      </w:tr>
    </w:tbl>
    <w:p>
      <w:pPr>
        <w:ind w:firstLine="680"/>
        <w:jc w:val="both"/>
        <w:rPr>
          <w:sz w:val="24"/>
          <w:szCs w:val="24"/>
        </w:rPr>
      </w:pPr>
      <w:r>
        <w:rPr>
          <w:sz w:val="24"/>
          <w:szCs w:val="24"/>
        </w:rPr>
      </w:r>
      <w:r>
        <w:rPr>
          <w:sz w:val="24"/>
          <w:szCs w:val="24"/>
        </w:rPr>
      </w:r>
      <w:r>
        <w:rPr>
          <w:sz w:val="24"/>
          <w:szCs w:val="24"/>
        </w:rPr>
      </w:r>
    </w:p>
    <w:p>
      <w:pPr>
        <w:shd w:val="nil" w:color="auto"/>
        <w:rPr>
          <w:rFonts w:eastAsia="Arial Unicode MS"/>
          <w:sz w:val="24"/>
          <w:szCs w:val="24"/>
        </w:rPr>
      </w:pPr>
      <w:r>
        <w:rPr>
          <w:rFonts w:eastAsia="Arial Unicode MS"/>
          <w:sz w:val="24"/>
          <w:szCs w:val="24"/>
        </w:rPr>
        <w:br w:type="page" w:clear="all"/>
      </w:r>
      <w:r>
        <w:rPr>
          <w:rFonts w:eastAsia="Arial Unicode MS"/>
          <w:sz w:val="24"/>
          <w:szCs w:val="24"/>
        </w:rPr>
      </w:r>
      <w:r>
        <w:rPr>
          <w:rFonts w:eastAsia="Arial Unicode MS"/>
          <w:sz w:val="24"/>
          <w:szCs w:val="24"/>
        </w:rPr>
      </w:r>
    </w:p>
    <w:p>
      <w:pPr>
        <w:ind w:left="5528" w:right="0" w:firstLine="0"/>
        <w:jc w:val="both"/>
        <w:rPr>
          <w:sz w:val="24"/>
          <w:szCs w:val="24"/>
        </w:rPr>
      </w:pPr>
      <w:r>
        <w:rPr>
          <w:sz w:val="24"/>
          <w:szCs w:val="24"/>
        </w:rPr>
        <w:t xml:space="preserve">Приложение № 19</w:t>
      </w:r>
      <w:r>
        <w:rPr>
          <w:sz w:val="24"/>
          <w:szCs w:val="24"/>
        </w:rPr>
      </w:r>
      <w:r>
        <w:rPr>
          <w:sz w:val="24"/>
          <w:szCs w:val="24"/>
        </w:rPr>
      </w:r>
    </w:p>
    <w:p>
      <w:pPr>
        <w:ind w:left="5528" w:right="0" w:firstLine="0"/>
        <w:jc w:val="both"/>
        <w:rPr>
          <w:sz w:val="24"/>
          <w:szCs w:val="24"/>
        </w:rPr>
      </w:pPr>
      <w:r>
        <w:rPr>
          <w:sz w:val="24"/>
          <w:szCs w:val="24"/>
        </w:rPr>
        <w:t xml:space="preserve">к Концессионному соглашению</w:t>
      </w:r>
      <w:r>
        <w:rPr>
          <w:sz w:val="24"/>
          <w:szCs w:val="24"/>
        </w:rPr>
      </w:r>
      <w:r>
        <w:rPr>
          <w:sz w:val="24"/>
          <w:szCs w:val="24"/>
        </w:rPr>
      </w:r>
    </w:p>
    <w:p>
      <w:pPr>
        <w:ind w:left="5528" w:right="0" w:firstLine="0"/>
        <w:jc w:val="both"/>
        <w:rPr>
          <w:sz w:val="24"/>
          <w:szCs w:val="24"/>
        </w:rPr>
      </w:pPr>
      <w:r>
        <w:rPr>
          <w:sz w:val="24"/>
          <w:szCs w:val="24"/>
        </w:rPr>
        <w:t xml:space="preserve">от «__»______ 2024 года №______</w:t>
      </w:r>
      <w:r>
        <w:rPr>
          <w:sz w:val="24"/>
          <w:szCs w:val="24"/>
        </w:rPr>
      </w:r>
      <w:r>
        <w:rPr>
          <w:sz w:val="24"/>
          <w:szCs w:val="24"/>
        </w:rPr>
      </w:r>
    </w:p>
    <w:p>
      <w:pPr>
        <w:ind w:firstLine="680"/>
        <w:jc w:val="right"/>
        <w:rPr>
          <w:sz w:val="24"/>
          <w:szCs w:val="24"/>
        </w:rPr>
      </w:pPr>
      <w:r>
        <w:rPr>
          <w:sz w:val="24"/>
          <w:szCs w:val="24"/>
        </w:rPr>
      </w:r>
      <w:r>
        <w:rPr>
          <w:sz w:val="24"/>
          <w:szCs w:val="24"/>
        </w:rPr>
      </w:r>
      <w:r>
        <w:rPr>
          <w:sz w:val="24"/>
          <w:szCs w:val="24"/>
        </w:rPr>
      </w:r>
    </w:p>
    <w:p>
      <w:pPr>
        <w:ind w:firstLine="680"/>
        <w:jc w:val="both"/>
        <w:rPr>
          <w:sz w:val="24"/>
          <w:szCs w:val="24"/>
        </w:rPr>
      </w:pPr>
      <w:r>
        <w:rPr>
          <w:sz w:val="24"/>
          <w:szCs w:val="24"/>
        </w:rPr>
      </w:r>
      <w:r>
        <w:rPr>
          <w:sz w:val="24"/>
          <w:szCs w:val="24"/>
        </w:rPr>
      </w:r>
      <w:r>
        <w:rPr>
          <w:sz w:val="24"/>
          <w:szCs w:val="24"/>
        </w:rPr>
      </w:r>
    </w:p>
    <w:p>
      <w:pPr>
        <w:contextualSpacing/>
        <w:jc w:val="center"/>
        <w:rPr>
          <w:rFonts w:eastAsia="Calibri"/>
          <w:b/>
          <w:sz w:val="24"/>
          <w:szCs w:val="24"/>
        </w:rPr>
        <w:outlineLvl w:val="0"/>
      </w:pPr>
      <w:r/>
      <w:bookmarkStart w:id="143" w:name="_Hlk148019330"/>
      <w:r>
        <w:rPr>
          <w:rFonts w:eastAsia="Calibri"/>
          <w:b/>
          <w:sz w:val="24"/>
          <w:szCs w:val="24"/>
        </w:rPr>
        <w:t xml:space="preserve">Порядок казначейского сопровождения</w:t>
      </w:r>
      <w:r>
        <w:rPr>
          <w:rFonts w:eastAsia="Calibri"/>
          <w:b/>
          <w:sz w:val="24"/>
          <w:szCs w:val="24"/>
        </w:rPr>
      </w:r>
      <w:r>
        <w:rPr>
          <w:rFonts w:eastAsia="Calibri"/>
          <w:b/>
          <w:sz w:val="24"/>
          <w:szCs w:val="24"/>
        </w:rPr>
      </w:r>
    </w:p>
    <w:p>
      <w:pPr>
        <w:jc w:val="both"/>
        <w:spacing w:after="80"/>
        <w:tabs>
          <w:tab w:val="left" w:pos="709" w:leader="none"/>
        </w:tabs>
        <w:rPr>
          <w:rFonts w:eastAsia="Calibri"/>
          <w:sz w:val="24"/>
          <w:szCs w:val="24"/>
        </w:rPr>
      </w:pPr>
      <w:r>
        <w:rPr>
          <w:rFonts w:eastAsia="Calibri"/>
          <w:sz w:val="24"/>
          <w:szCs w:val="24"/>
        </w:rPr>
      </w:r>
      <w:r>
        <w:rPr>
          <w:rFonts w:eastAsia="Calibri"/>
          <w:sz w:val="24"/>
          <w:szCs w:val="24"/>
        </w:rPr>
      </w:r>
      <w:r>
        <w:rPr>
          <w:rFonts w:eastAsia="Calibri"/>
          <w:sz w:val="24"/>
          <w:szCs w:val="24"/>
        </w:rPr>
      </w:r>
    </w:p>
    <w:p>
      <w:pPr>
        <w:jc w:val="both"/>
        <w:spacing w:after="80"/>
        <w:tabs>
          <w:tab w:val="left" w:pos="709" w:leader="none"/>
        </w:tabs>
        <w:rPr>
          <w:rFonts w:eastAsia="Calibri"/>
          <w:sz w:val="24"/>
          <w:szCs w:val="24"/>
        </w:rPr>
      </w:pPr>
      <w:r>
        <w:rPr>
          <w:rFonts w:eastAsia="Calibri"/>
          <w:sz w:val="24"/>
          <w:szCs w:val="24"/>
        </w:rPr>
        <w:tab/>
        <w:t xml:space="preserve">1. По настоящему Концессионному соглашению осуществляется казначейское сопровождение целевых средств в соответствии с Бюджетным Кодексом Российской Федерации.</w:t>
      </w:r>
      <w:r>
        <w:rPr>
          <w:rFonts w:eastAsia="Calibri"/>
          <w:sz w:val="24"/>
          <w:szCs w:val="24"/>
        </w:rPr>
      </w:r>
      <w:r>
        <w:rPr>
          <w:rFonts w:eastAsia="Calibri"/>
          <w:sz w:val="24"/>
          <w:szCs w:val="24"/>
        </w:rPr>
      </w:r>
    </w:p>
    <w:p>
      <w:pPr>
        <w:jc w:val="both"/>
        <w:spacing w:after="80"/>
        <w:tabs>
          <w:tab w:val="left" w:pos="709" w:leader="none"/>
        </w:tabs>
        <w:rPr>
          <w:rFonts w:eastAsia="Calibri"/>
          <w:sz w:val="24"/>
          <w:szCs w:val="24"/>
        </w:rPr>
      </w:pPr>
      <w:r>
        <w:rPr>
          <w:rFonts w:eastAsia="Calibri"/>
          <w:sz w:val="24"/>
          <w:szCs w:val="24"/>
        </w:rPr>
        <w:tab/>
        <w:t xml:space="preserve">2. При казначейском сопровождении Концессионер обязан:</w:t>
      </w:r>
      <w:r>
        <w:rPr>
          <w:rFonts w:eastAsia="Calibri"/>
          <w:sz w:val="24"/>
          <w:szCs w:val="24"/>
        </w:rPr>
      </w:r>
      <w:r>
        <w:rPr>
          <w:rFonts w:eastAsia="Calibri"/>
          <w:sz w:val="24"/>
          <w:szCs w:val="24"/>
        </w:rPr>
      </w:r>
    </w:p>
    <w:p>
      <w:pPr>
        <w:numPr>
          <w:ilvl w:val="0"/>
          <w:numId w:val="24"/>
        </w:numPr>
        <w:ind w:left="1134" w:hanging="425"/>
        <w:jc w:val="both"/>
        <w:spacing w:before="120" w:after="80"/>
        <w:tabs>
          <w:tab w:val="left" w:pos="1134" w:leader="none"/>
        </w:tabs>
        <w:rPr>
          <w:rFonts w:eastAsia="Calibri"/>
          <w:sz w:val="24"/>
          <w:szCs w:val="24"/>
        </w:rPr>
      </w:pPr>
      <w:r>
        <w:rPr>
          <w:rFonts w:eastAsia="Calibri"/>
          <w:sz w:val="24"/>
          <w:szCs w:val="24"/>
        </w:rPr>
        <w:t xml:space="preserve">открыть лицевой счет для осуществления и отражения операций со средствами участников казначейского сопровождения в территориальном органе Федерального казначейства;</w:t>
      </w:r>
      <w:r>
        <w:rPr>
          <w:rFonts w:eastAsia="Calibri"/>
          <w:sz w:val="24"/>
          <w:szCs w:val="24"/>
        </w:rPr>
      </w:r>
      <w:r>
        <w:rPr>
          <w:rFonts w:eastAsia="Calibri"/>
          <w:sz w:val="24"/>
          <w:szCs w:val="24"/>
        </w:rPr>
      </w:r>
    </w:p>
    <w:p>
      <w:pPr>
        <w:numPr>
          <w:ilvl w:val="0"/>
          <w:numId w:val="24"/>
        </w:numPr>
        <w:ind w:left="1134" w:hanging="425"/>
        <w:jc w:val="both"/>
        <w:spacing w:before="120" w:after="80"/>
        <w:tabs>
          <w:tab w:val="left" w:pos="1134" w:leader="none"/>
        </w:tabs>
        <w:rPr>
          <w:rFonts w:eastAsia="Calibri"/>
          <w:sz w:val="24"/>
          <w:szCs w:val="24"/>
        </w:rPr>
      </w:pPr>
      <w:r>
        <w:rPr>
          <w:rFonts w:eastAsia="Calibri"/>
          <w:sz w:val="24"/>
          <w:szCs w:val="24"/>
        </w:rPr>
        <w:t xml:space="preserve">представлять в территориальные органы Федерального казначейства документы, предусмотренные порядком санкционирования целевых средств;</w:t>
      </w:r>
      <w:r>
        <w:rPr>
          <w:rFonts w:eastAsia="Calibri"/>
          <w:sz w:val="24"/>
          <w:szCs w:val="24"/>
        </w:rPr>
      </w:r>
      <w:r>
        <w:rPr>
          <w:rFonts w:eastAsia="Calibri"/>
          <w:sz w:val="24"/>
          <w:szCs w:val="24"/>
        </w:rPr>
      </w:r>
    </w:p>
    <w:p>
      <w:pPr>
        <w:numPr>
          <w:ilvl w:val="0"/>
          <w:numId w:val="24"/>
        </w:numPr>
        <w:ind w:left="1134" w:hanging="425"/>
        <w:jc w:val="both"/>
        <w:spacing w:before="120" w:after="80"/>
        <w:tabs>
          <w:tab w:val="left" w:pos="1134" w:leader="none"/>
        </w:tabs>
        <w:rPr>
          <w:rFonts w:eastAsia="Calibri"/>
          <w:sz w:val="24"/>
          <w:szCs w:val="24"/>
        </w:rPr>
      </w:pPr>
      <w:r>
        <w:rPr>
          <w:rFonts w:eastAsia="Calibri"/>
          <w:sz w:val="24"/>
          <w:szCs w:val="24"/>
        </w:rPr>
        <w:t xml:space="preserve">указывать в договорах, распоряжениях, а также в документах, установле</w:t>
      </w:r>
      <w:r>
        <w:rPr>
          <w:rFonts w:eastAsia="Calibri"/>
          <w:sz w:val="24"/>
          <w:szCs w:val="24"/>
        </w:rPr>
        <w:t xml:space="preserve">нных порядком санкционирования целевых средств, идентификатор договора (соглашения) о предоставлении субсидий, договоров о предоставлении бюджетных инвестиций. Порядок формирования идентификатора устанавливается Министерством финансов Российской Федерации;</w:t>
      </w:r>
      <w:r>
        <w:rPr>
          <w:rFonts w:eastAsia="Calibri"/>
          <w:sz w:val="24"/>
          <w:szCs w:val="24"/>
        </w:rPr>
      </w:r>
      <w:r>
        <w:rPr>
          <w:rFonts w:eastAsia="Calibri"/>
          <w:sz w:val="24"/>
          <w:szCs w:val="24"/>
        </w:rPr>
      </w:r>
    </w:p>
    <w:p>
      <w:pPr>
        <w:numPr>
          <w:ilvl w:val="0"/>
          <w:numId w:val="24"/>
        </w:numPr>
        <w:ind w:left="1134" w:hanging="425"/>
        <w:jc w:val="both"/>
        <w:spacing w:before="120" w:after="80"/>
        <w:tabs>
          <w:tab w:val="left" w:pos="1134" w:leader="none"/>
        </w:tabs>
        <w:rPr>
          <w:rFonts w:eastAsia="Calibri"/>
          <w:sz w:val="24"/>
          <w:szCs w:val="24"/>
        </w:rPr>
      </w:pPr>
      <w:r>
        <w:rPr>
          <w:rFonts w:eastAsia="Calibri"/>
          <w:sz w:val="24"/>
          <w:szCs w:val="24"/>
        </w:rPr>
        <w:t xml:space="preserve">вести раздельный учет результатов финансово-хозяйственной деятельности по Концессионному соглашению в соответствии с порядком, определенным Правительством Российской Федерации;</w:t>
      </w:r>
      <w:r>
        <w:rPr>
          <w:rFonts w:eastAsia="Calibri"/>
          <w:sz w:val="24"/>
          <w:szCs w:val="24"/>
        </w:rPr>
      </w:r>
      <w:r>
        <w:rPr>
          <w:rFonts w:eastAsia="Calibri"/>
          <w:sz w:val="24"/>
          <w:szCs w:val="24"/>
        </w:rPr>
      </w:r>
    </w:p>
    <w:p>
      <w:pPr>
        <w:numPr>
          <w:ilvl w:val="0"/>
          <w:numId w:val="24"/>
        </w:numPr>
        <w:ind w:left="1134" w:hanging="425"/>
        <w:jc w:val="both"/>
        <w:spacing w:before="120" w:after="80"/>
        <w:tabs>
          <w:tab w:val="left" w:pos="1134" w:leader="none"/>
        </w:tabs>
        <w:rPr>
          <w:rFonts w:eastAsia="Calibri"/>
          <w:sz w:val="24"/>
          <w:szCs w:val="24"/>
        </w:rPr>
      </w:pPr>
      <w:r>
        <w:rPr>
          <w:rFonts w:eastAsia="Calibri"/>
          <w:sz w:val="24"/>
          <w:szCs w:val="24"/>
        </w:rPr>
        <w:t xml:space="preserve">формировать, в установленных Прави</w:t>
      </w:r>
      <w:r>
        <w:rPr>
          <w:rFonts w:eastAsia="Calibri"/>
          <w:sz w:val="24"/>
          <w:szCs w:val="24"/>
        </w:rPr>
        <w:t xml:space="preserve">тельством Российской Федерации случаях, информацию о сумме средств, предусмотренной Соглашением, в порядке и по форме, установленным Министерством финансов Российской Федерации - приказом Минфина России от 10.12.2021 №210н «О порядке ведения учета доходов,</w:t>
      </w:r>
      <w:r>
        <w:rPr>
          <w:rFonts w:eastAsia="Calibri"/>
          <w:sz w:val="24"/>
          <w:szCs w:val="24"/>
        </w:rPr>
        <w:t xml:space="preserve"> затрат, произведенных участниками казначейского сопровождения в целях достижения результатов, установленных при предоставлении целевых средств, по каждому государственному (муниципальному) контракту, договору (соглашению), контракту (договору)» (далее – «</w:t>
      </w:r>
      <w:r>
        <w:rPr>
          <w:rFonts w:eastAsia="Calibri"/>
          <w:b/>
          <w:bCs/>
          <w:sz w:val="24"/>
          <w:szCs w:val="24"/>
        </w:rPr>
        <w:t xml:space="preserve">Расходная Декларация</w:t>
      </w:r>
      <w:r>
        <w:rPr>
          <w:rFonts w:eastAsia="Calibri"/>
          <w:sz w:val="24"/>
          <w:szCs w:val="24"/>
        </w:rPr>
        <w:t xml:space="preserve">»);</w:t>
      </w:r>
      <w:r>
        <w:rPr>
          <w:rFonts w:eastAsia="Calibri"/>
          <w:sz w:val="24"/>
          <w:szCs w:val="24"/>
        </w:rPr>
      </w:r>
      <w:r>
        <w:rPr>
          <w:rFonts w:eastAsia="Calibri"/>
          <w:sz w:val="24"/>
          <w:szCs w:val="24"/>
        </w:rPr>
      </w:r>
    </w:p>
    <w:p>
      <w:pPr>
        <w:numPr>
          <w:ilvl w:val="0"/>
          <w:numId w:val="24"/>
        </w:numPr>
        <w:ind w:left="1134" w:hanging="425"/>
        <w:jc w:val="both"/>
        <w:spacing w:before="120" w:after="80"/>
        <w:tabs>
          <w:tab w:val="left" w:pos="1134" w:leader="none"/>
        </w:tabs>
        <w:rPr>
          <w:rFonts w:eastAsia="Calibri"/>
          <w:sz w:val="24"/>
          <w:szCs w:val="24"/>
        </w:rPr>
      </w:pPr>
      <w:r>
        <w:rPr>
          <w:rFonts w:eastAsia="Calibri"/>
          <w:sz w:val="24"/>
          <w:szCs w:val="24"/>
        </w:rPr>
        <w:t xml:space="preserve">соблюдать запреты, установленные пунктом 3 статьи 242.23 Бюджетного кодекса Российской Федерации.</w:t>
      </w:r>
      <w:r>
        <w:rPr>
          <w:rFonts w:eastAsia="Calibri"/>
          <w:sz w:val="24"/>
          <w:szCs w:val="24"/>
        </w:rPr>
      </w:r>
      <w:r>
        <w:rPr>
          <w:rFonts w:eastAsia="Calibri"/>
          <w:sz w:val="24"/>
          <w:szCs w:val="24"/>
        </w:rPr>
      </w:r>
    </w:p>
    <w:p>
      <w:pPr>
        <w:ind w:firstLine="1134"/>
        <w:jc w:val="both"/>
        <w:spacing w:before="120" w:after="80"/>
        <w:tabs>
          <w:tab w:val="left" w:pos="1134" w:leader="none"/>
        </w:tabs>
        <w:rPr>
          <w:rFonts w:eastAsia="Calibri"/>
          <w:sz w:val="24"/>
          <w:szCs w:val="24"/>
        </w:rPr>
      </w:pPr>
      <w:r>
        <w:rPr>
          <w:rFonts w:eastAsia="Calibri"/>
          <w:sz w:val="24"/>
          <w:szCs w:val="24"/>
        </w:rPr>
        <w:t xml:space="preserve">Концессионеру запрещено перечисление целевых средств:</w:t>
      </w:r>
      <w:r>
        <w:rPr>
          <w:rFonts w:eastAsia="Calibri"/>
          <w:sz w:val="24"/>
          <w:szCs w:val="24"/>
        </w:rPr>
      </w:r>
      <w:r>
        <w:rPr>
          <w:rFonts w:eastAsia="Calibri"/>
          <w:sz w:val="24"/>
          <w:szCs w:val="24"/>
        </w:rPr>
      </w:r>
    </w:p>
    <w:p>
      <w:pPr>
        <w:numPr>
          <w:ilvl w:val="0"/>
          <w:numId w:val="25"/>
        </w:numPr>
        <w:ind w:left="1560" w:hanging="426"/>
        <w:jc w:val="both"/>
        <w:spacing w:before="120" w:after="80"/>
        <w:tabs>
          <w:tab w:val="left" w:pos="993" w:leader="none"/>
        </w:tabs>
        <w:rPr>
          <w:rFonts w:eastAsia="Calibri"/>
          <w:sz w:val="24"/>
          <w:szCs w:val="24"/>
        </w:rPr>
      </w:pPr>
      <w:r>
        <w:rPr>
          <w:rFonts w:eastAsia="Calibri"/>
          <w:sz w:val="24"/>
          <w:szCs w:val="24"/>
        </w:rPr>
        <w:t xml:space="preserve">в качестве взноса в уставный (складочный) капитал другого ю</w:t>
      </w:r>
      <w:r>
        <w:rPr>
          <w:rFonts w:eastAsia="Calibri"/>
          <w:sz w:val="24"/>
          <w:szCs w:val="24"/>
        </w:rPr>
        <w:t xml:space="preserve">ридического лица (дочернего общества юридического лица), вклада в имущество другого юридического лица (дочернего общества юридического лица), не увеличивающего его уставный (складочный) капитал, если нормативными правовыми актами (правовыми актами), регули</w:t>
      </w:r>
      <w:r>
        <w:rPr>
          <w:rFonts w:eastAsia="Calibri"/>
          <w:sz w:val="24"/>
          <w:szCs w:val="24"/>
        </w:rPr>
        <w:t xml:space="preserve">рующими порядок предоставления средств, не предусмотрена возможность их перечисления указанному юридическому лицу (дочернему обществу юридического лица) на счета, открытые им в учреждении Центрального банка Российской Федерации или в кредитной организации;</w:t>
      </w:r>
      <w:r>
        <w:rPr>
          <w:rFonts w:eastAsia="Calibri"/>
          <w:sz w:val="24"/>
          <w:szCs w:val="24"/>
        </w:rPr>
      </w:r>
      <w:r>
        <w:rPr>
          <w:rFonts w:eastAsia="Calibri"/>
          <w:sz w:val="24"/>
          <w:szCs w:val="24"/>
        </w:rPr>
      </w:r>
    </w:p>
    <w:p>
      <w:pPr>
        <w:numPr>
          <w:ilvl w:val="0"/>
          <w:numId w:val="25"/>
        </w:numPr>
        <w:ind w:left="1560" w:hanging="426"/>
        <w:jc w:val="both"/>
        <w:spacing w:before="120" w:after="80"/>
        <w:tabs>
          <w:tab w:val="left" w:pos="993" w:leader="none"/>
        </w:tabs>
        <w:rPr>
          <w:rFonts w:eastAsia="Calibri"/>
          <w:sz w:val="24"/>
          <w:szCs w:val="24"/>
        </w:rPr>
      </w:pPr>
      <w:r>
        <w:rPr>
          <w:rFonts w:eastAsia="Calibri"/>
          <w:sz w:val="24"/>
          <w:szCs w:val="24"/>
        </w:rPr>
        <w:t xml:space="preserve">в целях размещения средств на депозитах, а также в иные финансовые инструменты, за исключением случаев, установленных федеральными законами или нормативными правовыми актами Правительства </w:t>
      </w:r>
      <w:r>
        <w:rPr>
          <w:rFonts w:eastAsia="Calibri"/>
          <w:sz w:val="24"/>
          <w:szCs w:val="24"/>
        </w:rPr>
        <w:t xml:space="preserve">Российской Федерации, закон</w:t>
      </w:r>
      <w:r>
        <w:rPr>
          <w:rFonts w:eastAsia="Calibri"/>
          <w:sz w:val="24"/>
          <w:szCs w:val="24"/>
        </w:rPr>
        <w:t xml:space="preserve">ами субъектов Российской Федерации (муниципальными правовыми актами представительных органов муниципальных образований), устанавливающими порядок организации и осуществления бюджетного процесса в субъектах Российской Федерации (муниципальных образованиях);</w:t>
      </w:r>
      <w:r>
        <w:rPr>
          <w:rFonts w:eastAsia="Calibri"/>
          <w:sz w:val="24"/>
          <w:szCs w:val="24"/>
        </w:rPr>
      </w:r>
      <w:r>
        <w:rPr>
          <w:rFonts w:eastAsia="Calibri"/>
          <w:sz w:val="24"/>
          <w:szCs w:val="24"/>
        </w:rPr>
      </w:r>
    </w:p>
    <w:p>
      <w:pPr>
        <w:numPr>
          <w:ilvl w:val="0"/>
          <w:numId w:val="25"/>
        </w:numPr>
        <w:ind w:left="1560" w:hanging="426"/>
        <w:jc w:val="both"/>
        <w:spacing w:before="120" w:after="80"/>
        <w:tabs>
          <w:tab w:val="left" w:pos="993" w:leader="none"/>
        </w:tabs>
        <w:rPr>
          <w:rFonts w:eastAsia="Calibri"/>
          <w:sz w:val="24"/>
          <w:szCs w:val="24"/>
        </w:rPr>
      </w:pPr>
      <w:r>
        <w:rPr>
          <w:rFonts w:eastAsia="Calibri"/>
          <w:sz w:val="24"/>
          <w:szCs w:val="24"/>
        </w:rPr>
        <w:t xml:space="preserve">на счета, открытые Концессионеру в учреждении Центрального банка Российской Федерации или в кредитной организации, за исключением:</w:t>
      </w:r>
      <w:r>
        <w:rPr>
          <w:rFonts w:eastAsia="Calibri"/>
          <w:sz w:val="24"/>
          <w:szCs w:val="24"/>
        </w:rPr>
      </w:r>
      <w:r>
        <w:rPr>
          <w:rFonts w:eastAsia="Calibri"/>
          <w:sz w:val="24"/>
          <w:szCs w:val="24"/>
        </w:rPr>
      </w:r>
    </w:p>
    <w:p>
      <w:pPr>
        <w:numPr>
          <w:ilvl w:val="0"/>
          <w:numId w:val="26"/>
        </w:numPr>
        <w:ind w:left="1985" w:hanging="284"/>
        <w:jc w:val="both"/>
        <w:spacing w:before="120" w:after="80"/>
        <w:tabs>
          <w:tab w:val="left" w:pos="993" w:leader="none"/>
        </w:tabs>
        <w:rPr>
          <w:rFonts w:eastAsia="Calibri"/>
          <w:sz w:val="24"/>
          <w:szCs w:val="24"/>
        </w:rPr>
      </w:pPr>
      <w:r>
        <w:rPr>
          <w:rFonts w:eastAsia="Calibri"/>
          <w:sz w:val="24"/>
          <w:szCs w:val="24"/>
        </w:rPr>
        <w:t xml:space="preserve">оплаты обязательств Концессионера в соответствии с валютным законодательством Российской Федерации;</w:t>
      </w:r>
      <w:r>
        <w:rPr>
          <w:rFonts w:eastAsia="Calibri"/>
          <w:sz w:val="24"/>
          <w:szCs w:val="24"/>
        </w:rPr>
      </w:r>
      <w:r>
        <w:rPr>
          <w:rFonts w:eastAsia="Calibri"/>
          <w:sz w:val="24"/>
          <w:szCs w:val="24"/>
        </w:rPr>
      </w:r>
    </w:p>
    <w:p>
      <w:pPr>
        <w:numPr>
          <w:ilvl w:val="0"/>
          <w:numId w:val="26"/>
        </w:numPr>
        <w:ind w:left="1985" w:hanging="284"/>
        <w:jc w:val="both"/>
        <w:spacing w:before="120" w:after="80"/>
        <w:tabs>
          <w:tab w:val="left" w:pos="993" w:leader="none"/>
        </w:tabs>
        <w:rPr>
          <w:rFonts w:eastAsia="Calibri"/>
          <w:sz w:val="24"/>
          <w:szCs w:val="24"/>
        </w:rPr>
      </w:pPr>
      <w:r>
        <w:rPr>
          <w:rFonts w:eastAsia="Calibri"/>
          <w:sz w:val="24"/>
          <w:szCs w:val="24"/>
        </w:rPr>
        <w:t xml:space="preserve">оплаты обязательств Концессионера по оплате труда с учетом начислений и социальных выплат, иных выплат в пользу работников, а также выплат лицам, не состоящим в штате Концессионера, привлеченным для достижения цели, определенной при предоставлении средств;</w:t>
      </w:r>
      <w:r>
        <w:rPr>
          <w:rFonts w:eastAsia="Calibri"/>
          <w:sz w:val="24"/>
          <w:szCs w:val="24"/>
        </w:rPr>
      </w:r>
      <w:r>
        <w:rPr>
          <w:rFonts w:eastAsia="Calibri"/>
          <w:sz w:val="24"/>
          <w:szCs w:val="24"/>
        </w:rPr>
      </w:r>
    </w:p>
    <w:p>
      <w:pPr>
        <w:numPr>
          <w:ilvl w:val="0"/>
          <w:numId w:val="26"/>
        </w:numPr>
        <w:ind w:left="1985" w:hanging="284"/>
        <w:jc w:val="both"/>
        <w:spacing w:before="120" w:after="80"/>
        <w:tabs>
          <w:tab w:val="left" w:pos="993" w:leader="none"/>
        </w:tabs>
        <w:rPr>
          <w:rFonts w:eastAsia="Calibri"/>
          <w:sz w:val="24"/>
          <w:szCs w:val="24"/>
        </w:rPr>
      </w:pPr>
      <w:r>
        <w:rPr>
          <w:rFonts w:eastAsia="Calibri"/>
          <w:sz w:val="24"/>
          <w:szCs w:val="24"/>
        </w:rPr>
        <w:t xml:space="preserve">оплаты фактически поставленных Концессионером товаров, выполненных работ, оказанных услуг (выбрать необходимое), источником финансового обеспечения которых являются средства, предоставляемые на основании Концессионно</w:t>
      </w:r>
      <w:r>
        <w:rPr>
          <w:rFonts w:eastAsia="Calibri"/>
          <w:sz w:val="24"/>
          <w:szCs w:val="24"/>
        </w:rPr>
        <w:t xml:space="preserve">го соглашения, в случае, если Концессионер не привлекает для поставки товаров, выполнения работ, оказания услуг иных юридических лиц, а также при условии представления документов, установленных соответствующим порядком санкционирования целевых средств, под</w:t>
      </w:r>
      <w:r>
        <w:rPr>
          <w:rFonts w:eastAsia="Calibri"/>
          <w:sz w:val="24"/>
          <w:szCs w:val="24"/>
        </w:rPr>
        <w:t xml:space="preserve">тверждающих возникновение денежных обязательств юридических лиц, и (или) иных документов, предусмотренных Концессионным соглашением, договорами (соглашения) или нормативными правовыми актами (правовыми актами), регулирующими порядок предоставления средств;</w:t>
      </w:r>
      <w:r>
        <w:rPr>
          <w:rFonts w:eastAsia="Calibri"/>
          <w:sz w:val="24"/>
          <w:szCs w:val="24"/>
        </w:rPr>
      </w:r>
      <w:r>
        <w:rPr>
          <w:rFonts w:eastAsia="Calibri"/>
          <w:sz w:val="24"/>
          <w:szCs w:val="24"/>
        </w:rPr>
      </w:r>
    </w:p>
    <w:p>
      <w:pPr>
        <w:numPr>
          <w:ilvl w:val="0"/>
          <w:numId w:val="26"/>
        </w:numPr>
        <w:ind w:left="1985" w:hanging="284"/>
        <w:jc w:val="both"/>
        <w:spacing w:before="120" w:after="80"/>
        <w:tabs>
          <w:tab w:val="left" w:pos="993" w:leader="none"/>
        </w:tabs>
        <w:rPr>
          <w:rFonts w:eastAsia="Calibri"/>
          <w:sz w:val="24"/>
          <w:szCs w:val="24"/>
        </w:rPr>
      </w:pPr>
      <w:r>
        <w:rPr>
          <w:rFonts w:eastAsia="Calibri"/>
          <w:sz w:val="24"/>
          <w:szCs w:val="24"/>
        </w:rPr>
        <w:t xml:space="preserve">возмещения произведенных Концессионером расходов (части расходов) при условии представления документов в соответствии с буллитом </w:t>
      </w:r>
      <w:r>
        <w:rPr>
          <w:rFonts w:eastAsia="Calibri"/>
          <w:sz w:val="24"/>
          <w:szCs w:val="24"/>
          <w:lang w:val="en-US"/>
        </w:rPr>
        <w:t xml:space="preserve">III</w:t>
      </w:r>
      <w:r>
        <w:rPr>
          <w:rFonts w:eastAsia="Calibri"/>
          <w:sz w:val="24"/>
          <w:szCs w:val="24"/>
        </w:rPr>
        <w:t xml:space="preserve"> абз. в) пп. 6 пункта 2 настоящего Приложения, а также копий платежных документов, подтверждающих оплату произведенных Концессионером расходов (части расходов), а также Концессио</w:t>
      </w:r>
      <w:r>
        <w:rPr>
          <w:rFonts w:eastAsia="Calibri"/>
          <w:sz w:val="24"/>
          <w:szCs w:val="24"/>
        </w:rPr>
        <w:t xml:space="preserve">нного соглашения, договоров (соглашений) или нормативных правовых актов (правовых актов), регулирующих порядок предоставления средств, если условиями Концессионного соглашения предусмотрено возмещение произведенных Концессионером расходов (части расходов);</w:t>
      </w:r>
      <w:r>
        <w:rPr>
          <w:rFonts w:eastAsia="Calibri"/>
          <w:sz w:val="24"/>
          <w:szCs w:val="24"/>
        </w:rPr>
      </w:r>
      <w:r>
        <w:rPr>
          <w:rFonts w:eastAsia="Calibri"/>
          <w:sz w:val="24"/>
          <w:szCs w:val="24"/>
        </w:rPr>
      </w:r>
    </w:p>
    <w:p>
      <w:pPr>
        <w:numPr>
          <w:ilvl w:val="0"/>
          <w:numId w:val="25"/>
        </w:numPr>
        <w:ind w:left="1560" w:hanging="426"/>
        <w:jc w:val="both"/>
        <w:spacing w:before="120" w:after="80"/>
        <w:tabs>
          <w:tab w:val="left" w:pos="993" w:leader="none"/>
        </w:tabs>
        <w:rPr>
          <w:rFonts w:eastAsia="Calibri"/>
          <w:sz w:val="24"/>
          <w:szCs w:val="24"/>
        </w:rPr>
      </w:pPr>
      <w:r>
        <w:rPr>
          <w:rFonts w:eastAsia="Calibri"/>
          <w:sz w:val="24"/>
          <w:szCs w:val="24"/>
        </w:rPr>
        <w:t xml:space="preserve">на счета, открытые в учреждении Центрального б</w:t>
      </w:r>
      <w:r>
        <w:rPr>
          <w:rFonts w:eastAsia="Calibri"/>
          <w:sz w:val="24"/>
          <w:szCs w:val="24"/>
        </w:rPr>
        <w:t xml:space="preserve">анка Российской Федерации или в кредитной организации юридическим лицам, заключившим с участником казначейского сопровождения (Концессионером) договоры за исключением договоров, заключаемых в целях приобретения услуг связи по приему, обработке, хранению, п</w:t>
      </w:r>
      <w:r>
        <w:rPr>
          <w:rFonts w:eastAsia="Calibri"/>
          <w:sz w:val="24"/>
          <w:szCs w:val="24"/>
        </w:rPr>
        <w:t xml:space="preserve">ередаче, доставке сообщений электросвязи или почтовых отправлений, коммунальных услуг, электроэнергии, гостиничных услуг, услуг по организации и осуществлению перевозки грузов и пассажиров железнодорожным транспортом общего пользования, авиационных и желез</w:t>
      </w:r>
      <w:r>
        <w:rPr>
          <w:rFonts w:eastAsia="Calibri"/>
          <w:sz w:val="24"/>
          <w:szCs w:val="24"/>
        </w:rPr>
        <w:t xml:space="preserve">нодорожных билетов, билетов для проезда городским и пригородным транспортом, подписки на периодические издания, в целях аренды, осуществления работ по переносу (переустройству, присоединению) принадлежащих участникам казначейского сопровождения инженерных </w:t>
      </w:r>
      <w:r>
        <w:rPr>
          <w:rFonts w:eastAsia="Calibri"/>
          <w:sz w:val="24"/>
          <w:szCs w:val="24"/>
        </w:rPr>
        <w:t xml:space="preserve">сетей, коммуникаций, сооружений, а также в целях проведения государственной экспертизы Проектной документации и результатов инженерных изысканий в соотв</w:t>
      </w:r>
      <w:r>
        <w:rPr>
          <w:rFonts w:eastAsia="Calibri"/>
          <w:sz w:val="24"/>
          <w:szCs w:val="24"/>
        </w:rPr>
        <w:t xml:space="preserve">етствии с законодательством Российской Федерации о градостроительной деятельности, осуществления страхования в соответствии со страховым законодательством, в целях приобретения услуг по приему платежей от физических лиц, осуществляемых платежными агентами.</w:t>
      </w:r>
      <w:r>
        <w:rPr>
          <w:rFonts w:eastAsia="Calibri"/>
          <w:sz w:val="24"/>
          <w:szCs w:val="24"/>
        </w:rPr>
      </w:r>
      <w:r>
        <w:rPr>
          <w:rFonts w:eastAsia="Calibri"/>
          <w:sz w:val="24"/>
          <w:szCs w:val="24"/>
        </w:rPr>
      </w:r>
    </w:p>
    <w:p>
      <w:pPr>
        <w:numPr>
          <w:ilvl w:val="0"/>
          <w:numId w:val="25"/>
        </w:numPr>
        <w:ind w:left="1560" w:hanging="426"/>
        <w:jc w:val="both"/>
        <w:spacing w:before="120" w:after="80"/>
        <w:tabs>
          <w:tab w:val="left" w:pos="993" w:leader="none"/>
        </w:tabs>
        <w:rPr>
          <w:rFonts w:eastAsia="Calibri"/>
          <w:sz w:val="24"/>
          <w:szCs w:val="24"/>
        </w:rPr>
      </w:pPr>
      <w:r>
        <w:rPr>
          <w:rFonts w:eastAsia="Calibri"/>
          <w:sz w:val="24"/>
          <w:szCs w:val="24"/>
        </w:rPr>
        <w:t xml:space="preserve">соблюдать режим лицевого счета (ведение и использование лицевого счета).</w:t>
      </w:r>
      <w:r>
        <w:rPr>
          <w:rFonts w:eastAsia="Calibri"/>
          <w:sz w:val="24"/>
          <w:szCs w:val="24"/>
        </w:rPr>
      </w:r>
      <w:r>
        <w:rPr>
          <w:rFonts w:eastAsia="Calibri"/>
          <w:sz w:val="24"/>
          <w:szCs w:val="24"/>
        </w:rPr>
      </w:r>
    </w:p>
    <w:p>
      <w:pPr>
        <w:numPr>
          <w:ilvl w:val="0"/>
          <w:numId w:val="24"/>
        </w:numPr>
        <w:ind w:left="1134" w:hanging="425"/>
        <w:jc w:val="both"/>
        <w:spacing w:before="120" w:after="80"/>
        <w:tabs>
          <w:tab w:val="left" w:pos="1134" w:leader="none"/>
        </w:tabs>
        <w:rPr>
          <w:rFonts w:eastAsia="Calibri"/>
          <w:sz w:val="24"/>
          <w:szCs w:val="24"/>
        </w:rPr>
      </w:pPr>
      <w:r>
        <w:rPr>
          <w:rFonts w:eastAsia="Calibri"/>
          <w:sz w:val="24"/>
          <w:szCs w:val="24"/>
        </w:rPr>
        <w:t xml:space="preserve">При казначейском сопровождении режим лицевого счета, осуществляется в соответствии с Правилами о казначейском сопровождении средств, утвержденными постановлением Правительства Российской Федерации от 24.11</w:t>
      </w:r>
      <w:r>
        <w:rPr>
          <w:rFonts w:eastAsia="Calibri"/>
          <w:sz w:val="24"/>
          <w:szCs w:val="24"/>
        </w:rPr>
        <w:t xml:space="preserve">.2021 № 2024 «О правилах казначейского сопровождения» (вместе с «Правилами казначейского сопровождения, осуществляемого Федеральным казначейством», «Правилами расширенного казначейского сопровождения»), которые предусматривают соблюдение следующих условий:</w:t>
      </w:r>
      <w:r>
        <w:rPr>
          <w:rFonts w:eastAsia="Calibri"/>
          <w:sz w:val="24"/>
          <w:szCs w:val="24"/>
        </w:rPr>
      </w:r>
      <w:r>
        <w:rPr>
          <w:rFonts w:eastAsia="Calibri"/>
          <w:sz w:val="24"/>
          <w:szCs w:val="24"/>
        </w:rPr>
      </w:r>
    </w:p>
    <w:p>
      <w:pPr>
        <w:numPr>
          <w:ilvl w:val="0"/>
          <w:numId w:val="27"/>
        </w:numPr>
        <w:ind w:left="1560" w:hanging="426"/>
        <w:jc w:val="both"/>
        <w:spacing w:before="120" w:after="80"/>
        <w:tabs>
          <w:tab w:val="left" w:pos="993" w:leader="none"/>
        </w:tabs>
        <w:rPr>
          <w:rFonts w:eastAsia="Calibri"/>
          <w:sz w:val="24"/>
          <w:szCs w:val="24"/>
        </w:rPr>
      </w:pPr>
      <w:r>
        <w:rPr>
          <w:rFonts w:eastAsia="Calibri"/>
          <w:sz w:val="24"/>
          <w:szCs w:val="24"/>
        </w:rPr>
        <w:t xml:space="preserve">запрет осуществления операций на лицевом счете, отказ в осуществлении операций на лицевом счете при наличии оснований, у</w:t>
      </w:r>
      <w:r>
        <w:rPr>
          <w:rFonts w:eastAsia="Calibri"/>
          <w:sz w:val="24"/>
          <w:szCs w:val="24"/>
        </w:rPr>
        <w:t xml:space="preserve">казанных в пунктах 10 и 11 статьи 242.13-1 Бюджетного кодекса Российской Федерации соответственно, а также приостановление операций на лицевом счете в соответствии с пунктом 3 указанной статьи в порядке, предусмотренном Правительством Российской Федерации;</w:t>
      </w:r>
      <w:r>
        <w:rPr>
          <w:rFonts w:eastAsia="Calibri"/>
          <w:sz w:val="24"/>
          <w:szCs w:val="24"/>
        </w:rPr>
      </w:r>
      <w:r>
        <w:rPr>
          <w:rFonts w:eastAsia="Calibri"/>
          <w:sz w:val="24"/>
          <w:szCs w:val="24"/>
        </w:rPr>
      </w:r>
    </w:p>
    <w:p>
      <w:pPr>
        <w:numPr>
          <w:ilvl w:val="0"/>
          <w:numId w:val="27"/>
        </w:numPr>
        <w:ind w:left="1560" w:hanging="426"/>
        <w:jc w:val="both"/>
        <w:spacing w:before="120" w:after="80"/>
        <w:tabs>
          <w:tab w:val="left" w:pos="993" w:leader="none"/>
        </w:tabs>
        <w:rPr>
          <w:rFonts w:eastAsia="Calibri"/>
          <w:sz w:val="24"/>
          <w:szCs w:val="24"/>
        </w:rPr>
      </w:pPr>
      <w:r>
        <w:rPr>
          <w:rFonts w:eastAsia="Calibri"/>
          <w:sz w:val="24"/>
          <w:szCs w:val="24"/>
        </w:rPr>
        <w:t xml:space="preserve">осуществление санкционирования расходов, источником финансового обеспечен</w:t>
      </w:r>
      <w:r>
        <w:rPr>
          <w:rFonts w:eastAsia="Calibri"/>
          <w:sz w:val="24"/>
          <w:szCs w:val="24"/>
        </w:rPr>
        <w:t xml:space="preserve">ия которых являются целевые средства, в соответствии с представляемыми участниками казначейского сопровождения в территориальный орган Федерального казначейства сведениями об операциях с целевыми средствами, сформированными и утвержденными в порядке и по ф</w:t>
      </w:r>
      <w:r>
        <w:rPr>
          <w:rFonts w:eastAsia="Calibri"/>
          <w:sz w:val="24"/>
          <w:szCs w:val="24"/>
        </w:rPr>
        <w:t xml:space="preserve">орме, которые предусмотрены порядком санкционирования, и содержащими в том числе информацию об источниках поступления целевых средств и направлениях расходования целевых средств, соответствующих результатам, определенным при предоставлении целевых средств;</w:t>
      </w:r>
      <w:r>
        <w:rPr>
          <w:rFonts w:eastAsia="Calibri"/>
          <w:sz w:val="24"/>
          <w:szCs w:val="24"/>
        </w:rPr>
      </w:r>
      <w:r>
        <w:rPr>
          <w:rFonts w:eastAsia="Calibri"/>
          <w:sz w:val="24"/>
          <w:szCs w:val="24"/>
        </w:rPr>
      </w:r>
    </w:p>
    <w:p>
      <w:pPr>
        <w:numPr>
          <w:ilvl w:val="0"/>
          <w:numId w:val="27"/>
        </w:numPr>
        <w:ind w:left="1560" w:hanging="426"/>
        <w:jc w:val="both"/>
        <w:spacing w:before="120" w:after="80"/>
        <w:tabs>
          <w:tab w:val="left" w:pos="993" w:leader="none"/>
        </w:tabs>
        <w:rPr>
          <w:rFonts w:eastAsia="Calibri"/>
          <w:sz w:val="24"/>
          <w:szCs w:val="24"/>
        </w:rPr>
      </w:pPr>
      <w:r>
        <w:rPr>
          <w:rFonts w:eastAsia="Calibri"/>
          <w:sz w:val="24"/>
          <w:szCs w:val="24"/>
        </w:rPr>
        <w:t xml:space="preserve">проведение операций с целевыми средствами, отраженными на лицевых счетах, после осуществления территориальными органами Федерального казначейства санкционирования операций с целев</w:t>
      </w:r>
      <w:r>
        <w:rPr>
          <w:rFonts w:eastAsia="Calibri"/>
          <w:sz w:val="24"/>
          <w:szCs w:val="24"/>
        </w:rPr>
        <w:t xml:space="preserve">ыми средствами участников казначейского сопровождения в соответствии с порядком санкционирования на основании документов, установленных указанным порядком, подтверждающих возникновение денежных обязательств участников казначейского сопровождения (далее – «</w:t>
      </w:r>
      <w:r>
        <w:rPr>
          <w:rFonts w:eastAsia="Calibri"/>
          <w:b/>
          <w:bCs/>
          <w:sz w:val="24"/>
          <w:szCs w:val="24"/>
        </w:rPr>
        <w:t xml:space="preserve">Документы-основания</w:t>
      </w:r>
      <w:r>
        <w:rPr>
          <w:rFonts w:eastAsia="Calibri"/>
          <w:sz w:val="24"/>
          <w:szCs w:val="24"/>
        </w:rPr>
        <w:t xml:space="preserve">»);</w:t>
      </w:r>
      <w:r>
        <w:rPr>
          <w:rFonts w:eastAsia="Calibri"/>
          <w:sz w:val="24"/>
          <w:szCs w:val="24"/>
        </w:rPr>
      </w:r>
      <w:r>
        <w:rPr>
          <w:rFonts w:eastAsia="Calibri"/>
          <w:sz w:val="24"/>
          <w:szCs w:val="24"/>
        </w:rPr>
      </w:r>
    </w:p>
    <w:p>
      <w:pPr>
        <w:numPr>
          <w:ilvl w:val="0"/>
          <w:numId w:val="27"/>
        </w:numPr>
        <w:ind w:left="1560" w:hanging="426"/>
        <w:jc w:val="both"/>
        <w:spacing w:before="120" w:after="80"/>
        <w:tabs>
          <w:tab w:val="left" w:pos="993" w:leader="none"/>
        </w:tabs>
        <w:rPr>
          <w:rFonts w:eastAsia="Calibri"/>
          <w:sz w:val="24"/>
          <w:szCs w:val="24"/>
        </w:rPr>
      </w:pPr>
      <w:r>
        <w:rPr>
          <w:rFonts w:eastAsia="Calibri"/>
          <w:sz w:val="24"/>
          <w:szCs w:val="24"/>
        </w:rPr>
        <w:t xml:space="preserve">осуществление операций по зачислению целевых средств на лицевые счета и списанию целевых средств с лицевых </w:t>
      </w:r>
      <w:r>
        <w:rPr>
          <w:rFonts w:eastAsia="Calibri"/>
          <w:sz w:val="24"/>
          <w:szCs w:val="24"/>
        </w:rPr>
        <w:t xml:space="preserve">счетов при указании в распоряжениях о совершении казначейских платежей (далее - распоряжение), Концессионном соглашении, а также в документах-основаниях идентификатора Концессионного соглашения, сформированного в соответствии с порядком, предусмотренным по</w:t>
      </w:r>
      <w:r>
        <w:rPr>
          <w:rFonts w:eastAsia="Calibri"/>
          <w:sz w:val="24"/>
          <w:szCs w:val="24"/>
        </w:rPr>
        <w:t xml:space="preserve">дпунктом 3 пункта 2 статьи 242.23 Бюджетного кодекса Российской Федерации. В предоставленных участником казначейского сопровождения в территориальный орган Федерального казначейства распоряжениях для оплаты Концессионного соглашения, содержащего сведения, </w:t>
      </w:r>
      <w:r>
        <w:rPr>
          <w:rFonts w:eastAsia="Calibri"/>
          <w:sz w:val="24"/>
          <w:szCs w:val="24"/>
        </w:rPr>
        <w:t xml:space="preserve">составляющие государственную тайну, идентификатор Концессионного соглашения не указывается;</w:t>
      </w:r>
      <w:r>
        <w:rPr>
          <w:rFonts w:eastAsia="Calibri"/>
          <w:sz w:val="24"/>
          <w:szCs w:val="24"/>
        </w:rPr>
      </w:r>
      <w:r>
        <w:rPr>
          <w:rFonts w:eastAsia="Calibri"/>
          <w:sz w:val="24"/>
          <w:szCs w:val="24"/>
        </w:rPr>
      </w:r>
    </w:p>
    <w:p>
      <w:pPr>
        <w:numPr>
          <w:ilvl w:val="0"/>
          <w:numId w:val="27"/>
        </w:numPr>
        <w:ind w:left="1560" w:hanging="426"/>
        <w:jc w:val="both"/>
        <w:spacing w:before="120" w:after="80"/>
        <w:tabs>
          <w:tab w:val="left" w:pos="993" w:leader="none"/>
        </w:tabs>
        <w:rPr>
          <w:rFonts w:eastAsia="Calibri"/>
          <w:sz w:val="24"/>
          <w:szCs w:val="24"/>
        </w:rPr>
      </w:pPr>
      <w:r>
        <w:rPr>
          <w:rFonts w:eastAsia="Calibri"/>
          <w:sz w:val="24"/>
          <w:szCs w:val="24"/>
        </w:rPr>
        <w:t xml:space="preserve">ведение в соответствии с порядком, установленным Министерством финансов Российской Федерации, учета доходов, затрат, произведенных в целях достижения результатов, установленных при предоставлении целевых средств по каждому договору (соглашению);</w:t>
      </w:r>
      <w:r>
        <w:rPr>
          <w:rFonts w:eastAsia="Calibri"/>
          <w:sz w:val="24"/>
          <w:szCs w:val="24"/>
        </w:rPr>
      </w:r>
      <w:r>
        <w:rPr>
          <w:rFonts w:eastAsia="Calibri"/>
          <w:sz w:val="24"/>
          <w:szCs w:val="24"/>
        </w:rPr>
      </w:r>
    </w:p>
    <w:p>
      <w:pPr>
        <w:numPr>
          <w:ilvl w:val="0"/>
          <w:numId w:val="27"/>
        </w:numPr>
        <w:ind w:left="1560" w:hanging="426"/>
        <w:jc w:val="both"/>
        <w:spacing w:before="120" w:after="80"/>
        <w:tabs>
          <w:tab w:val="left" w:pos="993" w:leader="none"/>
        </w:tabs>
        <w:rPr>
          <w:rFonts w:eastAsia="Calibri"/>
          <w:sz w:val="24"/>
          <w:szCs w:val="24"/>
        </w:rPr>
      </w:pPr>
      <w:r>
        <w:rPr>
          <w:rFonts w:eastAsia="Calibri"/>
          <w:sz w:val="24"/>
          <w:szCs w:val="24"/>
        </w:rPr>
        <w:t xml:space="preserve">перечисление целевых средств на счета, открытые участнику казначейского сопровождения в учреждении Центрального банка Российской Федерации или в кредитной организации (далее - банк), </w:t>
      </w:r>
      <w:r>
        <w:rPr>
          <w:rFonts w:eastAsia="Calibri"/>
          <w:sz w:val="24"/>
          <w:szCs w:val="24"/>
        </w:rPr>
        <w:t xml:space="preserve">при оплате обязательств, предусмотренных подпунктом 3 пункта 3 статьи 242.23 Бюджетного кодекса Российской Федерации, а также обязательств по накладным расходам, связанным с исполнением Концессионного соглашения, в соответствии с порядком санкционирования;</w:t>
      </w:r>
      <w:r>
        <w:rPr>
          <w:rFonts w:eastAsia="Calibri"/>
          <w:sz w:val="24"/>
          <w:szCs w:val="24"/>
        </w:rPr>
      </w:r>
      <w:r>
        <w:rPr>
          <w:rFonts w:eastAsia="Calibri"/>
          <w:sz w:val="24"/>
          <w:szCs w:val="24"/>
        </w:rPr>
      </w:r>
    </w:p>
    <w:p>
      <w:pPr>
        <w:numPr>
          <w:ilvl w:val="0"/>
          <w:numId w:val="24"/>
        </w:numPr>
        <w:ind w:left="1134" w:hanging="425"/>
        <w:jc w:val="both"/>
        <w:spacing w:before="120" w:after="80"/>
        <w:tabs>
          <w:tab w:val="left" w:pos="1134" w:leader="none"/>
        </w:tabs>
        <w:rPr>
          <w:rFonts w:eastAsia="Calibri"/>
          <w:sz w:val="24"/>
          <w:szCs w:val="24"/>
        </w:rPr>
      </w:pPr>
      <w:r>
        <w:rPr>
          <w:rFonts w:eastAsia="Calibri"/>
          <w:sz w:val="24"/>
          <w:szCs w:val="24"/>
        </w:rPr>
        <w:t xml:space="preserve">Соблюдать, в установленных Правительством Российской Федерации случаях, положения, предусмотренные статьей 242.24 Бюджетного кодекса Российской Федерации.</w:t>
      </w:r>
      <w:r>
        <w:rPr>
          <w:rFonts w:eastAsia="Calibri"/>
          <w:sz w:val="24"/>
          <w:szCs w:val="24"/>
        </w:rPr>
      </w:r>
      <w:r>
        <w:rPr>
          <w:rFonts w:eastAsia="Calibri"/>
          <w:sz w:val="24"/>
          <w:szCs w:val="24"/>
        </w:rPr>
      </w:r>
    </w:p>
    <w:p>
      <w:pPr>
        <w:jc w:val="both"/>
        <w:spacing w:after="80"/>
        <w:tabs>
          <w:tab w:val="left" w:pos="709" w:leader="none"/>
        </w:tabs>
        <w:rPr>
          <w:rFonts w:eastAsia="Calibri"/>
          <w:sz w:val="24"/>
          <w:szCs w:val="24"/>
        </w:rPr>
      </w:pPr>
      <w:r>
        <w:rPr>
          <w:rFonts w:eastAsia="Calibri"/>
          <w:sz w:val="24"/>
          <w:szCs w:val="24"/>
        </w:rPr>
        <w:tab/>
        <w:t xml:space="preserve">3. Выплата Капитального гранта осуществляется на открытый</w:t>
      </w:r>
      <w:r>
        <w:rPr>
          <w:rFonts w:eastAsia="Calibri"/>
          <w:sz w:val="24"/>
          <w:szCs w:val="24"/>
        </w:rPr>
        <w:t xml:space="preserve"> Концессионером в территориальном органе Федерального казначейства лицевой счет для учета операций со средствами участников казначейского сопровождения. Датой выплаты Капитального гранта считается дата списания денежных средств с лицевого счета Концедента.</w:t>
      </w:r>
      <w:r>
        <w:rPr>
          <w:rFonts w:eastAsia="Calibri"/>
          <w:sz w:val="24"/>
          <w:szCs w:val="24"/>
        </w:rPr>
      </w:r>
      <w:r>
        <w:rPr>
          <w:rFonts w:eastAsia="Calibri"/>
          <w:sz w:val="24"/>
          <w:szCs w:val="24"/>
        </w:rPr>
      </w:r>
    </w:p>
    <w:p>
      <w:pPr>
        <w:jc w:val="both"/>
        <w:spacing w:after="80"/>
        <w:tabs>
          <w:tab w:val="left" w:pos="709" w:leader="none"/>
        </w:tabs>
        <w:rPr>
          <w:rFonts w:eastAsia="Calibri"/>
          <w:sz w:val="24"/>
          <w:szCs w:val="24"/>
        </w:rPr>
      </w:pPr>
      <w:r>
        <w:rPr>
          <w:rFonts w:eastAsia="Calibri"/>
          <w:sz w:val="24"/>
          <w:szCs w:val="24"/>
        </w:rPr>
        <w:tab/>
        <w:t xml:space="preserve">4. Концессионер обязан вести раздельный учет результатов финансово-хозяйственной деятельности по Концессионному соглашению, распределять наклад</w:t>
      </w:r>
      <w:r>
        <w:rPr>
          <w:rFonts w:eastAsia="Calibri"/>
          <w:sz w:val="24"/>
          <w:szCs w:val="24"/>
        </w:rPr>
        <w:t xml:space="preserve">ные расходы пропорционально срокам исполнения настоящего Концессионного соглашения либо срокам использования авансового платежа по Концессионному соглашению (выплата Капитального гранта) в порядке, установленном Министерством финансов Российской Федерации;</w:t>
      </w:r>
      <w:r>
        <w:rPr>
          <w:rFonts w:eastAsia="Calibri"/>
          <w:sz w:val="24"/>
          <w:szCs w:val="24"/>
        </w:rPr>
      </w:r>
      <w:r>
        <w:rPr>
          <w:rFonts w:eastAsia="Calibri"/>
          <w:sz w:val="24"/>
          <w:szCs w:val="24"/>
        </w:rPr>
      </w:r>
    </w:p>
    <w:p>
      <w:pPr>
        <w:jc w:val="both"/>
        <w:spacing w:after="80"/>
        <w:tabs>
          <w:tab w:val="left" w:pos="709" w:leader="none"/>
        </w:tabs>
        <w:rPr>
          <w:rFonts w:eastAsia="Calibri"/>
          <w:sz w:val="24"/>
          <w:szCs w:val="24"/>
        </w:rPr>
      </w:pPr>
      <w:r>
        <w:rPr>
          <w:rFonts w:eastAsia="Calibri"/>
          <w:sz w:val="24"/>
          <w:szCs w:val="24"/>
        </w:rPr>
        <w:tab/>
        <w:t xml:space="preserve">5. Стороны обязаны представлять в территориальные органы Федерального казначейства документы, предусмотренные порядком санкционирования целевых средств, установленном Министерством финансов Российской Федерации.</w:t>
      </w:r>
      <w:r>
        <w:rPr>
          <w:rFonts w:eastAsia="Calibri"/>
          <w:sz w:val="24"/>
          <w:szCs w:val="24"/>
        </w:rPr>
      </w:r>
      <w:r>
        <w:rPr>
          <w:rFonts w:eastAsia="Calibri"/>
          <w:sz w:val="24"/>
          <w:szCs w:val="24"/>
        </w:rPr>
      </w:r>
    </w:p>
    <w:p>
      <w:pPr>
        <w:jc w:val="both"/>
        <w:spacing w:after="80"/>
        <w:tabs>
          <w:tab w:val="left" w:pos="709" w:leader="none"/>
        </w:tabs>
        <w:rPr>
          <w:rFonts w:eastAsia="Calibri"/>
          <w:sz w:val="24"/>
          <w:szCs w:val="24"/>
        </w:rPr>
      </w:pPr>
      <w:r>
        <w:rPr>
          <w:rFonts w:eastAsia="Calibri"/>
          <w:sz w:val="24"/>
          <w:szCs w:val="24"/>
        </w:rPr>
        <w:tab/>
        <w:t xml:space="preserve">6. Стороны обязаны указывать в договорах (контрактах, соглашениях) распоряжениях и расчетных документах, а также в документах-основаниях, реестре документов-оснований идентификатор настоящего Концессионного соглашения.</w:t>
      </w:r>
      <w:r>
        <w:rPr>
          <w:rFonts w:eastAsia="Calibri"/>
          <w:sz w:val="24"/>
          <w:szCs w:val="24"/>
        </w:rPr>
      </w:r>
      <w:r>
        <w:rPr>
          <w:rFonts w:eastAsia="Calibri"/>
          <w:sz w:val="24"/>
          <w:szCs w:val="24"/>
        </w:rPr>
      </w:r>
    </w:p>
    <w:p>
      <w:pPr>
        <w:jc w:val="both"/>
        <w:spacing w:after="80"/>
        <w:tabs>
          <w:tab w:val="left" w:pos="709" w:leader="none"/>
        </w:tabs>
        <w:rPr>
          <w:rFonts w:eastAsia="Calibri"/>
          <w:sz w:val="24"/>
          <w:szCs w:val="24"/>
        </w:rPr>
      </w:pPr>
      <w:r/>
      <w:bookmarkStart w:id="144" w:name="_Ref141132089"/>
      <w:r>
        <w:rPr>
          <w:rFonts w:eastAsia="Calibri"/>
          <w:sz w:val="24"/>
          <w:szCs w:val="24"/>
        </w:rPr>
        <w:tab/>
        <w:t xml:space="preserve">7. Операции по списанию средств, отраженных на лицевых счетах для учета операций не участника бюджетного процесса, осуществляются в</w:t>
      </w:r>
      <w:r>
        <w:rPr>
          <w:rFonts w:eastAsia="Calibri"/>
          <w:sz w:val="24"/>
          <w:szCs w:val="24"/>
        </w:rPr>
        <w:t xml:space="preserve"> пределах суммы, необходимой для оплаты обязательств Концессионера, возникающих из условий Концессионного соглашения, после проведения территориальными органами Федерального казначейства санкционирования операций в порядке, установленном Министерством фина</w:t>
      </w:r>
      <w:r>
        <w:rPr>
          <w:rFonts w:eastAsia="Calibri"/>
          <w:sz w:val="24"/>
          <w:szCs w:val="24"/>
        </w:rPr>
        <w:t xml:space="preserve">нсов Российской Федерации, определяющем в том числе перечень документов, подлежащих представлению в территориальные органы Федерального казначейства организациями для подтверждения возникновения денежных обязательств на основании Концессионного соглашения.</w:t>
      </w:r>
      <w:bookmarkEnd w:id="144"/>
      <w:r>
        <w:rPr>
          <w:rFonts w:eastAsia="Calibri"/>
          <w:sz w:val="24"/>
          <w:szCs w:val="24"/>
        </w:rPr>
      </w:r>
      <w:r>
        <w:rPr>
          <w:rFonts w:eastAsia="Calibri"/>
          <w:sz w:val="24"/>
          <w:szCs w:val="24"/>
        </w:rPr>
      </w:r>
    </w:p>
    <w:p>
      <w:pPr>
        <w:jc w:val="both"/>
        <w:spacing w:after="80"/>
        <w:tabs>
          <w:tab w:val="left" w:pos="709" w:leader="none"/>
        </w:tabs>
        <w:rPr>
          <w:rFonts w:eastAsia="Calibri"/>
          <w:sz w:val="24"/>
          <w:szCs w:val="24"/>
        </w:rPr>
      </w:pPr>
      <w:r>
        <w:rPr>
          <w:rFonts w:eastAsia="Calibri"/>
          <w:sz w:val="24"/>
          <w:szCs w:val="24"/>
        </w:rPr>
        <w:tab/>
        <w:t xml:space="preserve">8. Во избежание сомнений, положения пунктов настоящего Приложения применяются в той части, в которой это требуется в соответствии с действующим законодательством.</w:t>
      </w:r>
      <w:r>
        <w:rPr>
          <w:rFonts w:eastAsia="Calibri"/>
          <w:sz w:val="24"/>
          <w:szCs w:val="24"/>
        </w:rPr>
      </w:r>
      <w:r>
        <w:rPr>
          <w:rFonts w:eastAsia="Calibri"/>
          <w:sz w:val="24"/>
          <w:szCs w:val="24"/>
        </w:rPr>
      </w:r>
    </w:p>
    <w:p>
      <w:pPr>
        <w:jc w:val="both"/>
        <w:spacing w:after="80"/>
        <w:tabs>
          <w:tab w:val="left" w:pos="709" w:leader="none"/>
        </w:tabs>
        <w:rPr>
          <w:rFonts w:eastAsia="Calibri"/>
          <w:sz w:val="24"/>
          <w:szCs w:val="24"/>
        </w:rPr>
      </w:pPr>
      <w:r>
        <w:rPr>
          <w:rFonts w:eastAsia="Calibri"/>
          <w:sz w:val="24"/>
          <w:szCs w:val="24"/>
        </w:rPr>
        <w:tab/>
        <w:t xml:space="preserve">9. Концессионер</w:t>
      </w:r>
      <w:r>
        <w:rPr>
          <w:rFonts w:eastAsia="Calibri"/>
          <w:sz w:val="24"/>
          <w:szCs w:val="24"/>
        </w:rPr>
        <w:t xml:space="preserve"> согласен на осуществление проверок, предусмотренных условиями настоящего Приложения, а также с проверками, которые осуществляют органы государственного финансового контроля в соответствии со статьями 268.1 и 269.2 Бюджетного кодекса Российской Федерации. </w:t>
      </w:r>
      <w:r>
        <w:rPr>
          <w:rFonts w:eastAsia="Calibri"/>
          <w:sz w:val="24"/>
          <w:szCs w:val="24"/>
        </w:rPr>
      </w:r>
      <w:r>
        <w:rPr>
          <w:rFonts w:eastAsia="Calibri"/>
          <w:sz w:val="24"/>
          <w:szCs w:val="24"/>
        </w:rPr>
      </w:r>
    </w:p>
    <w:p>
      <w:pPr>
        <w:jc w:val="both"/>
        <w:spacing w:after="80"/>
        <w:tabs>
          <w:tab w:val="left" w:pos="709" w:leader="none"/>
        </w:tabs>
        <w:rPr>
          <w:rFonts w:eastAsia="Calibri"/>
          <w:sz w:val="24"/>
          <w:szCs w:val="24"/>
        </w:rPr>
      </w:pPr>
      <w:r>
        <w:rPr>
          <w:rFonts w:eastAsia="Calibri"/>
          <w:sz w:val="24"/>
          <w:szCs w:val="24"/>
        </w:rPr>
        <w:tab/>
        <w:t xml:space="preserve">10. В случае установления Концедентом либо органами государственного финансов</w:t>
      </w:r>
      <w:r>
        <w:rPr>
          <w:rFonts w:eastAsia="Calibri"/>
          <w:sz w:val="24"/>
          <w:szCs w:val="24"/>
        </w:rPr>
        <w:t xml:space="preserve">ого контроля в рамках проведения проверки факта отсутствия подтверждающих документов или предоставления недостоверных сведений Концедент на основе решения соответствующего контролирующего органа направляет Концессионеру письменное уведомление о необходимос</w:t>
      </w:r>
      <w:r>
        <w:rPr>
          <w:rFonts w:eastAsia="Calibri"/>
          <w:sz w:val="24"/>
          <w:szCs w:val="24"/>
        </w:rPr>
        <w:t xml:space="preserve">ти возврата части Капитального гранта, соответствующей размеру неподтвержденных расходов Концессионера. Концессионер вправе оспорить указанные решения и требования Концедента или контролирующего органа в установленном действующим законодательством порядке.</w:t>
      </w:r>
      <w:r>
        <w:rPr>
          <w:rFonts w:eastAsia="Calibri"/>
          <w:sz w:val="24"/>
          <w:szCs w:val="24"/>
        </w:rPr>
      </w:r>
      <w:r>
        <w:rPr>
          <w:rFonts w:eastAsia="Calibri"/>
          <w:sz w:val="24"/>
          <w:szCs w:val="24"/>
        </w:rPr>
      </w:r>
    </w:p>
    <w:p>
      <w:pPr>
        <w:jc w:val="both"/>
        <w:spacing w:after="80"/>
        <w:tabs>
          <w:tab w:val="left" w:pos="709" w:leader="none"/>
        </w:tabs>
        <w:rPr>
          <w:rFonts w:eastAsia="Calibri"/>
          <w:sz w:val="24"/>
          <w:szCs w:val="24"/>
        </w:rPr>
      </w:pPr>
      <w:r>
        <w:rPr>
          <w:rFonts w:eastAsia="Calibri"/>
          <w:sz w:val="24"/>
          <w:szCs w:val="24"/>
        </w:rPr>
        <w:tab/>
        <w:t xml:space="preserve">11. В случае выявления Концед</w:t>
      </w:r>
      <w:r>
        <w:rPr>
          <w:rFonts w:eastAsia="Calibri"/>
          <w:sz w:val="24"/>
          <w:szCs w:val="24"/>
        </w:rPr>
        <w:t xml:space="preserve">ентом либо органами государственного финансового контроля в рамках проведения проверки использования Концессионером средств Капитального гранта его нецелевого использования (в целом или в части), то Концессионер обязан вернуть Капитальный грант (в целом ил</w:t>
      </w:r>
      <w:r>
        <w:rPr>
          <w:rFonts w:eastAsia="Calibri"/>
          <w:sz w:val="24"/>
          <w:szCs w:val="24"/>
        </w:rPr>
        <w:t xml:space="preserve">и в части), направленный на нецелевое его использование. Концессионер вправе оспорить решение Концедента либо органов государственного финансового контроля, в случае вынесения ими решения о нецелевом использовании Капитального гранта (в целом или в части).</w:t>
      </w:r>
      <w:bookmarkEnd w:id="139"/>
      <w:r/>
      <w:bookmarkEnd w:id="143"/>
      <w:r>
        <w:rPr>
          <w:rFonts w:eastAsia="Calibri"/>
          <w:sz w:val="24"/>
          <w:szCs w:val="24"/>
        </w:rPr>
      </w:r>
      <w:r>
        <w:rPr>
          <w:rFonts w:eastAsia="Calibri"/>
          <w:sz w:val="24"/>
          <w:szCs w:val="24"/>
        </w:rPr>
      </w:r>
    </w:p>
    <w:p>
      <w:pPr>
        <w:jc w:val="both"/>
        <w:spacing w:after="80"/>
        <w:tabs>
          <w:tab w:val="left" w:pos="709" w:leader="none"/>
          <w:tab w:val="left" w:pos="993" w:leader="none"/>
        </w:tabs>
        <w:rPr>
          <w:rFonts w:eastAsia="Arial Unicode MS"/>
          <w:sz w:val="24"/>
          <w:szCs w:val="24"/>
        </w:rPr>
      </w:pPr>
      <w:r>
        <w:rPr>
          <w:rFonts w:eastAsia="Arial Unicode MS"/>
          <w:sz w:val="24"/>
          <w:szCs w:val="24"/>
        </w:rPr>
      </w:r>
      <w:r>
        <w:rPr>
          <w:rFonts w:eastAsia="Arial Unicode MS"/>
          <w:sz w:val="24"/>
          <w:szCs w:val="24"/>
        </w:rPr>
      </w:r>
      <w:r>
        <w:rPr>
          <w:rFonts w:eastAsia="Arial Unicode MS"/>
          <w:sz w:val="24"/>
          <w:szCs w:val="24"/>
        </w:rPr>
      </w:r>
    </w:p>
    <w:p>
      <w:pPr>
        <w:jc w:val="both"/>
        <w:spacing w:after="80"/>
        <w:tabs>
          <w:tab w:val="left" w:pos="709" w:leader="none"/>
          <w:tab w:val="left" w:pos="993" w:leader="none"/>
        </w:tabs>
        <w:rPr>
          <w:rFonts w:eastAsia="Arial Unicode MS"/>
          <w:sz w:val="24"/>
          <w:szCs w:val="24"/>
        </w:rPr>
      </w:pPr>
      <w:r>
        <w:rPr>
          <w:rFonts w:eastAsia="Arial Unicode MS"/>
          <w:sz w:val="24"/>
          <w:szCs w:val="24"/>
        </w:rPr>
      </w:r>
      <w:r>
        <w:rPr>
          <w:rFonts w:eastAsia="Arial Unicode MS"/>
          <w:sz w:val="24"/>
          <w:szCs w:val="24"/>
        </w:rPr>
      </w:r>
      <w:r>
        <w:rPr>
          <w:rFonts w:eastAsia="Arial Unicode MS"/>
          <w:sz w:val="24"/>
          <w:szCs w:val="24"/>
        </w:rPr>
      </w:r>
    </w:p>
    <w:tbl>
      <w:tblPr>
        <w:tblStyle w:val="937"/>
        <w:tblW w:w="5000" w:type="pc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190"/>
        <w:gridCol w:w="3190"/>
        <w:gridCol w:w="3190"/>
      </w:tblGrid>
      <w:tr>
        <w:tblPrEx/>
        <w:trPr/>
        <w:tc>
          <w:tcPr>
            <w:tcW w:w="1667" w:type="pct"/>
            <w:textDirection w:val="lrTb"/>
            <w:noWrap w:val="false"/>
          </w:tcPr>
          <w:p>
            <w:pPr>
              <w:jc w:val="both"/>
              <w:rPr>
                <w:b/>
                <w:sz w:val="24"/>
                <w:szCs w:val="24"/>
              </w:rPr>
            </w:pPr>
            <w:r>
              <w:rPr>
                <w:b/>
                <w:sz w:val="24"/>
                <w:szCs w:val="24"/>
              </w:rPr>
            </w:r>
            <w:r>
              <w:rPr>
                <w:b/>
                <w:sz w:val="24"/>
                <w:szCs w:val="24"/>
              </w:rPr>
            </w:r>
            <w:r>
              <w:rPr>
                <w:b/>
                <w:sz w:val="24"/>
                <w:szCs w:val="24"/>
              </w:rPr>
            </w:r>
          </w:p>
          <w:p>
            <w:pPr>
              <w:jc w:val="both"/>
              <w:rPr>
                <w:b/>
                <w:sz w:val="24"/>
                <w:szCs w:val="24"/>
              </w:rPr>
            </w:pPr>
            <w:r>
              <w:rPr>
                <w:b/>
                <w:sz w:val="24"/>
                <w:szCs w:val="24"/>
              </w:rPr>
              <w:t xml:space="preserve">Концедент</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r>
            <w:r>
              <w:rPr>
                <w:b/>
                <w:sz w:val="24"/>
                <w:szCs w:val="24"/>
              </w:rPr>
            </w:r>
            <w:r>
              <w:rPr>
                <w:b/>
                <w:sz w:val="24"/>
                <w:szCs w:val="24"/>
              </w:rPr>
            </w:r>
          </w:p>
          <w:p>
            <w:pPr>
              <w:jc w:val="both"/>
              <w:rPr>
                <w:b/>
                <w:sz w:val="24"/>
                <w:szCs w:val="24"/>
              </w:rPr>
            </w:pPr>
            <w:r>
              <w:rPr>
                <w:b/>
                <w:sz w:val="24"/>
                <w:szCs w:val="24"/>
              </w:rPr>
              <w:t xml:space="preserve">Концессионер</w:t>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r>
            <w:r>
              <w:rPr>
                <w:b/>
                <w:sz w:val="24"/>
                <w:szCs w:val="24"/>
              </w:rPr>
            </w:r>
            <w:r>
              <w:rPr>
                <w:b/>
                <w:sz w:val="24"/>
                <w:szCs w:val="24"/>
              </w:rPr>
            </w:r>
          </w:p>
          <w:p>
            <w:pPr>
              <w:jc w:val="both"/>
              <w:rPr>
                <w:b/>
                <w:sz w:val="24"/>
                <w:szCs w:val="24"/>
              </w:rPr>
            </w:pPr>
            <w:r>
              <w:rPr>
                <w:b/>
                <w:sz w:val="24"/>
                <w:szCs w:val="24"/>
              </w:rPr>
              <w:t xml:space="preserve">Субъект</w:t>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t xml:space="preserve">Муниципальное образование Печенгский муниципальный округ Мурманской области</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Общество с ограниченной ответственностью «ПромВоенСтрой»</w:t>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t xml:space="preserve">Мурманская область</w:t>
            </w:r>
            <w:r>
              <w:rPr>
                <w:b/>
                <w:sz w:val="24"/>
                <w:szCs w:val="24"/>
              </w:rPr>
            </w:r>
            <w:r>
              <w:rPr>
                <w:b/>
                <w:sz w:val="24"/>
                <w:szCs w:val="24"/>
              </w:rPr>
            </w:r>
          </w:p>
          <w:p>
            <w:pPr>
              <w:jc w:val="both"/>
              <w:rPr>
                <w:b/>
                <w:sz w:val="24"/>
                <w:szCs w:val="24"/>
              </w:rPr>
            </w:pPr>
            <w:r>
              <w:rPr>
                <w:b/>
                <w:sz w:val="24"/>
                <w:szCs w:val="24"/>
              </w:rPr>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t xml:space="preserve">Глава округа</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Генеральный директор</w:t>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t xml:space="preserve">Губернатор</w:t>
            </w:r>
            <w:r>
              <w:rPr>
                <w:b/>
                <w:sz w:val="24"/>
                <w:szCs w:val="24"/>
              </w:rPr>
            </w:r>
            <w:r>
              <w:rPr>
                <w:b/>
                <w:sz w:val="24"/>
                <w:szCs w:val="24"/>
              </w:rPr>
            </w:r>
          </w:p>
        </w:tc>
      </w:tr>
      <w:tr>
        <w:tblPrEx/>
        <w:trPr>
          <w:trHeight w:val="567"/>
        </w:trPr>
        <w:tc>
          <w:tcPr>
            <w:tcW w:w="1667" w:type="pct"/>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c>
          <w:tcPr>
            <w:tcW w:w="1667" w:type="pct"/>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c>
          <w:tcPr>
            <w:tcW w:w="1666" w:type="pct"/>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r>
      <w:tr>
        <w:tblPrEx/>
        <w:trPr/>
        <w:tc>
          <w:tcPr>
            <w:tcW w:w="1667" w:type="pct"/>
            <w:textDirection w:val="lrTb"/>
            <w:noWrap w:val="false"/>
          </w:tcPr>
          <w:p>
            <w:pPr>
              <w:jc w:val="both"/>
              <w:rPr>
                <w:b/>
                <w:sz w:val="24"/>
                <w:szCs w:val="24"/>
              </w:rPr>
            </w:pPr>
            <w:r>
              <w:rPr>
                <w:sz w:val="24"/>
                <w:szCs w:val="24"/>
              </w:rPr>
              <w:t xml:space="preserve">МП      /Кузнецов А.В../</w:t>
            </w:r>
            <w:r>
              <w:rPr>
                <w:b/>
                <w:sz w:val="24"/>
                <w:szCs w:val="24"/>
              </w:rPr>
            </w:r>
            <w:r>
              <w:rPr>
                <w:b/>
                <w:sz w:val="24"/>
                <w:szCs w:val="24"/>
              </w:rPr>
            </w:r>
          </w:p>
        </w:tc>
        <w:tc>
          <w:tcPr>
            <w:tcW w:w="1667" w:type="pct"/>
            <w:textDirection w:val="lrTb"/>
            <w:noWrap w:val="false"/>
          </w:tcPr>
          <w:p>
            <w:pPr>
              <w:jc w:val="both"/>
              <w:rPr>
                <w:b/>
                <w:sz w:val="24"/>
                <w:szCs w:val="24"/>
              </w:rPr>
            </w:pPr>
            <w:r>
              <w:rPr>
                <w:sz w:val="24"/>
                <w:szCs w:val="24"/>
              </w:rPr>
              <w:t xml:space="preserve">МП       /Аршакян А.Р./</w:t>
            </w:r>
            <w:r>
              <w:rPr>
                <w:b/>
                <w:sz w:val="24"/>
                <w:szCs w:val="24"/>
              </w:rPr>
            </w:r>
            <w:r>
              <w:rPr>
                <w:b/>
                <w:sz w:val="24"/>
                <w:szCs w:val="24"/>
              </w:rPr>
            </w:r>
          </w:p>
        </w:tc>
        <w:tc>
          <w:tcPr>
            <w:tcW w:w="1666" w:type="pct"/>
            <w:textDirection w:val="lrTb"/>
            <w:noWrap w:val="false"/>
          </w:tcPr>
          <w:p>
            <w:pPr>
              <w:jc w:val="both"/>
              <w:rPr>
                <w:b/>
                <w:sz w:val="24"/>
                <w:szCs w:val="24"/>
              </w:rPr>
            </w:pPr>
            <w:r>
              <w:rPr>
                <w:sz w:val="24"/>
                <w:szCs w:val="24"/>
              </w:rPr>
              <w:t xml:space="preserve">МП         /Чибис А.В./</w:t>
            </w:r>
            <w:r>
              <w:rPr>
                <w:b/>
                <w:sz w:val="24"/>
                <w:szCs w:val="24"/>
              </w:rPr>
            </w:r>
            <w:r>
              <w:rPr>
                <w:b/>
                <w:sz w:val="24"/>
                <w:szCs w:val="24"/>
              </w:rPr>
            </w:r>
          </w:p>
        </w:tc>
      </w:tr>
    </w:tbl>
    <w:p>
      <w:pPr>
        <w:ind w:firstLine="680"/>
        <w:jc w:val="both"/>
        <w:rPr>
          <w:sz w:val="24"/>
          <w:szCs w:val="24"/>
        </w:rPr>
      </w:pPr>
      <w:r>
        <w:rPr>
          <w:sz w:val="24"/>
          <w:szCs w:val="24"/>
        </w:rPr>
      </w:r>
      <w:r>
        <w:rPr>
          <w:sz w:val="24"/>
          <w:szCs w:val="24"/>
        </w:rPr>
      </w:r>
      <w:r>
        <w:rPr>
          <w:sz w:val="24"/>
          <w:szCs w:val="24"/>
        </w:rPr>
      </w:r>
    </w:p>
    <w:p>
      <w:pPr>
        <w:shd w:val="nil" w:color="auto"/>
        <w:rPr>
          <w:sz w:val="24"/>
          <w:szCs w:val="24"/>
        </w:rPr>
      </w:pPr>
      <w:r>
        <w:rPr>
          <w:sz w:val="24"/>
          <w:szCs w:val="24"/>
        </w:rPr>
        <w:br w:type="page" w:clear="all"/>
      </w:r>
      <w:r>
        <w:rPr>
          <w:sz w:val="24"/>
          <w:szCs w:val="24"/>
        </w:rPr>
      </w:r>
      <w:r>
        <w:rPr>
          <w:sz w:val="24"/>
          <w:szCs w:val="24"/>
        </w:rPr>
      </w:r>
    </w:p>
    <w:p>
      <w:pPr>
        <w:ind w:left="5528" w:right="0" w:firstLine="0"/>
        <w:jc w:val="both"/>
        <w:rPr>
          <w:sz w:val="24"/>
          <w:szCs w:val="24"/>
        </w:rPr>
      </w:pPr>
      <w:r>
        <w:rPr>
          <w:sz w:val="24"/>
          <w:szCs w:val="24"/>
        </w:rPr>
        <w:t xml:space="preserve">Приложение № 20</w:t>
      </w:r>
      <w:r>
        <w:rPr>
          <w:sz w:val="24"/>
          <w:szCs w:val="24"/>
        </w:rPr>
      </w:r>
      <w:r>
        <w:rPr>
          <w:sz w:val="24"/>
          <w:szCs w:val="24"/>
        </w:rPr>
      </w:r>
    </w:p>
    <w:p>
      <w:pPr>
        <w:ind w:left="5528" w:right="0" w:firstLine="0"/>
        <w:jc w:val="both"/>
        <w:rPr>
          <w:sz w:val="24"/>
          <w:szCs w:val="24"/>
        </w:rPr>
      </w:pPr>
      <w:r>
        <w:rPr>
          <w:sz w:val="24"/>
          <w:szCs w:val="24"/>
        </w:rPr>
        <w:t xml:space="preserve">к Концессионному соглашению</w:t>
      </w:r>
      <w:r>
        <w:rPr>
          <w:sz w:val="24"/>
          <w:szCs w:val="24"/>
        </w:rPr>
      </w:r>
      <w:r>
        <w:rPr>
          <w:sz w:val="24"/>
          <w:szCs w:val="24"/>
        </w:rPr>
      </w:r>
    </w:p>
    <w:p>
      <w:pPr>
        <w:ind w:left="5528" w:right="0" w:firstLine="0"/>
        <w:jc w:val="both"/>
        <w:rPr>
          <w:sz w:val="24"/>
          <w:szCs w:val="24"/>
        </w:rPr>
      </w:pPr>
      <w:r>
        <w:rPr>
          <w:sz w:val="24"/>
          <w:szCs w:val="24"/>
        </w:rPr>
        <w:t xml:space="preserve">от «__»______ 2024 года №______</w:t>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b/>
          <w:bCs/>
          <w:sz w:val="24"/>
          <w:szCs w:val="24"/>
        </w:rPr>
      </w:pPr>
      <w:r>
        <w:rPr>
          <w:b/>
          <w:bCs/>
          <w:sz w:val="24"/>
          <w:szCs w:val="24"/>
        </w:rPr>
        <w:t xml:space="preserve">Требования к банковской гарантии</w:t>
      </w:r>
      <w:r>
        <w:rPr>
          <w:b/>
          <w:bCs/>
          <w:sz w:val="24"/>
          <w:szCs w:val="24"/>
        </w:rPr>
      </w:r>
      <w:r>
        <w:rPr>
          <w:b/>
          <w:bCs/>
          <w:sz w:val="24"/>
          <w:szCs w:val="24"/>
        </w:rPr>
      </w:r>
    </w:p>
    <w:p>
      <w:pPr>
        <w:jc w:val="both"/>
        <w:rPr>
          <w:b/>
          <w:bCs/>
          <w:sz w:val="24"/>
          <w:szCs w:val="24"/>
        </w:rPr>
      </w:pPr>
      <w:r>
        <w:rPr>
          <w:b/>
          <w:bCs/>
          <w:sz w:val="24"/>
          <w:szCs w:val="24"/>
        </w:rPr>
      </w:r>
      <w:r>
        <w:rPr>
          <w:b/>
          <w:bCs/>
          <w:sz w:val="24"/>
          <w:szCs w:val="24"/>
        </w:rPr>
      </w:r>
      <w:r>
        <w:rPr>
          <w:b/>
          <w:bCs/>
          <w:sz w:val="24"/>
          <w:szCs w:val="24"/>
        </w:rPr>
      </w:r>
    </w:p>
    <w:tbl>
      <w:tblPr>
        <w:tblW w:w="9992" w:type="dxa"/>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8"/>
        <w:gridCol w:w="2551"/>
        <w:gridCol w:w="6833"/>
      </w:tblGrid>
      <w:tr>
        <w:tblPrEx/>
        <w:trPr/>
        <w:tc>
          <w:tcPr>
            <w:tcW w:w="608" w:type="dxa"/>
            <w:textDirection w:val="lrTb"/>
            <w:noWrap w:val="false"/>
          </w:tcPr>
          <w:p>
            <w:pPr>
              <w:numPr>
                <w:ilvl w:val="0"/>
                <w:numId w:val="32"/>
              </w:numPr>
              <w:contextualSpacing/>
              <w:ind w:left="426" w:hanging="284"/>
              <w:jc w:val="both"/>
              <w:tabs>
                <w:tab w:val="left" w:pos="1430" w:leader="none"/>
                <w:tab w:val="left" w:pos="5399" w:leader="none"/>
              </w:tabs>
              <w:rPr>
                <w:sz w:val="24"/>
                <w:szCs w:val="24"/>
              </w:rPr>
            </w:pPr>
            <w:r>
              <w:rPr>
                <w:sz w:val="24"/>
                <w:szCs w:val="24"/>
              </w:rPr>
            </w:r>
            <w:r>
              <w:rPr>
                <w:sz w:val="24"/>
                <w:szCs w:val="24"/>
              </w:rPr>
            </w:r>
            <w:r>
              <w:rPr>
                <w:sz w:val="24"/>
                <w:szCs w:val="24"/>
              </w:rPr>
            </w:r>
          </w:p>
        </w:tc>
        <w:tc>
          <w:tcPr>
            <w:tcW w:w="2551" w:type="dxa"/>
            <w:textDirection w:val="lrTb"/>
            <w:noWrap w:val="false"/>
          </w:tcPr>
          <w:p>
            <w:pPr>
              <w:contextualSpacing/>
              <w:jc w:val="center"/>
              <w:rPr>
                <w:sz w:val="24"/>
                <w:szCs w:val="24"/>
              </w:rPr>
            </w:pPr>
            <w:r>
              <w:rPr>
                <w:sz w:val="24"/>
                <w:szCs w:val="24"/>
              </w:rPr>
              <w:t xml:space="preserve">Вид Банковской гарантии</w:t>
            </w:r>
            <w:r>
              <w:rPr>
                <w:sz w:val="24"/>
                <w:szCs w:val="24"/>
              </w:rPr>
            </w:r>
            <w:r>
              <w:rPr>
                <w:sz w:val="24"/>
                <w:szCs w:val="24"/>
              </w:rPr>
            </w:r>
          </w:p>
        </w:tc>
        <w:tc>
          <w:tcPr>
            <w:tcW w:w="6833" w:type="dxa"/>
            <w:textDirection w:val="lrTb"/>
            <w:noWrap w:val="false"/>
          </w:tcPr>
          <w:p>
            <w:pPr>
              <w:contextualSpacing/>
              <w:jc w:val="center"/>
              <w:rPr>
                <w:sz w:val="24"/>
                <w:szCs w:val="24"/>
              </w:rPr>
            </w:pPr>
            <w:r>
              <w:rPr>
                <w:sz w:val="24"/>
                <w:szCs w:val="24"/>
              </w:rPr>
              <w:t xml:space="preserve">Безотзывная и непередаваемая Банковская гарантия</w:t>
            </w:r>
            <w:r>
              <w:rPr>
                <w:sz w:val="24"/>
                <w:szCs w:val="24"/>
              </w:rPr>
            </w:r>
            <w:r>
              <w:rPr>
                <w:sz w:val="24"/>
                <w:szCs w:val="24"/>
              </w:rPr>
            </w:r>
          </w:p>
        </w:tc>
      </w:tr>
      <w:tr>
        <w:tblPrEx/>
        <w:trPr/>
        <w:tc>
          <w:tcPr>
            <w:tcW w:w="608" w:type="dxa"/>
            <w:textDirection w:val="lrTb"/>
            <w:noWrap w:val="false"/>
          </w:tcPr>
          <w:p>
            <w:pPr>
              <w:numPr>
                <w:ilvl w:val="0"/>
                <w:numId w:val="32"/>
              </w:numPr>
              <w:contextualSpacing/>
              <w:ind w:left="426" w:hanging="284"/>
              <w:jc w:val="both"/>
              <w:tabs>
                <w:tab w:val="left" w:pos="1430" w:leader="none"/>
                <w:tab w:val="left" w:pos="5399" w:leader="none"/>
              </w:tabs>
              <w:rPr>
                <w:sz w:val="24"/>
                <w:szCs w:val="24"/>
              </w:rPr>
            </w:pPr>
            <w:r>
              <w:rPr>
                <w:sz w:val="24"/>
                <w:szCs w:val="24"/>
              </w:rPr>
            </w:r>
            <w:r>
              <w:rPr>
                <w:sz w:val="24"/>
                <w:szCs w:val="24"/>
              </w:rPr>
            </w:r>
            <w:r>
              <w:rPr>
                <w:sz w:val="24"/>
                <w:szCs w:val="24"/>
              </w:rPr>
            </w:r>
          </w:p>
        </w:tc>
        <w:tc>
          <w:tcPr>
            <w:tcW w:w="2551" w:type="dxa"/>
            <w:textDirection w:val="lrTb"/>
            <w:noWrap w:val="false"/>
          </w:tcPr>
          <w:p>
            <w:pPr>
              <w:contextualSpacing/>
              <w:jc w:val="both"/>
              <w:rPr>
                <w:sz w:val="24"/>
                <w:szCs w:val="24"/>
              </w:rPr>
            </w:pPr>
            <w:r>
              <w:rPr>
                <w:sz w:val="24"/>
                <w:szCs w:val="24"/>
              </w:rPr>
              <w:t xml:space="preserve">Требования к гаранту</w:t>
            </w:r>
            <w:r>
              <w:rPr>
                <w:sz w:val="24"/>
                <w:szCs w:val="24"/>
              </w:rPr>
            </w:r>
            <w:r>
              <w:rPr>
                <w:sz w:val="24"/>
                <w:szCs w:val="24"/>
              </w:rPr>
            </w:r>
          </w:p>
        </w:tc>
        <w:tc>
          <w:tcPr>
            <w:tcW w:w="6833" w:type="dxa"/>
            <w:textDirection w:val="lrTb"/>
            <w:noWrap w:val="false"/>
          </w:tcPr>
          <w:p>
            <w:pPr>
              <w:contextualSpacing/>
              <w:jc w:val="both"/>
              <w:rPr>
                <w:sz w:val="24"/>
                <w:szCs w:val="24"/>
              </w:rPr>
            </w:pPr>
            <w:r>
              <w:rPr>
                <w:sz w:val="24"/>
                <w:szCs w:val="24"/>
              </w:rPr>
              <w:t xml:space="preserve">Банковская гарантия должна быть выдана одной из следующих организаций:</w:t>
            </w:r>
            <w:r>
              <w:rPr>
                <w:sz w:val="24"/>
                <w:szCs w:val="24"/>
              </w:rPr>
            </w:r>
            <w:r>
              <w:rPr>
                <w:sz w:val="24"/>
                <w:szCs w:val="24"/>
              </w:rPr>
            </w:r>
          </w:p>
          <w:p>
            <w:pPr>
              <w:numPr>
                <w:ilvl w:val="0"/>
                <w:numId w:val="28"/>
              </w:numPr>
              <w:contextualSpacing/>
              <w:ind w:left="435" w:hanging="425"/>
              <w:jc w:val="both"/>
              <w:spacing w:line="259" w:lineRule="auto"/>
              <w:rPr>
                <w:sz w:val="24"/>
                <w:szCs w:val="24"/>
              </w:rPr>
            </w:pPr>
            <w:r>
              <w:rPr>
                <w:sz w:val="24"/>
                <w:szCs w:val="24"/>
              </w:rPr>
              <w:t xml:space="preserve">международная финансовая организация, созданная в соответствии с международными договорами, участником которых является Российская Федерация;</w:t>
            </w:r>
            <w:r>
              <w:rPr>
                <w:sz w:val="24"/>
                <w:szCs w:val="24"/>
              </w:rPr>
            </w:r>
            <w:r>
              <w:rPr>
                <w:sz w:val="24"/>
                <w:szCs w:val="24"/>
              </w:rPr>
            </w:r>
          </w:p>
          <w:p>
            <w:pPr>
              <w:numPr>
                <w:ilvl w:val="0"/>
                <w:numId w:val="28"/>
              </w:numPr>
              <w:contextualSpacing/>
              <w:ind w:left="435" w:hanging="425"/>
              <w:jc w:val="both"/>
              <w:spacing w:line="259" w:lineRule="auto"/>
              <w:rPr>
                <w:sz w:val="24"/>
                <w:szCs w:val="24"/>
              </w:rPr>
            </w:pPr>
            <w:r>
              <w:rPr>
                <w:sz w:val="24"/>
                <w:szCs w:val="24"/>
              </w:rPr>
              <w:t xml:space="preserve">международная финансовая организация, с которой Российская Федерация заключила международный договор;</w:t>
            </w:r>
            <w:r>
              <w:rPr>
                <w:sz w:val="24"/>
                <w:szCs w:val="24"/>
              </w:rPr>
            </w:r>
            <w:r>
              <w:rPr>
                <w:sz w:val="24"/>
                <w:szCs w:val="24"/>
              </w:rPr>
            </w:r>
          </w:p>
          <w:p>
            <w:pPr>
              <w:numPr>
                <w:ilvl w:val="0"/>
                <w:numId w:val="28"/>
              </w:numPr>
              <w:contextualSpacing/>
              <w:ind w:left="435" w:hanging="425"/>
              <w:jc w:val="both"/>
              <w:spacing w:line="259" w:lineRule="auto"/>
              <w:rPr>
                <w:sz w:val="24"/>
                <w:szCs w:val="24"/>
              </w:rPr>
            </w:pPr>
            <w:r>
              <w:rPr>
                <w:sz w:val="24"/>
                <w:szCs w:val="24"/>
              </w:rPr>
              <w:t xml:space="preserve">государственная корпорация «Банк развития и внешнеэкономической деятельности (Внешэкономбанк)»;</w:t>
            </w:r>
            <w:r>
              <w:rPr>
                <w:sz w:val="24"/>
                <w:szCs w:val="24"/>
              </w:rPr>
            </w:r>
            <w:r>
              <w:rPr>
                <w:sz w:val="24"/>
                <w:szCs w:val="24"/>
              </w:rPr>
            </w:r>
          </w:p>
          <w:p>
            <w:pPr>
              <w:numPr>
                <w:ilvl w:val="0"/>
                <w:numId w:val="28"/>
              </w:numPr>
              <w:contextualSpacing/>
              <w:ind w:left="435" w:hanging="425"/>
              <w:jc w:val="both"/>
              <w:spacing w:line="259" w:lineRule="auto"/>
              <w:rPr>
                <w:sz w:val="24"/>
                <w:szCs w:val="24"/>
              </w:rPr>
            </w:pPr>
            <w:r>
              <w:rPr>
                <w:sz w:val="24"/>
                <w:szCs w:val="24"/>
              </w:rPr>
              <w:t xml:space="preserve">российская кредитная организация, соответствующая следующим требованиям:</w:t>
            </w:r>
            <w:r>
              <w:rPr>
                <w:sz w:val="24"/>
                <w:szCs w:val="24"/>
              </w:rPr>
            </w:r>
            <w:r>
              <w:rPr>
                <w:sz w:val="24"/>
                <w:szCs w:val="24"/>
              </w:rPr>
            </w:r>
          </w:p>
          <w:p>
            <w:pPr>
              <w:numPr>
                <w:ilvl w:val="0"/>
                <w:numId w:val="29"/>
              </w:numPr>
              <w:contextualSpacing/>
              <w:ind w:left="1000" w:hanging="567"/>
              <w:jc w:val="both"/>
              <w:spacing w:line="259" w:lineRule="auto"/>
              <w:rPr>
                <w:sz w:val="24"/>
                <w:szCs w:val="24"/>
              </w:rPr>
            </w:pPr>
            <w:r>
              <w:rPr>
                <w:sz w:val="24"/>
                <w:szCs w:val="24"/>
              </w:rPr>
              <w:t xml:space="preserve">наличие генеральной лицензии Центрального банка Российской Федерации на осуществление банковских операций или соответствующей лицензии, выданной уполномоченными органами иностранных государств;</w:t>
            </w:r>
            <w:r>
              <w:rPr>
                <w:sz w:val="24"/>
                <w:szCs w:val="24"/>
              </w:rPr>
            </w:r>
            <w:r>
              <w:rPr>
                <w:sz w:val="24"/>
                <w:szCs w:val="24"/>
              </w:rPr>
            </w:r>
          </w:p>
          <w:p>
            <w:pPr>
              <w:numPr>
                <w:ilvl w:val="0"/>
                <w:numId w:val="29"/>
              </w:numPr>
              <w:contextualSpacing/>
              <w:ind w:left="1000" w:hanging="567"/>
              <w:jc w:val="both"/>
              <w:spacing w:line="259" w:lineRule="auto"/>
              <w:rPr>
                <w:sz w:val="24"/>
                <w:szCs w:val="24"/>
              </w:rPr>
            </w:pPr>
            <w:r>
              <w:rPr>
                <w:sz w:val="24"/>
                <w:szCs w:val="24"/>
              </w:rPr>
              <w:t xml:space="preserve">период де</w:t>
            </w:r>
            <w:r>
              <w:rPr>
                <w:sz w:val="24"/>
                <w:szCs w:val="24"/>
              </w:rPr>
              <w:t xml:space="preserve">ятельности составляет не менее 3 лет с даты государственной регистрации (при слиянии банков указанный срок рассчитывается как в отношении организации, имеющей более раннюю дату государственной регистрации, при преобразовании указанный срок не прерывается);</w:t>
            </w:r>
            <w:r>
              <w:rPr>
                <w:sz w:val="24"/>
                <w:szCs w:val="24"/>
              </w:rPr>
            </w:r>
            <w:r>
              <w:rPr>
                <w:sz w:val="24"/>
                <w:szCs w:val="24"/>
              </w:rPr>
            </w:r>
          </w:p>
          <w:p>
            <w:pPr>
              <w:numPr>
                <w:ilvl w:val="0"/>
                <w:numId w:val="29"/>
              </w:numPr>
              <w:contextualSpacing/>
              <w:ind w:left="1000" w:hanging="567"/>
              <w:jc w:val="both"/>
              <w:spacing w:line="259" w:lineRule="auto"/>
              <w:rPr>
                <w:sz w:val="24"/>
                <w:szCs w:val="24"/>
              </w:rPr>
            </w:pPr>
            <w:r>
              <w:rPr>
                <w:sz w:val="24"/>
                <w:szCs w:val="24"/>
              </w:rPr>
              <w:t xml:space="preserve">наличие у банка безусловно </w:t>
            </w:r>
            <w:r>
              <w:rPr>
                <w:sz w:val="24"/>
                <w:szCs w:val="24"/>
              </w:rPr>
              <w:t xml:space="preserve">положительного аудиторского заключения за прошедший год, в котором подтверждаются достоверность во всех существенных отношениях финансовой (бухгалтерской) отчетности и соответствие порядка ведения бухгалтерского учета законодательству Российской Федерации.</w:t>
            </w:r>
            <w:r>
              <w:rPr>
                <w:sz w:val="24"/>
                <w:szCs w:val="24"/>
              </w:rPr>
            </w:r>
            <w:r>
              <w:rPr>
                <w:sz w:val="24"/>
                <w:szCs w:val="24"/>
              </w:rPr>
            </w:r>
          </w:p>
          <w:p>
            <w:pPr>
              <w:numPr>
                <w:ilvl w:val="0"/>
                <w:numId w:val="29"/>
              </w:numPr>
              <w:contextualSpacing/>
              <w:ind w:left="1000" w:hanging="567"/>
              <w:jc w:val="both"/>
              <w:spacing w:line="259" w:lineRule="auto"/>
              <w:rPr>
                <w:sz w:val="24"/>
                <w:szCs w:val="24"/>
              </w:rPr>
            </w:pPr>
            <w:r>
              <w:rPr>
                <w:sz w:val="24"/>
                <w:szCs w:val="24"/>
              </w:rPr>
              <w:t xml:space="preserve">размер собственных средств (капитала) составляет не менее чем 20 млрд. рублей.</w:t>
            </w:r>
            <w:r>
              <w:rPr>
                <w:sz w:val="24"/>
                <w:szCs w:val="24"/>
              </w:rPr>
            </w:r>
            <w:r>
              <w:rPr>
                <w:sz w:val="24"/>
                <w:szCs w:val="24"/>
              </w:rPr>
            </w:r>
          </w:p>
        </w:tc>
      </w:tr>
      <w:tr>
        <w:tblPrEx/>
        <w:trPr>
          <w:trHeight w:val="589"/>
        </w:trPr>
        <w:tc>
          <w:tcPr>
            <w:tcW w:w="608" w:type="dxa"/>
            <w:textDirection w:val="lrTb"/>
            <w:noWrap w:val="false"/>
          </w:tcPr>
          <w:p>
            <w:pPr>
              <w:numPr>
                <w:ilvl w:val="0"/>
                <w:numId w:val="32"/>
              </w:numPr>
              <w:contextualSpacing/>
              <w:ind w:left="426" w:hanging="284"/>
              <w:jc w:val="both"/>
              <w:tabs>
                <w:tab w:val="left" w:pos="1430" w:leader="none"/>
                <w:tab w:val="left" w:pos="5399" w:leader="none"/>
              </w:tabs>
              <w:rPr>
                <w:sz w:val="24"/>
                <w:szCs w:val="24"/>
              </w:rPr>
            </w:pPr>
            <w:r>
              <w:rPr>
                <w:sz w:val="24"/>
                <w:szCs w:val="24"/>
              </w:rPr>
            </w:r>
            <w:r>
              <w:rPr>
                <w:sz w:val="24"/>
                <w:szCs w:val="24"/>
              </w:rPr>
            </w:r>
            <w:r>
              <w:rPr>
                <w:sz w:val="24"/>
                <w:szCs w:val="24"/>
              </w:rPr>
            </w:r>
          </w:p>
        </w:tc>
        <w:tc>
          <w:tcPr>
            <w:tcW w:w="2551" w:type="dxa"/>
            <w:textDirection w:val="lrTb"/>
            <w:noWrap w:val="false"/>
          </w:tcPr>
          <w:p>
            <w:pPr>
              <w:contextualSpacing/>
              <w:jc w:val="both"/>
              <w:rPr>
                <w:sz w:val="24"/>
                <w:szCs w:val="24"/>
              </w:rPr>
            </w:pPr>
            <w:r>
              <w:rPr>
                <w:sz w:val="24"/>
                <w:szCs w:val="24"/>
              </w:rPr>
              <w:t xml:space="preserve">Срок, на который выдается Банковская гарантия</w:t>
            </w:r>
            <w:r>
              <w:rPr>
                <w:sz w:val="24"/>
                <w:szCs w:val="24"/>
              </w:rPr>
            </w:r>
            <w:r>
              <w:rPr>
                <w:sz w:val="24"/>
                <w:szCs w:val="24"/>
              </w:rPr>
            </w:r>
          </w:p>
        </w:tc>
        <w:tc>
          <w:tcPr>
            <w:tcW w:w="6833" w:type="dxa"/>
            <w:textDirection w:val="lrTb"/>
            <w:noWrap w:val="false"/>
          </w:tcPr>
          <w:p>
            <w:pPr>
              <w:contextualSpacing/>
              <w:jc w:val="both"/>
              <w:rPr>
                <w:sz w:val="24"/>
                <w:szCs w:val="24"/>
              </w:rPr>
            </w:pPr>
            <w:r>
              <w:rPr>
                <w:sz w:val="24"/>
                <w:szCs w:val="24"/>
              </w:rPr>
              <w:t xml:space="preserve">Банковская гарантия выдается сроком на 1 (один) год. Банковская гарантия подлежит ежегодной замене или продлению в течение срока действия Концессионного соглашения.</w:t>
            </w:r>
            <w:r>
              <w:rPr>
                <w:sz w:val="24"/>
                <w:szCs w:val="24"/>
              </w:rPr>
            </w:r>
            <w:r>
              <w:rPr>
                <w:sz w:val="24"/>
                <w:szCs w:val="24"/>
              </w:rPr>
            </w:r>
          </w:p>
        </w:tc>
      </w:tr>
      <w:tr>
        <w:tblPrEx/>
        <w:trPr/>
        <w:tc>
          <w:tcPr>
            <w:tcW w:w="608" w:type="dxa"/>
            <w:textDirection w:val="lrTb"/>
            <w:noWrap w:val="false"/>
          </w:tcPr>
          <w:p>
            <w:pPr>
              <w:numPr>
                <w:ilvl w:val="0"/>
                <w:numId w:val="32"/>
              </w:numPr>
              <w:contextualSpacing/>
              <w:ind w:left="426" w:hanging="284"/>
              <w:jc w:val="both"/>
              <w:tabs>
                <w:tab w:val="left" w:pos="1430" w:leader="none"/>
                <w:tab w:val="left" w:pos="5399" w:leader="none"/>
              </w:tabs>
              <w:rPr>
                <w:sz w:val="24"/>
                <w:szCs w:val="24"/>
              </w:rPr>
            </w:pPr>
            <w:r>
              <w:rPr>
                <w:sz w:val="24"/>
                <w:szCs w:val="24"/>
              </w:rPr>
            </w:r>
            <w:r>
              <w:rPr>
                <w:sz w:val="24"/>
                <w:szCs w:val="24"/>
              </w:rPr>
            </w:r>
            <w:r>
              <w:rPr>
                <w:sz w:val="24"/>
                <w:szCs w:val="24"/>
              </w:rPr>
            </w:r>
          </w:p>
        </w:tc>
        <w:tc>
          <w:tcPr>
            <w:tcW w:w="2551" w:type="dxa"/>
            <w:textDirection w:val="lrTb"/>
            <w:noWrap w:val="false"/>
          </w:tcPr>
          <w:p>
            <w:pPr>
              <w:contextualSpacing/>
              <w:jc w:val="both"/>
              <w:rPr>
                <w:sz w:val="24"/>
                <w:szCs w:val="24"/>
              </w:rPr>
            </w:pPr>
            <w:r>
              <w:rPr>
                <w:sz w:val="24"/>
                <w:szCs w:val="24"/>
              </w:rPr>
              <w:t xml:space="preserve">Срок исполнения гарантом требования Концедента об уплате денежной суммы по Банковской гарантии</w:t>
            </w:r>
            <w:r>
              <w:rPr>
                <w:sz w:val="24"/>
                <w:szCs w:val="24"/>
              </w:rPr>
            </w:r>
            <w:r>
              <w:rPr>
                <w:sz w:val="24"/>
                <w:szCs w:val="24"/>
              </w:rPr>
            </w:r>
          </w:p>
        </w:tc>
        <w:tc>
          <w:tcPr>
            <w:tcW w:w="6833" w:type="dxa"/>
            <w:textDirection w:val="lrTb"/>
            <w:noWrap w:val="false"/>
          </w:tcPr>
          <w:p>
            <w:pPr>
              <w:contextualSpacing/>
              <w:jc w:val="both"/>
              <w:rPr>
                <w:sz w:val="24"/>
                <w:szCs w:val="24"/>
              </w:rPr>
            </w:pPr>
            <w:r>
              <w:rPr>
                <w:sz w:val="24"/>
                <w:szCs w:val="24"/>
                <w:shd w:val="clear" w:color="auto" w:fill="ffffff"/>
              </w:rPr>
              <w:t xml:space="preserve">В течение 30 (тридцати) календарных дней с момента получения гарантом от Концедента соответствующего требования </w:t>
            </w:r>
            <w:r>
              <w:rPr>
                <w:sz w:val="24"/>
                <w:szCs w:val="24"/>
              </w:rPr>
              <w:t xml:space="preserve">об уплате денежной суммы по Банковской гарантии, </w:t>
            </w:r>
            <w:r>
              <w:rPr>
                <w:sz w:val="24"/>
                <w:szCs w:val="24"/>
                <w:shd w:val="clear" w:color="auto" w:fill="ffffff"/>
              </w:rPr>
              <w:t xml:space="preserve">содержащее расчёт суммы требования, подписанное уполномоченным лицом Концедента, с указанием обстоятельства, наступление которого повлекло выплату по Банковской гарантии,</w:t>
            </w:r>
            <w:r>
              <w:rPr>
                <w:sz w:val="24"/>
                <w:szCs w:val="24"/>
              </w:rPr>
              <w:t xml:space="preserve"> и</w:t>
            </w:r>
            <w:r>
              <w:rPr>
                <w:sz w:val="24"/>
                <w:szCs w:val="24"/>
                <w:shd w:val="clear" w:color="auto" w:fill="ffffff"/>
              </w:rPr>
              <w:t xml:space="preserve"> приложенных к требованию </w:t>
            </w:r>
            <w:r>
              <w:rPr>
                <w:sz w:val="24"/>
                <w:szCs w:val="24"/>
                <w:shd w:val="clear" w:color="auto" w:fill="ffffff"/>
              </w:rPr>
              <w:t xml:space="preserve">документов.</w:t>
            </w:r>
            <w:r>
              <w:rPr>
                <w:sz w:val="24"/>
                <w:szCs w:val="24"/>
              </w:rPr>
            </w:r>
            <w:r>
              <w:rPr>
                <w:sz w:val="24"/>
                <w:szCs w:val="24"/>
              </w:rPr>
            </w:r>
          </w:p>
          <w:p>
            <w:pPr>
              <w:contextualSpacing/>
              <w:jc w:val="both"/>
              <w:rPr>
                <w:sz w:val="24"/>
                <w:szCs w:val="24"/>
              </w:rPr>
            </w:pPr>
            <w:r>
              <w:rPr>
                <w:sz w:val="24"/>
                <w:szCs w:val="24"/>
                <w:shd w:val="clear" w:color="auto" w:fill="ffffff"/>
              </w:rPr>
              <w:t xml:space="preserve">Гарант вправе отказать Концеденту в удовлетворении требования, если имеется одно из нижеследующих оснований:</w:t>
            </w:r>
            <w:r>
              <w:rPr>
                <w:sz w:val="24"/>
                <w:szCs w:val="24"/>
              </w:rPr>
            </w:r>
            <w:r>
              <w:rPr>
                <w:sz w:val="24"/>
                <w:szCs w:val="24"/>
              </w:rPr>
            </w:r>
          </w:p>
          <w:p>
            <w:pPr>
              <w:numPr>
                <w:ilvl w:val="0"/>
                <w:numId w:val="28"/>
              </w:numPr>
              <w:contextualSpacing/>
              <w:ind w:left="316" w:hanging="282"/>
              <w:jc w:val="both"/>
              <w:rPr>
                <w:sz w:val="24"/>
                <w:szCs w:val="24"/>
              </w:rPr>
            </w:pPr>
            <w:r>
              <w:rPr>
                <w:sz w:val="24"/>
                <w:szCs w:val="24"/>
              </w:rPr>
              <w:t xml:space="preserve">требование и/или приложенные к нему документы не соответствуют условиям Банковской гарантии:</w:t>
            </w:r>
            <w:r>
              <w:rPr>
                <w:sz w:val="24"/>
                <w:szCs w:val="24"/>
              </w:rPr>
            </w:r>
            <w:r>
              <w:rPr>
                <w:sz w:val="24"/>
                <w:szCs w:val="24"/>
              </w:rPr>
            </w:r>
          </w:p>
          <w:p>
            <w:pPr>
              <w:numPr>
                <w:ilvl w:val="0"/>
                <w:numId w:val="28"/>
              </w:numPr>
              <w:contextualSpacing/>
              <w:ind w:left="316" w:hanging="282"/>
              <w:jc w:val="both"/>
              <w:rPr>
                <w:sz w:val="24"/>
                <w:szCs w:val="24"/>
              </w:rPr>
            </w:pPr>
            <w:r>
              <w:rPr>
                <w:sz w:val="24"/>
                <w:szCs w:val="24"/>
              </w:rPr>
              <w:t xml:space="preserve">требование и/или приложенные к нему документы предоставлены гаранту по окончании срока действия Банковской гарантии.</w:t>
            </w:r>
            <w:r>
              <w:rPr>
                <w:sz w:val="24"/>
                <w:szCs w:val="24"/>
              </w:rPr>
            </w:r>
            <w:r>
              <w:rPr>
                <w:sz w:val="24"/>
                <w:szCs w:val="24"/>
              </w:rPr>
            </w:r>
          </w:p>
          <w:p>
            <w:pPr>
              <w:contextualSpacing/>
              <w:ind w:left="34"/>
              <w:jc w:val="both"/>
              <w:rPr>
                <w:sz w:val="24"/>
                <w:szCs w:val="24"/>
              </w:rPr>
            </w:pPr>
            <w:r>
              <w:rPr>
                <w:sz w:val="24"/>
                <w:szCs w:val="24"/>
              </w:rPr>
              <w:t xml:space="preserve">Гарант вправе приостановить платеж на срок до 7 (семи) дней, если он имеет разумные основания полагать, что:</w:t>
            </w:r>
            <w:r>
              <w:rPr>
                <w:sz w:val="24"/>
                <w:szCs w:val="24"/>
              </w:rPr>
            </w:r>
            <w:r>
              <w:rPr>
                <w:sz w:val="24"/>
                <w:szCs w:val="24"/>
              </w:rPr>
            </w:r>
          </w:p>
          <w:p>
            <w:pPr>
              <w:contextualSpacing/>
              <w:jc w:val="both"/>
              <w:rPr>
                <w:sz w:val="24"/>
                <w:szCs w:val="24"/>
              </w:rPr>
            </w:pPr>
            <w:r>
              <w:rPr>
                <w:sz w:val="24"/>
                <w:szCs w:val="24"/>
              </w:rPr>
            </w:r>
            <w:r>
              <w:rPr>
                <w:sz w:val="24"/>
                <w:szCs w:val="24"/>
              </w:rPr>
            </w:r>
            <w:r>
              <w:rPr>
                <w:sz w:val="24"/>
                <w:szCs w:val="24"/>
              </w:rPr>
            </w:r>
          </w:p>
          <w:p>
            <w:pPr>
              <w:numPr>
                <w:ilvl w:val="0"/>
                <w:numId w:val="28"/>
              </w:numPr>
              <w:contextualSpacing/>
              <w:ind w:left="316" w:hanging="282"/>
              <w:jc w:val="both"/>
              <w:rPr>
                <w:sz w:val="24"/>
                <w:szCs w:val="24"/>
              </w:rPr>
            </w:pPr>
            <w:r>
              <w:rPr>
                <w:sz w:val="24"/>
                <w:szCs w:val="24"/>
              </w:rPr>
              <w:t xml:space="preserve">какой-либо из предоставленных гаранту документов является недостоверным;</w:t>
            </w:r>
            <w:r>
              <w:rPr>
                <w:sz w:val="24"/>
                <w:szCs w:val="24"/>
              </w:rPr>
            </w:r>
            <w:r>
              <w:rPr>
                <w:sz w:val="24"/>
                <w:szCs w:val="24"/>
              </w:rPr>
            </w:r>
          </w:p>
          <w:p>
            <w:pPr>
              <w:numPr>
                <w:ilvl w:val="0"/>
                <w:numId w:val="28"/>
              </w:numPr>
              <w:contextualSpacing/>
              <w:ind w:left="316" w:hanging="282"/>
              <w:jc w:val="both"/>
              <w:rPr>
                <w:sz w:val="24"/>
                <w:szCs w:val="24"/>
              </w:rPr>
            </w:pPr>
            <w:r>
              <w:rPr>
                <w:sz w:val="24"/>
                <w:szCs w:val="24"/>
              </w:rPr>
              <w:t xml:space="preserve">обстоятельство, на случай возникновения которого выдана Банковская гарантия, не возникло;</w:t>
            </w:r>
            <w:r>
              <w:rPr>
                <w:sz w:val="24"/>
                <w:szCs w:val="24"/>
              </w:rPr>
            </w:r>
            <w:r>
              <w:rPr>
                <w:sz w:val="24"/>
                <w:szCs w:val="24"/>
              </w:rPr>
            </w:r>
          </w:p>
          <w:p>
            <w:pPr>
              <w:numPr>
                <w:ilvl w:val="0"/>
                <w:numId w:val="28"/>
              </w:numPr>
              <w:contextualSpacing/>
              <w:ind w:left="316" w:hanging="282"/>
              <w:jc w:val="both"/>
              <w:rPr>
                <w:sz w:val="24"/>
                <w:szCs w:val="24"/>
              </w:rPr>
            </w:pPr>
            <w:r>
              <w:rPr>
                <w:sz w:val="24"/>
                <w:szCs w:val="24"/>
              </w:rPr>
              <w:t xml:space="preserve">обязательство Концессионера, в обеспечение которого предоставлена Банковская гарантия, недействительно;</w:t>
            </w:r>
            <w:r>
              <w:rPr>
                <w:sz w:val="24"/>
                <w:szCs w:val="24"/>
              </w:rPr>
            </w:r>
            <w:r>
              <w:rPr>
                <w:sz w:val="24"/>
                <w:szCs w:val="24"/>
              </w:rPr>
            </w:r>
          </w:p>
          <w:p>
            <w:pPr>
              <w:numPr>
                <w:ilvl w:val="0"/>
                <w:numId w:val="28"/>
              </w:numPr>
              <w:contextualSpacing/>
              <w:ind w:left="316" w:hanging="282"/>
              <w:jc w:val="both"/>
              <w:rPr>
                <w:sz w:val="24"/>
                <w:szCs w:val="24"/>
              </w:rPr>
            </w:pPr>
            <w:r>
              <w:rPr>
                <w:sz w:val="24"/>
                <w:szCs w:val="24"/>
              </w:rPr>
              <w:t xml:space="preserve">исполнение по основному обязательству Концессионера принято Бенефициаром без каких-либо возражений.</w:t>
            </w:r>
            <w:r>
              <w:rPr>
                <w:sz w:val="24"/>
                <w:szCs w:val="24"/>
              </w:rPr>
            </w:r>
            <w:r>
              <w:rPr>
                <w:sz w:val="24"/>
                <w:szCs w:val="24"/>
              </w:rPr>
            </w:r>
          </w:p>
        </w:tc>
      </w:tr>
      <w:tr>
        <w:tblPrEx/>
        <w:trPr/>
        <w:tc>
          <w:tcPr>
            <w:tcW w:w="608" w:type="dxa"/>
            <w:textDirection w:val="lrTb"/>
            <w:noWrap w:val="false"/>
          </w:tcPr>
          <w:p>
            <w:pPr>
              <w:numPr>
                <w:ilvl w:val="0"/>
                <w:numId w:val="32"/>
              </w:numPr>
              <w:contextualSpacing/>
              <w:ind w:left="426" w:hanging="284"/>
              <w:jc w:val="both"/>
              <w:tabs>
                <w:tab w:val="left" w:pos="1430" w:leader="none"/>
                <w:tab w:val="left" w:pos="5399" w:leader="none"/>
              </w:tabs>
              <w:rPr>
                <w:sz w:val="24"/>
                <w:szCs w:val="24"/>
              </w:rPr>
            </w:pPr>
            <w:r>
              <w:rPr>
                <w:sz w:val="24"/>
                <w:szCs w:val="24"/>
              </w:rPr>
            </w:r>
            <w:r>
              <w:rPr>
                <w:sz w:val="24"/>
                <w:szCs w:val="24"/>
              </w:rPr>
            </w:r>
            <w:r>
              <w:rPr>
                <w:sz w:val="24"/>
                <w:szCs w:val="24"/>
              </w:rPr>
            </w:r>
          </w:p>
        </w:tc>
        <w:tc>
          <w:tcPr>
            <w:tcW w:w="2551" w:type="dxa"/>
            <w:textDirection w:val="lrTb"/>
            <w:noWrap w:val="false"/>
          </w:tcPr>
          <w:p>
            <w:pPr>
              <w:contextualSpacing/>
              <w:jc w:val="both"/>
              <w:rPr>
                <w:sz w:val="24"/>
                <w:szCs w:val="24"/>
              </w:rPr>
            </w:pPr>
            <w:r>
              <w:rPr>
                <w:sz w:val="24"/>
                <w:szCs w:val="24"/>
              </w:rPr>
              <w:t xml:space="preserve">Перечень документов, которые Концедент направляет гаранту вместе с требованием об уплате денежной суммы по Банковской гарантии</w:t>
            </w:r>
            <w:r>
              <w:rPr>
                <w:sz w:val="24"/>
                <w:szCs w:val="24"/>
              </w:rPr>
            </w:r>
            <w:r>
              <w:rPr>
                <w:sz w:val="24"/>
                <w:szCs w:val="24"/>
              </w:rPr>
            </w:r>
          </w:p>
        </w:tc>
        <w:tc>
          <w:tcPr>
            <w:tcW w:w="6833" w:type="dxa"/>
            <w:textDirection w:val="lrTb"/>
            <w:noWrap w:val="false"/>
          </w:tcPr>
          <w:p>
            <w:pPr>
              <w:contextualSpacing/>
              <w:jc w:val="both"/>
              <w:rPr>
                <w:sz w:val="24"/>
                <w:szCs w:val="24"/>
              </w:rPr>
            </w:pPr>
            <w:r>
              <w:rPr>
                <w:sz w:val="24"/>
                <w:szCs w:val="24"/>
              </w:rPr>
              <w:t xml:space="preserve">Вместе с требованием об уплате денежной суммы по Банковской гарантии Концедент представляет гаранту: </w:t>
            </w:r>
            <w:r>
              <w:rPr>
                <w:sz w:val="24"/>
                <w:szCs w:val="24"/>
              </w:rPr>
            </w:r>
            <w:r>
              <w:rPr>
                <w:sz w:val="24"/>
                <w:szCs w:val="24"/>
              </w:rPr>
            </w:r>
          </w:p>
          <w:p>
            <w:pPr>
              <w:numPr>
                <w:ilvl w:val="0"/>
                <w:numId w:val="30"/>
              </w:numPr>
              <w:contextualSpacing/>
              <w:ind w:left="403"/>
              <w:jc w:val="both"/>
              <w:spacing w:line="259" w:lineRule="auto"/>
              <w:rPr>
                <w:sz w:val="24"/>
                <w:szCs w:val="24"/>
              </w:rPr>
            </w:pPr>
            <w:r>
              <w:rPr>
                <w:sz w:val="24"/>
                <w:szCs w:val="24"/>
                <w:shd w:val="clear" w:color="auto" w:fill="ffffff"/>
              </w:rPr>
              <w:t xml:space="preserve">Концессионное соглашение, а также дополнительные соглашения к Концессионному соглашению (включая дополнительные соглашения, которые были заключены со дня выдачи Банковской гарантии по день п</w:t>
            </w:r>
            <w:r>
              <w:rPr>
                <w:sz w:val="24"/>
                <w:szCs w:val="24"/>
                <w:shd w:val="clear" w:color="auto" w:fill="ffffff"/>
              </w:rPr>
              <w:t xml:space="preserve">редъявления требования гаранту), в соответствии с которым Концессионер должен был исполнить обязательство, которое не исполнено им полностью или в части, при условии, что срок исполнения такого обязательства на основании Концессионного соглашения наступил;</w:t>
            </w:r>
            <w:r>
              <w:rPr>
                <w:sz w:val="24"/>
                <w:szCs w:val="24"/>
              </w:rPr>
            </w:r>
            <w:r>
              <w:rPr>
                <w:sz w:val="24"/>
                <w:szCs w:val="24"/>
              </w:rPr>
            </w:r>
          </w:p>
          <w:p>
            <w:pPr>
              <w:numPr>
                <w:ilvl w:val="0"/>
                <w:numId w:val="30"/>
              </w:numPr>
              <w:contextualSpacing/>
              <w:ind w:left="403"/>
              <w:jc w:val="both"/>
              <w:spacing w:line="259" w:lineRule="auto"/>
              <w:rPr>
                <w:sz w:val="24"/>
                <w:szCs w:val="24"/>
              </w:rPr>
            </w:pPr>
            <w:r>
              <w:rPr>
                <w:sz w:val="24"/>
                <w:szCs w:val="24"/>
                <w:shd w:val="clear" w:color="auto" w:fill="ffffff"/>
              </w:rPr>
              <w:t xml:space="preserve">документы, подтверждающие исполнение Концедентом своих встречных обязательств, исполнение которых является основанием для исполнения обязательств Концессионера по Концессионному соглашению, не исполнены или исполнены не в полном объёме;</w:t>
            </w:r>
            <w:r>
              <w:rPr>
                <w:sz w:val="24"/>
                <w:szCs w:val="24"/>
              </w:rPr>
            </w:r>
            <w:r>
              <w:rPr>
                <w:sz w:val="24"/>
                <w:szCs w:val="24"/>
              </w:rPr>
            </w:r>
          </w:p>
          <w:p>
            <w:pPr>
              <w:numPr>
                <w:ilvl w:val="0"/>
                <w:numId w:val="30"/>
              </w:numPr>
              <w:contextualSpacing/>
              <w:ind w:left="403"/>
              <w:jc w:val="both"/>
              <w:spacing w:line="259" w:lineRule="auto"/>
              <w:rPr>
                <w:sz w:val="24"/>
                <w:szCs w:val="24"/>
              </w:rPr>
            </w:pPr>
            <w:r>
              <w:rPr>
                <w:sz w:val="24"/>
                <w:szCs w:val="24"/>
                <w:shd w:val="clear" w:color="auto" w:fill="ffffff"/>
              </w:rPr>
              <w:t xml:space="preserve">документ, подтверждающий предъявление Концедентом требования Концессионеру об исполнении обязательств по Концессионному соглашению;</w:t>
            </w:r>
            <w:r>
              <w:rPr>
                <w:sz w:val="24"/>
                <w:szCs w:val="24"/>
              </w:rPr>
            </w:r>
            <w:r>
              <w:rPr>
                <w:sz w:val="24"/>
                <w:szCs w:val="24"/>
              </w:rPr>
            </w:r>
          </w:p>
          <w:p>
            <w:pPr>
              <w:numPr>
                <w:ilvl w:val="0"/>
                <w:numId w:val="30"/>
              </w:numPr>
              <w:contextualSpacing/>
              <w:ind w:left="403"/>
              <w:jc w:val="both"/>
              <w:spacing w:line="259" w:lineRule="auto"/>
              <w:rPr>
                <w:sz w:val="24"/>
                <w:szCs w:val="24"/>
              </w:rPr>
            </w:pPr>
            <w:r>
              <w:rPr>
                <w:sz w:val="24"/>
                <w:szCs w:val="24"/>
                <w:shd w:val="clear" w:color="auto" w:fill="ffffff"/>
              </w:rPr>
              <w:t xml:space="preserve">документы, подтверждающие исполнение обязательств Концессионером по Концессионному соглашению (при условии исполнения обязательств полностью либо частично);</w:t>
            </w:r>
            <w:r>
              <w:rPr>
                <w:sz w:val="24"/>
                <w:szCs w:val="24"/>
              </w:rPr>
            </w:r>
            <w:r>
              <w:rPr>
                <w:sz w:val="24"/>
                <w:szCs w:val="24"/>
              </w:rPr>
            </w:r>
          </w:p>
          <w:p>
            <w:pPr>
              <w:numPr>
                <w:ilvl w:val="0"/>
                <w:numId w:val="30"/>
              </w:numPr>
              <w:contextualSpacing/>
              <w:ind w:left="403"/>
              <w:jc w:val="both"/>
              <w:spacing w:line="259" w:lineRule="auto"/>
              <w:rPr>
                <w:sz w:val="24"/>
                <w:szCs w:val="24"/>
              </w:rPr>
            </w:pPr>
            <w:r>
              <w:rPr>
                <w:sz w:val="24"/>
                <w:szCs w:val="24"/>
                <w:shd w:val="clear" w:color="auto" w:fill="ffffff"/>
              </w:rPr>
              <w:t xml:space="preserve">расчет штрафных санкций и (или) неустоек, подлежащих взысканию с Концессионера (если требование предъявляется, в том числе, и об их уплате);</w:t>
            </w:r>
            <w:r>
              <w:rPr>
                <w:sz w:val="24"/>
                <w:szCs w:val="24"/>
                <w:shd w:val="clear" w:color="auto" w:fill="ffffff"/>
              </w:rPr>
              <w:tab/>
            </w:r>
            <w:r>
              <w:rPr>
                <w:sz w:val="24"/>
                <w:szCs w:val="24"/>
              </w:rPr>
            </w:r>
            <w:r>
              <w:rPr>
                <w:sz w:val="24"/>
                <w:szCs w:val="24"/>
              </w:rPr>
            </w:r>
          </w:p>
          <w:p>
            <w:pPr>
              <w:numPr>
                <w:ilvl w:val="0"/>
                <w:numId w:val="30"/>
              </w:numPr>
              <w:contextualSpacing/>
              <w:ind w:left="403"/>
              <w:jc w:val="both"/>
              <w:spacing w:line="259" w:lineRule="auto"/>
              <w:rPr>
                <w:sz w:val="24"/>
                <w:szCs w:val="24"/>
              </w:rPr>
            </w:pPr>
            <w:r>
              <w:rPr>
                <w:sz w:val="24"/>
                <w:szCs w:val="24"/>
                <w:shd w:val="clear" w:color="auto" w:fill="ffffff"/>
              </w:rPr>
              <w:t xml:space="preserve">оригинал Банковской гарантии, а в случае предъявления требования в размере частичного неисполнения обязательств по Банковской гарантии – копия Банковской гарантии;</w:t>
            </w:r>
            <w:r>
              <w:rPr>
                <w:sz w:val="24"/>
                <w:szCs w:val="24"/>
              </w:rPr>
            </w:r>
            <w:r>
              <w:rPr>
                <w:sz w:val="24"/>
                <w:szCs w:val="24"/>
              </w:rPr>
            </w:r>
          </w:p>
          <w:p>
            <w:pPr>
              <w:numPr>
                <w:ilvl w:val="0"/>
                <w:numId w:val="30"/>
              </w:numPr>
              <w:contextualSpacing/>
              <w:ind w:left="403"/>
              <w:jc w:val="both"/>
              <w:spacing w:line="259" w:lineRule="auto"/>
              <w:rPr>
                <w:sz w:val="24"/>
                <w:szCs w:val="24"/>
              </w:rPr>
            </w:pPr>
            <w:r>
              <w:rPr>
                <w:sz w:val="24"/>
                <w:szCs w:val="24"/>
                <w:shd w:val="clear" w:color="auto" w:fill="ffffff"/>
              </w:rPr>
              <w:t xml:space="preserve">доверенность или иной документ, подтверждающий </w:t>
            </w:r>
            <w:r>
              <w:rPr>
                <w:sz w:val="24"/>
                <w:szCs w:val="24"/>
                <w:shd w:val="clear" w:color="auto" w:fill="ffffff"/>
              </w:rPr>
              <w:t xml:space="preserve">полномочия лица, подписавшего требование, а также осуществившего удостоверение документов, предоставленных гаранту.</w:t>
            </w:r>
            <w:r>
              <w:rPr>
                <w:sz w:val="24"/>
                <w:szCs w:val="24"/>
              </w:rPr>
            </w:r>
            <w:r>
              <w:rPr>
                <w:sz w:val="24"/>
                <w:szCs w:val="24"/>
              </w:rPr>
            </w:r>
          </w:p>
        </w:tc>
      </w:tr>
      <w:tr>
        <w:tblPrEx/>
        <w:trPr/>
        <w:tc>
          <w:tcPr>
            <w:tcW w:w="608" w:type="dxa"/>
            <w:textDirection w:val="lrTb"/>
            <w:noWrap w:val="false"/>
          </w:tcPr>
          <w:p>
            <w:pPr>
              <w:numPr>
                <w:ilvl w:val="0"/>
                <w:numId w:val="32"/>
              </w:numPr>
              <w:contextualSpacing/>
              <w:ind w:left="426" w:hanging="284"/>
              <w:jc w:val="both"/>
              <w:tabs>
                <w:tab w:val="left" w:pos="1430" w:leader="none"/>
                <w:tab w:val="left" w:pos="5399" w:leader="none"/>
              </w:tabs>
              <w:rPr>
                <w:sz w:val="24"/>
                <w:szCs w:val="24"/>
              </w:rPr>
            </w:pPr>
            <w:r>
              <w:rPr>
                <w:sz w:val="24"/>
                <w:szCs w:val="24"/>
              </w:rPr>
            </w:r>
            <w:r>
              <w:rPr>
                <w:sz w:val="24"/>
                <w:szCs w:val="24"/>
              </w:rPr>
            </w:r>
            <w:r>
              <w:rPr>
                <w:sz w:val="24"/>
                <w:szCs w:val="24"/>
              </w:rPr>
            </w:r>
          </w:p>
        </w:tc>
        <w:tc>
          <w:tcPr>
            <w:tcW w:w="2551" w:type="dxa"/>
            <w:textDirection w:val="lrTb"/>
            <w:noWrap w:val="false"/>
          </w:tcPr>
          <w:p>
            <w:pPr>
              <w:contextualSpacing/>
              <w:jc w:val="both"/>
              <w:rPr>
                <w:sz w:val="24"/>
                <w:szCs w:val="24"/>
              </w:rPr>
            </w:pPr>
            <w:r>
              <w:rPr>
                <w:sz w:val="24"/>
                <w:szCs w:val="24"/>
              </w:rPr>
              <w:t xml:space="preserve">Порядок признания обязательств гаранта по Банковской гарантии надлежаще исполненными</w:t>
            </w:r>
            <w:r>
              <w:rPr>
                <w:sz w:val="24"/>
                <w:szCs w:val="24"/>
              </w:rPr>
            </w:r>
            <w:r>
              <w:rPr>
                <w:sz w:val="24"/>
                <w:szCs w:val="24"/>
              </w:rPr>
            </w:r>
          </w:p>
        </w:tc>
        <w:tc>
          <w:tcPr>
            <w:tcW w:w="6833" w:type="dxa"/>
            <w:textDirection w:val="lrTb"/>
            <w:noWrap w:val="false"/>
          </w:tcPr>
          <w:p>
            <w:pPr>
              <w:contextualSpacing/>
              <w:jc w:val="both"/>
              <w:rPr>
                <w:sz w:val="24"/>
                <w:szCs w:val="24"/>
              </w:rPr>
            </w:pPr>
            <w:r>
              <w:rPr>
                <w:sz w:val="24"/>
                <w:szCs w:val="24"/>
                <w:shd w:val="clear" w:color="auto" w:fill="ffffff"/>
              </w:rPr>
              <w:t xml:space="preserve">Обязательство гаранта перед Концедентом по Банковской гарантии прекращается:</w:t>
            </w:r>
            <w:r>
              <w:rPr>
                <w:sz w:val="24"/>
                <w:szCs w:val="24"/>
              </w:rPr>
            </w:r>
            <w:r>
              <w:rPr>
                <w:sz w:val="24"/>
                <w:szCs w:val="24"/>
              </w:rPr>
            </w:r>
          </w:p>
          <w:p>
            <w:pPr>
              <w:numPr>
                <w:ilvl w:val="0"/>
                <w:numId w:val="31"/>
              </w:numPr>
              <w:contextualSpacing/>
              <w:ind w:left="403"/>
              <w:jc w:val="both"/>
              <w:spacing w:line="259" w:lineRule="auto"/>
              <w:rPr>
                <w:sz w:val="24"/>
                <w:szCs w:val="24"/>
              </w:rPr>
            </w:pPr>
            <w:r>
              <w:rPr>
                <w:sz w:val="24"/>
                <w:szCs w:val="24"/>
                <w:shd w:val="clear" w:color="auto" w:fill="ffffff"/>
              </w:rPr>
              <w:t xml:space="preserve">уплатой Концеденту суммы гарантии;</w:t>
            </w:r>
            <w:r>
              <w:rPr>
                <w:sz w:val="24"/>
                <w:szCs w:val="24"/>
              </w:rPr>
            </w:r>
            <w:r>
              <w:rPr>
                <w:sz w:val="24"/>
                <w:szCs w:val="24"/>
              </w:rPr>
            </w:r>
          </w:p>
          <w:p>
            <w:pPr>
              <w:numPr>
                <w:ilvl w:val="0"/>
                <w:numId w:val="31"/>
              </w:numPr>
              <w:contextualSpacing/>
              <w:ind w:left="403"/>
              <w:jc w:val="both"/>
              <w:spacing w:line="259" w:lineRule="auto"/>
              <w:rPr>
                <w:sz w:val="24"/>
                <w:szCs w:val="24"/>
              </w:rPr>
            </w:pPr>
            <w:r>
              <w:rPr>
                <w:sz w:val="24"/>
                <w:szCs w:val="24"/>
                <w:shd w:val="clear" w:color="auto" w:fill="ffffff"/>
              </w:rPr>
              <w:t xml:space="preserve">окончанием срока гарантии, на который она выдана;</w:t>
            </w:r>
            <w:r>
              <w:rPr>
                <w:sz w:val="24"/>
                <w:szCs w:val="24"/>
              </w:rPr>
            </w:r>
            <w:r>
              <w:rPr>
                <w:sz w:val="24"/>
                <w:szCs w:val="24"/>
              </w:rPr>
            </w:r>
          </w:p>
          <w:p>
            <w:pPr>
              <w:numPr>
                <w:ilvl w:val="0"/>
                <w:numId w:val="31"/>
              </w:numPr>
              <w:contextualSpacing/>
              <w:ind w:left="403"/>
              <w:jc w:val="both"/>
              <w:spacing w:line="259" w:lineRule="auto"/>
              <w:rPr>
                <w:sz w:val="24"/>
                <w:szCs w:val="24"/>
              </w:rPr>
            </w:pPr>
            <w:r>
              <w:rPr>
                <w:sz w:val="24"/>
                <w:szCs w:val="24"/>
                <w:shd w:val="clear" w:color="auto" w:fill="ffffff"/>
              </w:rPr>
              <w:t xml:space="preserve">вследствие отказа Концедента от своих прав по гарантии;</w:t>
            </w:r>
            <w:r>
              <w:rPr>
                <w:sz w:val="24"/>
                <w:szCs w:val="24"/>
              </w:rPr>
            </w:r>
            <w:r>
              <w:rPr>
                <w:sz w:val="24"/>
                <w:szCs w:val="24"/>
              </w:rPr>
            </w:r>
          </w:p>
          <w:p>
            <w:pPr>
              <w:numPr>
                <w:ilvl w:val="0"/>
                <w:numId w:val="31"/>
              </w:numPr>
              <w:contextualSpacing/>
              <w:ind w:left="403"/>
              <w:jc w:val="both"/>
              <w:spacing w:line="259" w:lineRule="auto"/>
              <w:rPr>
                <w:sz w:val="24"/>
                <w:szCs w:val="24"/>
              </w:rPr>
            </w:pPr>
            <w:r>
              <w:rPr>
                <w:sz w:val="24"/>
                <w:szCs w:val="24"/>
                <w:shd w:val="clear" w:color="auto" w:fill="ffffff"/>
              </w:rPr>
              <w:t xml:space="preserve">по соглашению гаранта с Концедентом о прекращении этого обязательства;</w:t>
            </w:r>
            <w:r>
              <w:rPr>
                <w:sz w:val="24"/>
                <w:szCs w:val="24"/>
              </w:rPr>
            </w:r>
            <w:r>
              <w:rPr>
                <w:sz w:val="24"/>
                <w:szCs w:val="24"/>
              </w:rPr>
            </w:r>
          </w:p>
          <w:p>
            <w:pPr>
              <w:contextualSpacing/>
              <w:ind w:left="403"/>
              <w:jc w:val="both"/>
              <w:rPr>
                <w:sz w:val="24"/>
                <w:szCs w:val="24"/>
                <w:shd w:val="clear" w:color="auto" w:fill="ffffff"/>
              </w:rPr>
            </w:pPr>
            <w:r>
              <w:rPr>
                <w:sz w:val="24"/>
                <w:szCs w:val="24"/>
                <w:shd w:val="clear" w:color="auto" w:fill="ffffff"/>
              </w:rPr>
              <w:t xml:space="preserve">При этом прекращение обязательства гаранта по всем указанным выше основаниям не зависит от того, возвращена ли ему Банковская гарантия.</w:t>
            </w:r>
            <w:r>
              <w:rPr>
                <w:sz w:val="24"/>
                <w:szCs w:val="24"/>
                <w:shd w:val="clear" w:color="auto" w:fill="ffffff"/>
              </w:rPr>
            </w:r>
            <w:r>
              <w:rPr>
                <w:sz w:val="24"/>
                <w:szCs w:val="24"/>
                <w:shd w:val="clear" w:color="auto" w:fill="ffffff"/>
              </w:rPr>
            </w:r>
          </w:p>
          <w:p>
            <w:pPr>
              <w:numPr>
                <w:ilvl w:val="0"/>
                <w:numId w:val="31"/>
              </w:numPr>
              <w:contextualSpacing/>
              <w:ind w:left="403"/>
              <w:jc w:val="both"/>
              <w:spacing w:line="259" w:lineRule="auto"/>
              <w:rPr>
                <w:sz w:val="24"/>
                <w:szCs w:val="24"/>
              </w:rPr>
            </w:pPr>
            <w:r>
              <w:rPr>
                <w:sz w:val="24"/>
                <w:szCs w:val="24"/>
                <w:shd w:val="clear" w:color="auto" w:fill="ffffff"/>
              </w:rPr>
              <w:t xml:space="preserve">вследствие возврата Концедентом гарантии гаранту.</w:t>
            </w:r>
            <w:r>
              <w:rPr>
                <w:sz w:val="24"/>
                <w:szCs w:val="24"/>
              </w:rPr>
            </w:r>
            <w:r>
              <w:rPr>
                <w:sz w:val="24"/>
                <w:szCs w:val="24"/>
              </w:rPr>
            </w:r>
          </w:p>
        </w:tc>
      </w:tr>
      <w:tr>
        <w:tblPrEx/>
        <w:trPr/>
        <w:tc>
          <w:tcPr>
            <w:tcW w:w="608" w:type="dxa"/>
            <w:textDirection w:val="lrTb"/>
            <w:noWrap w:val="false"/>
          </w:tcPr>
          <w:p>
            <w:pPr>
              <w:numPr>
                <w:ilvl w:val="0"/>
                <w:numId w:val="32"/>
              </w:numPr>
              <w:contextualSpacing/>
              <w:ind w:left="426" w:hanging="284"/>
              <w:jc w:val="both"/>
              <w:tabs>
                <w:tab w:val="left" w:pos="1430" w:leader="none"/>
                <w:tab w:val="left" w:pos="5399" w:leader="none"/>
              </w:tabs>
              <w:rPr>
                <w:sz w:val="24"/>
                <w:szCs w:val="24"/>
              </w:rPr>
            </w:pPr>
            <w:r>
              <w:rPr>
                <w:sz w:val="24"/>
                <w:szCs w:val="24"/>
              </w:rPr>
            </w:r>
            <w:r>
              <w:rPr>
                <w:sz w:val="24"/>
                <w:szCs w:val="24"/>
              </w:rPr>
            </w:r>
            <w:r>
              <w:rPr>
                <w:sz w:val="24"/>
                <w:szCs w:val="24"/>
              </w:rPr>
            </w:r>
          </w:p>
        </w:tc>
        <w:tc>
          <w:tcPr>
            <w:tcW w:w="2551" w:type="dxa"/>
            <w:textDirection w:val="lrTb"/>
            <w:noWrap w:val="false"/>
          </w:tcPr>
          <w:p>
            <w:pPr>
              <w:contextualSpacing/>
              <w:jc w:val="both"/>
              <w:rPr>
                <w:sz w:val="24"/>
                <w:szCs w:val="24"/>
              </w:rPr>
            </w:pPr>
            <w:r>
              <w:rPr>
                <w:sz w:val="24"/>
                <w:szCs w:val="24"/>
              </w:rPr>
              <w:t xml:space="preserve">Обязательства Концессионера, надлежащее исполнение которых обеспечивается Банковской гарантией</w:t>
            </w:r>
            <w:r>
              <w:rPr>
                <w:sz w:val="24"/>
                <w:szCs w:val="24"/>
              </w:rPr>
            </w:r>
            <w:r>
              <w:rPr>
                <w:sz w:val="24"/>
                <w:szCs w:val="24"/>
              </w:rPr>
            </w:r>
          </w:p>
        </w:tc>
        <w:tc>
          <w:tcPr>
            <w:tcW w:w="6833" w:type="dxa"/>
            <w:textDirection w:val="lrTb"/>
            <w:noWrap w:val="false"/>
          </w:tcPr>
          <w:p>
            <w:pPr>
              <w:contextualSpacing/>
              <w:jc w:val="both"/>
              <w:rPr>
                <w:sz w:val="24"/>
                <w:szCs w:val="24"/>
              </w:rPr>
            </w:pPr>
            <w:r>
              <w:rPr>
                <w:sz w:val="24"/>
                <w:szCs w:val="24"/>
                <w:shd w:val="clear" w:color="auto" w:fill="ffffff"/>
              </w:rPr>
              <w:t xml:space="preserve">Исполнение Концессионером обязательств по Концессионному соглашению.</w:t>
            </w:r>
            <w:r>
              <w:rPr>
                <w:sz w:val="24"/>
                <w:szCs w:val="24"/>
              </w:rPr>
            </w:r>
            <w:r>
              <w:rPr>
                <w:sz w:val="24"/>
                <w:szCs w:val="24"/>
              </w:rPr>
            </w:r>
          </w:p>
        </w:tc>
      </w:tr>
      <w:tr>
        <w:tblPrEx/>
        <w:trPr/>
        <w:tc>
          <w:tcPr>
            <w:tcW w:w="608" w:type="dxa"/>
            <w:textDirection w:val="lrTb"/>
            <w:noWrap w:val="false"/>
          </w:tcPr>
          <w:p>
            <w:pPr>
              <w:numPr>
                <w:ilvl w:val="0"/>
                <w:numId w:val="32"/>
              </w:numPr>
              <w:contextualSpacing/>
              <w:ind w:left="426" w:hanging="284"/>
              <w:jc w:val="both"/>
              <w:tabs>
                <w:tab w:val="left" w:pos="1430" w:leader="none"/>
                <w:tab w:val="left" w:pos="5399" w:leader="none"/>
              </w:tabs>
              <w:rPr>
                <w:sz w:val="24"/>
                <w:szCs w:val="24"/>
              </w:rPr>
            </w:pPr>
            <w:r>
              <w:rPr>
                <w:sz w:val="24"/>
                <w:szCs w:val="24"/>
              </w:rPr>
            </w:r>
            <w:r>
              <w:rPr>
                <w:sz w:val="24"/>
                <w:szCs w:val="24"/>
              </w:rPr>
            </w:r>
            <w:r>
              <w:rPr>
                <w:sz w:val="24"/>
                <w:szCs w:val="24"/>
              </w:rPr>
            </w:r>
          </w:p>
        </w:tc>
        <w:tc>
          <w:tcPr>
            <w:tcW w:w="2551" w:type="dxa"/>
            <w:textDirection w:val="lrTb"/>
            <w:noWrap w:val="false"/>
          </w:tcPr>
          <w:p>
            <w:pPr>
              <w:contextualSpacing/>
              <w:jc w:val="both"/>
              <w:rPr>
                <w:sz w:val="24"/>
                <w:szCs w:val="24"/>
              </w:rPr>
            </w:pPr>
            <w:r>
              <w:rPr>
                <w:sz w:val="24"/>
                <w:szCs w:val="24"/>
              </w:rPr>
              <w:t xml:space="preserve">Место рассмотрения споров по банковской гарантии</w:t>
            </w:r>
            <w:r>
              <w:rPr>
                <w:sz w:val="24"/>
                <w:szCs w:val="24"/>
              </w:rPr>
            </w:r>
            <w:r>
              <w:rPr>
                <w:sz w:val="24"/>
                <w:szCs w:val="24"/>
              </w:rPr>
            </w:r>
          </w:p>
        </w:tc>
        <w:tc>
          <w:tcPr>
            <w:tcW w:w="6833" w:type="dxa"/>
            <w:textDirection w:val="lrTb"/>
            <w:noWrap w:val="false"/>
          </w:tcPr>
          <w:p>
            <w:pPr>
              <w:contextualSpacing/>
              <w:jc w:val="both"/>
              <w:rPr>
                <w:sz w:val="24"/>
                <w:szCs w:val="24"/>
              </w:rPr>
            </w:pPr>
            <w:r>
              <w:rPr>
                <w:sz w:val="24"/>
                <w:szCs w:val="24"/>
                <w:shd w:val="clear" w:color="auto" w:fill="ffffff"/>
              </w:rPr>
              <w:t xml:space="preserve">Все споры, связанные с Банковской гарантий, подлежат рассмотрению в суде в соответствии с подсудностью и подведомственностью, определенными Законодательством.</w:t>
            </w:r>
            <w:r>
              <w:rPr>
                <w:sz w:val="24"/>
                <w:szCs w:val="24"/>
              </w:rPr>
            </w:r>
            <w:r>
              <w:rPr>
                <w:sz w:val="24"/>
                <w:szCs w:val="24"/>
              </w:rPr>
            </w:r>
          </w:p>
        </w:tc>
      </w:tr>
      <w:tr>
        <w:tblPrEx/>
        <w:trPr/>
        <w:tc>
          <w:tcPr>
            <w:tcW w:w="608" w:type="dxa"/>
            <w:textDirection w:val="lrTb"/>
            <w:noWrap w:val="false"/>
          </w:tcPr>
          <w:p>
            <w:pPr>
              <w:numPr>
                <w:ilvl w:val="0"/>
                <w:numId w:val="32"/>
              </w:numPr>
              <w:contextualSpacing/>
              <w:ind w:left="426" w:hanging="284"/>
              <w:jc w:val="both"/>
              <w:tabs>
                <w:tab w:val="left" w:pos="1430" w:leader="none"/>
                <w:tab w:val="left" w:pos="5399" w:leader="none"/>
              </w:tabs>
              <w:rPr>
                <w:sz w:val="24"/>
                <w:szCs w:val="24"/>
              </w:rPr>
            </w:pPr>
            <w:r>
              <w:rPr>
                <w:sz w:val="24"/>
                <w:szCs w:val="24"/>
              </w:rPr>
            </w:r>
            <w:r>
              <w:rPr>
                <w:sz w:val="24"/>
                <w:szCs w:val="24"/>
              </w:rPr>
            </w:r>
            <w:r>
              <w:rPr>
                <w:sz w:val="24"/>
                <w:szCs w:val="24"/>
              </w:rPr>
            </w:r>
          </w:p>
        </w:tc>
        <w:tc>
          <w:tcPr>
            <w:tcW w:w="2551" w:type="dxa"/>
            <w:textDirection w:val="lrTb"/>
            <w:noWrap w:val="false"/>
          </w:tcPr>
          <w:p>
            <w:pPr>
              <w:contextualSpacing/>
              <w:jc w:val="both"/>
              <w:rPr>
                <w:sz w:val="24"/>
                <w:szCs w:val="24"/>
              </w:rPr>
            </w:pPr>
            <w:r>
              <w:rPr>
                <w:sz w:val="24"/>
                <w:szCs w:val="24"/>
              </w:rPr>
              <w:t xml:space="preserve">Сумма, подлежащая выплате по Банковской гарантии</w:t>
            </w:r>
            <w:r>
              <w:rPr>
                <w:sz w:val="24"/>
                <w:szCs w:val="24"/>
              </w:rPr>
            </w:r>
            <w:r>
              <w:rPr>
                <w:sz w:val="24"/>
                <w:szCs w:val="24"/>
              </w:rPr>
            </w:r>
          </w:p>
        </w:tc>
        <w:tc>
          <w:tcPr>
            <w:tcW w:w="6833" w:type="dxa"/>
            <w:textDirection w:val="lrTb"/>
            <w:noWrap w:val="false"/>
          </w:tcPr>
          <w:p>
            <w:pPr>
              <w:contextualSpacing/>
              <w:jc w:val="both"/>
              <w:rPr>
                <w:sz w:val="24"/>
                <w:szCs w:val="24"/>
              </w:rPr>
            </w:pPr>
            <w:r>
              <w:rPr>
                <w:sz w:val="24"/>
                <w:szCs w:val="24"/>
              </w:rPr>
              <w:t xml:space="preserve">рассчитывается как 5 % от отношения предельного размера расходов Концессионера на реконструкцию Объекта соглашения на Сро</w:t>
            </w:r>
            <w:r>
              <w:rPr>
                <w:sz w:val="24"/>
                <w:szCs w:val="24"/>
              </w:rPr>
              <w:t xml:space="preserve">к действия Концессионного соглашения и количества календарных месяцев Срока действия Концессионного соглашения, умноженного на количество месяцев действия Концессионного соглашения в календарном году (календарных годах), на который предоставляется гарантия</w:t>
            </w:r>
            <w:r>
              <w:rPr>
                <w:sz w:val="24"/>
                <w:szCs w:val="24"/>
                <w:shd w:val="clear" w:color="auto" w:fill="ffffff"/>
              </w:rPr>
              <w:t xml:space="preserve">.</w:t>
            </w:r>
            <w:r>
              <w:rPr>
                <w:sz w:val="24"/>
                <w:szCs w:val="24"/>
              </w:rPr>
            </w:r>
            <w:r>
              <w:rPr>
                <w:sz w:val="24"/>
                <w:szCs w:val="24"/>
              </w:rPr>
            </w:r>
          </w:p>
        </w:tc>
      </w:tr>
    </w:tbl>
    <w:p>
      <w:pPr>
        <w:jc w:val="both"/>
        <w:rPr>
          <w:b/>
          <w:bCs/>
          <w:sz w:val="24"/>
          <w:szCs w:val="24"/>
        </w:rPr>
      </w:pPr>
      <w:r>
        <w:rPr>
          <w:b/>
          <w:bCs/>
          <w:sz w:val="24"/>
          <w:szCs w:val="24"/>
        </w:rPr>
      </w:r>
      <w:r>
        <w:rPr>
          <w:b/>
          <w:bCs/>
          <w:sz w:val="24"/>
          <w:szCs w:val="24"/>
        </w:rPr>
      </w:r>
      <w:r>
        <w:rPr>
          <w:b/>
          <w:bCs/>
          <w:sz w:val="24"/>
          <w:szCs w:val="24"/>
        </w:rPr>
      </w:r>
    </w:p>
    <w:p>
      <w:pPr>
        <w:jc w:val="both"/>
        <w:rPr>
          <w:b/>
          <w:bCs/>
          <w:sz w:val="24"/>
          <w:szCs w:val="24"/>
        </w:rPr>
      </w:pPr>
      <w:r>
        <w:rPr>
          <w:b/>
          <w:bCs/>
          <w:sz w:val="24"/>
          <w:szCs w:val="24"/>
        </w:rPr>
      </w:r>
      <w:r>
        <w:rPr>
          <w:b/>
          <w:bCs/>
          <w:sz w:val="24"/>
          <w:szCs w:val="24"/>
        </w:rPr>
      </w:r>
      <w:r>
        <w:rPr>
          <w:b/>
          <w:bCs/>
          <w:sz w:val="24"/>
          <w:szCs w:val="24"/>
        </w:rPr>
      </w:r>
    </w:p>
    <w:tbl>
      <w:tblPr>
        <w:tblStyle w:val="937"/>
        <w:tblW w:w="5000" w:type="pc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190"/>
        <w:gridCol w:w="3190"/>
        <w:gridCol w:w="3190"/>
      </w:tblGrid>
      <w:tr>
        <w:tblPrEx/>
        <w:trPr/>
        <w:tc>
          <w:tcPr>
            <w:tcW w:w="1667" w:type="pct"/>
            <w:textDirection w:val="lrTb"/>
            <w:noWrap w:val="false"/>
          </w:tcPr>
          <w:p>
            <w:pPr>
              <w:jc w:val="both"/>
              <w:rPr>
                <w:b/>
                <w:sz w:val="24"/>
                <w:szCs w:val="24"/>
              </w:rPr>
            </w:pPr>
            <w:r>
              <w:rPr>
                <w:b/>
                <w:sz w:val="24"/>
                <w:szCs w:val="24"/>
              </w:rPr>
            </w:r>
            <w:r>
              <w:rPr>
                <w:b/>
                <w:sz w:val="24"/>
                <w:szCs w:val="24"/>
              </w:rPr>
            </w:r>
            <w:r>
              <w:rPr>
                <w:b/>
                <w:sz w:val="24"/>
                <w:szCs w:val="24"/>
              </w:rPr>
            </w:r>
          </w:p>
          <w:p>
            <w:pPr>
              <w:jc w:val="both"/>
              <w:rPr>
                <w:b/>
                <w:sz w:val="24"/>
                <w:szCs w:val="24"/>
              </w:rPr>
            </w:pPr>
            <w:r>
              <w:rPr>
                <w:b/>
                <w:sz w:val="24"/>
                <w:szCs w:val="24"/>
              </w:rPr>
              <w:t xml:space="preserve">Концедент</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r>
            <w:r>
              <w:rPr>
                <w:b/>
                <w:sz w:val="24"/>
                <w:szCs w:val="24"/>
              </w:rPr>
            </w:r>
            <w:r>
              <w:rPr>
                <w:b/>
                <w:sz w:val="24"/>
                <w:szCs w:val="24"/>
              </w:rPr>
            </w:r>
          </w:p>
          <w:p>
            <w:pPr>
              <w:jc w:val="both"/>
              <w:rPr>
                <w:b/>
                <w:sz w:val="24"/>
                <w:szCs w:val="24"/>
              </w:rPr>
            </w:pPr>
            <w:r>
              <w:rPr>
                <w:b/>
                <w:sz w:val="24"/>
                <w:szCs w:val="24"/>
              </w:rPr>
              <w:t xml:space="preserve">Концессионер</w:t>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r>
            <w:r>
              <w:rPr>
                <w:b/>
                <w:sz w:val="24"/>
                <w:szCs w:val="24"/>
              </w:rPr>
            </w:r>
            <w:r>
              <w:rPr>
                <w:b/>
                <w:sz w:val="24"/>
                <w:szCs w:val="24"/>
              </w:rPr>
            </w:r>
          </w:p>
          <w:p>
            <w:pPr>
              <w:jc w:val="both"/>
              <w:rPr>
                <w:b/>
                <w:sz w:val="24"/>
                <w:szCs w:val="24"/>
              </w:rPr>
            </w:pPr>
            <w:r>
              <w:rPr>
                <w:b/>
                <w:sz w:val="24"/>
                <w:szCs w:val="24"/>
              </w:rPr>
              <w:t xml:space="preserve">Субъект</w:t>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t xml:space="preserve">Муниципальное образование Печенгский муниципальный округ Мурманской области</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Общество с ограниченной ответственностью «ПромВоенСтрой»</w:t>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t xml:space="preserve">Мурманская область</w:t>
            </w:r>
            <w:r>
              <w:rPr>
                <w:b/>
                <w:sz w:val="24"/>
                <w:szCs w:val="24"/>
              </w:rPr>
            </w:r>
            <w:r>
              <w:rPr>
                <w:b/>
                <w:sz w:val="24"/>
                <w:szCs w:val="24"/>
              </w:rPr>
            </w:r>
          </w:p>
          <w:p>
            <w:pPr>
              <w:jc w:val="both"/>
              <w:rPr>
                <w:b/>
                <w:sz w:val="24"/>
                <w:szCs w:val="24"/>
              </w:rPr>
            </w:pPr>
            <w:r>
              <w:rPr>
                <w:b/>
                <w:sz w:val="24"/>
                <w:szCs w:val="24"/>
              </w:rPr>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r>
            <w:r>
              <w:rPr>
                <w:b/>
                <w:sz w:val="24"/>
                <w:szCs w:val="24"/>
              </w:rPr>
            </w:r>
            <w:r>
              <w:rPr>
                <w:b/>
                <w:sz w:val="24"/>
                <w:szCs w:val="24"/>
              </w:rPr>
            </w:r>
          </w:p>
        </w:tc>
      </w:tr>
      <w:tr>
        <w:tblPrEx/>
        <w:trPr/>
        <w:tc>
          <w:tcPr>
            <w:tcW w:w="1667" w:type="pct"/>
            <w:textDirection w:val="lrTb"/>
            <w:noWrap w:val="false"/>
          </w:tcPr>
          <w:p>
            <w:pPr>
              <w:jc w:val="both"/>
              <w:rPr>
                <w:b/>
                <w:sz w:val="24"/>
                <w:szCs w:val="24"/>
              </w:rPr>
            </w:pPr>
            <w:r>
              <w:rPr>
                <w:b/>
                <w:sz w:val="24"/>
                <w:szCs w:val="24"/>
              </w:rPr>
              <w:t xml:space="preserve">Глава округа</w:t>
            </w:r>
            <w:r>
              <w:rPr>
                <w:b/>
                <w:sz w:val="24"/>
                <w:szCs w:val="24"/>
              </w:rPr>
            </w:r>
            <w:r>
              <w:rPr>
                <w:b/>
                <w:sz w:val="24"/>
                <w:szCs w:val="24"/>
              </w:rPr>
            </w:r>
          </w:p>
        </w:tc>
        <w:tc>
          <w:tcPr>
            <w:tcW w:w="1667" w:type="pct"/>
            <w:textDirection w:val="lrTb"/>
            <w:noWrap w:val="false"/>
          </w:tcPr>
          <w:p>
            <w:pPr>
              <w:jc w:val="both"/>
              <w:rPr>
                <w:b/>
                <w:sz w:val="24"/>
                <w:szCs w:val="24"/>
              </w:rPr>
            </w:pPr>
            <w:r>
              <w:rPr>
                <w:b/>
                <w:sz w:val="24"/>
                <w:szCs w:val="24"/>
              </w:rPr>
              <w:t xml:space="preserve">Генеральный директор</w:t>
            </w:r>
            <w:r>
              <w:rPr>
                <w:b/>
                <w:sz w:val="24"/>
                <w:szCs w:val="24"/>
              </w:rPr>
            </w:r>
            <w:r>
              <w:rPr>
                <w:b/>
                <w:sz w:val="24"/>
                <w:szCs w:val="24"/>
              </w:rPr>
            </w:r>
          </w:p>
        </w:tc>
        <w:tc>
          <w:tcPr>
            <w:tcW w:w="1666" w:type="pct"/>
            <w:textDirection w:val="lrTb"/>
            <w:noWrap w:val="false"/>
          </w:tcPr>
          <w:p>
            <w:pPr>
              <w:jc w:val="both"/>
              <w:rPr>
                <w:b/>
                <w:sz w:val="24"/>
                <w:szCs w:val="24"/>
              </w:rPr>
            </w:pPr>
            <w:r>
              <w:rPr>
                <w:b/>
                <w:sz w:val="24"/>
                <w:szCs w:val="24"/>
              </w:rPr>
              <w:t xml:space="preserve">Губернатор</w:t>
            </w:r>
            <w:r>
              <w:rPr>
                <w:b/>
                <w:sz w:val="24"/>
                <w:szCs w:val="24"/>
              </w:rPr>
            </w:r>
            <w:r>
              <w:rPr>
                <w:b/>
                <w:sz w:val="24"/>
                <w:szCs w:val="24"/>
              </w:rPr>
            </w:r>
          </w:p>
        </w:tc>
      </w:tr>
      <w:tr>
        <w:tblPrEx/>
        <w:trPr>
          <w:trHeight w:val="567"/>
        </w:trPr>
        <w:tc>
          <w:tcPr>
            <w:tcW w:w="1667" w:type="pct"/>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c>
          <w:tcPr>
            <w:tcW w:w="1667" w:type="pct"/>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c>
          <w:tcPr>
            <w:tcW w:w="1666" w:type="pct"/>
            <w:vAlign w:val="bottom"/>
            <w:textDirection w:val="lrTb"/>
            <w:noWrap w:val="false"/>
          </w:tcPr>
          <w:p>
            <w:pPr>
              <w:jc w:val="both"/>
              <w:rPr>
                <w:b/>
                <w:sz w:val="24"/>
                <w:szCs w:val="24"/>
              </w:rPr>
            </w:pPr>
            <w:r>
              <w:rPr>
                <w:b/>
                <w:sz w:val="24"/>
                <w:szCs w:val="24"/>
              </w:rPr>
              <w:t xml:space="preserve">__________________________</w:t>
            </w:r>
            <w:r>
              <w:rPr>
                <w:b/>
                <w:sz w:val="24"/>
                <w:szCs w:val="24"/>
              </w:rPr>
            </w:r>
            <w:r>
              <w:rPr>
                <w:b/>
                <w:sz w:val="24"/>
                <w:szCs w:val="24"/>
              </w:rPr>
            </w:r>
          </w:p>
        </w:tc>
      </w:tr>
      <w:tr>
        <w:tblPrEx/>
        <w:trPr/>
        <w:tc>
          <w:tcPr>
            <w:tcW w:w="1667" w:type="pct"/>
            <w:textDirection w:val="lrTb"/>
            <w:noWrap w:val="false"/>
          </w:tcPr>
          <w:p>
            <w:pPr>
              <w:jc w:val="both"/>
              <w:rPr>
                <w:b/>
                <w:sz w:val="24"/>
                <w:szCs w:val="24"/>
              </w:rPr>
            </w:pPr>
            <w:r>
              <w:rPr>
                <w:sz w:val="24"/>
                <w:szCs w:val="24"/>
              </w:rPr>
              <w:t xml:space="preserve">МП      /Кузнецов А.В../</w:t>
            </w:r>
            <w:r>
              <w:rPr>
                <w:b/>
                <w:sz w:val="24"/>
                <w:szCs w:val="24"/>
              </w:rPr>
            </w:r>
            <w:r>
              <w:rPr>
                <w:b/>
                <w:sz w:val="24"/>
                <w:szCs w:val="24"/>
              </w:rPr>
            </w:r>
          </w:p>
        </w:tc>
        <w:tc>
          <w:tcPr>
            <w:tcW w:w="1667" w:type="pct"/>
            <w:textDirection w:val="lrTb"/>
            <w:noWrap w:val="false"/>
          </w:tcPr>
          <w:p>
            <w:pPr>
              <w:jc w:val="both"/>
              <w:rPr>
                <w:b/>
                <w:sz w:val="24"/>
                <w:szCs w:val="24"/>
              </w:rPr>
            </w:pPr>
            <w:r>
              <w:rPr>
                <w:sz w:val="24"/>
                <w:szCs w:val="24"/>
              </w:rPr>
              <w:t xml:space="preserve">МП       /Аршакян А.Р./</w:t>
            </w:r>
            <w:r>
              <w:rPr>
                <w:b/>
                <w:sz w:val="24"/>
                <w:szCs w:val="24"/>
              </w:rPr>
            </w:r>
            <w:r>
              <w:rPr>
                <w:b/>
                <w:sz w:val="24"/>
                <w:szCs w:val="24"/>
              </w:rPr>
            </w:r>
          </w:p>
        </w:tc>
        <w:tc>
          <w:tcPr>
            <w:tcW w:w="1666" w:type="pct"/>
            <w:textDirection w:val="lrTb"/>
            <w:noWrap w:val="false"/>
          </w:tcPr>
          <w:p>
            <w:pPr>
              <w:jc w:val="both"/>
              <w:rPr>
                <w:b/>
                <w:sz w:val="24"/>
                <w:szCs w:val="24"/>
              </w:rPr>
            </w:pPr>
            <w:r>
              <w:rPr>
                <w:sz w:val="24"/>
                <w:szCs w:val="24"/>
              </w:rPr>
              <w:t xml:space="preserve">МП         /Чибис А.В./</w:t>
            </w:r>
            <w:r>
              <w:rPr>
                <w:b/>
                <w:sz w:val="24"/>
                <w:szCs w:val="24"/>
              </w:rPr>
            </w:r>
            <w:r>
              <w:rPr>
                <w:b/>
                <w:sz w:val="24"/>
                <w:szCs w:val="24"/>
              </w:rPr>
            </w:r>
          </w:p>
        </w:tc>
      </w:tr>
    </w:tbl>
    <w:p>
      <w:pPr>
        <w:jc w:val="both"/>
        <w:rPr>
          <w:sz w:val="24"/>
          <w:szCs w:val="24"/>
        </w:rPr>
      </w:pPr>
      <w:r>
        <w:rPr>
          <w:sz w:val="24"/>
          <w:szCs w:val="24"/>
        </w:rPr>
      </w:r>
      <w:r>
        <w:rPr>
          <w:sz w:val="24"/>
          <w:szCs w:val="24"/>
        </w:rPr>
      </w:r>
      <w:r>
        <w:rPr>
          <w:sz w:val="24"/>
          <w:szCs w:val="24"/>
        </w:rPr>
      </w:r>
    </w:p>
    <w:p>
      <w:pPr>
        <w:jc w:val="both"/>
        <w:rPr>
          <w:b/>
          <w:sz w:val="24"/>
          <w:szCs w:val="24"/>
        </w:rPr>
      </w:pPr>
      <w:r>
        <w:rPr>
          <w:b/>
          <w:sz w:val="24"/>
          <w:szCs w:val="24"/>
        </w:rPr>
      </w:r>
      <w:r>
        <w:rPr>
          <w:b/>
          <w:sz w:val="24"/>
          <w:szCs w:val="24"/>
        </w:rPr>
      </w:r>
      <w:r>
        <w:rPr>
          <w:b/>
          <w:sz w:val="24"/>
          <w:szCs w:val="24"/>
        </w:rPr>
      </w:r>
    </w:p>
    <w:p>
      <w:pPr>
        <w:jc w:val="both"/>
        <w:rPr>
          <w:b/>
          <w:sz w:val="24"/>
          <w:szCs w:val="24"/>
        </w:rPr>
      </w:pPr>
      <w:r>
        <w:rPr>
          <w:b/>
          <w:sz w:val="24"/>
          <w:szCs w:val="24"/>
        </w:rPr>
      </w:r>
      <w:r>
        <w:rPr>
          <w:b/>
          <w:sz w:val="24"/>
          <w:szCs w:val="24"/>
        </w:rPr>
      </w:r>
      <w:r>
        <w:rPr>
          <w:b/>
          <w:sz w:val="24"/>
          <w:szCs w:val="24"/>
        </w:rPr>
      </w:r>
    </w:p>
    <w:sectPr>
      <w:headerReference w:type="default" r:id="rId9"/>
      <w:headerReference w:type="even" r:id="rId10"/>
      <w:footnotePr/>
      <w:endnotePr/>
      <w:type w:val="nextPage"/>
      <w:pgSz w:w="11906" w:h="16838" w:orient="portrait"/>
      <w:pgMar w:top="1134" w:right="851" w:bottom="1134" w:left="1701" w:header="709" w:footer="301"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Wingdings">
    <w:panose1 w:val="05000000000000000000"/>
  </w:font>
  <w:font w:name="Symbol">
    <w:panose1 w:val="05050102010706020507"/>
  </w:font>
  <w:font w:name="Times New Roman CYR">
    <w:panose1 w:val="02020603050405020304"/>
  </w:font>
  <w:font w:name="Times New Roman">
    <w:panose1 w:val="02020603050405020304"/>
  </w:font>
  <w:font w:name="Calibri">
    <w:panose1 w:val="020F0502020204030204"/>
  </w:font>
  <w:font w:name="Courier New">
    <w:panose1 w:val="02070309020205020404"/>
  </w:font>
  <w:font w:name="MS Mincho">
    <w:panose1 w:val="02020503050405090304"/>
  </w:font>
  <w:font w:name="Tahoma">
    <w:panose1 w:val="020B0604030504040204"/>
  </w:font>
  <w:font w:name="Arial Unicode MS">
    <w:panose1 w:val="020B06040202020202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rPr>
        <w:rStyle w:val="942"/>
      </w:rPr>
      <w:framePr w:wrap="around" w:vAnchor="text" w:hAnchor="margin" w:xAlign="center" w:y="1"/>
    </w:pPr>
    <w:r>
      <w:rPr>
        <w:rStyle w:val="942"/>
      </w:rPr>
    </w:r>
    <w:r>
      <w:rPr>
        <w:rStyle w:val="942"/>
      </w:rPr>
    </w:r>
  </w:p>
  <w:p>
    <w:pPr>
      <w:pStyle w:val="93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rPr>
        <w:rStyle w:val="942"/>
      </w:rPr>
      <w:framePr w:wrap="around" w:vAnchor="text" w:hAnchor="margin" w:xAlign="center" w:y="1"/>
    </w:pPr>
    <w:r>
      <w:rPr>
        <w:rStyle w:val="942"/>
      </w:rPr>
      <w:fldChar w:fldCharType="begin"/>
    </w:r>
    <w:r>
      <w:rPr>
        <w:rStyle w:val="942"/>
      </w:rPr>
      <w:instrText xml:space="preserve">PAGE  </w:instrText>
    </w:r>
    <w:r>
      <w:rPr>
        <w:rStyle w:val="942"/>
      </w:rPr>
      <w:fldChar w:fldCharType="end"/>
    </w:r>
    <w:r>
      <w:rPr>
        <w:rStyle w:val="942"/>
      </w:rPr>
    </w:r>
    <w:r>
      <w:rPr>
        <w:rStyle w:val="942"/>
      </w:rPr>
    </w:r>
  </w:p>
  <w:p>
    <w:pPr>
      <w:pStyle w:val="93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40" w:hanging="360"/>
      </w:pPr>
    </w:lvl>
    <w:lvl w:ilvl="1">
      <w:start w:val="1"/>
      <w:numFmt w:val="lowerLetter"/>
      <w:isLgl w:val="false"/>
      <w:suff w:val="tab"/>
      <w:lvlText w:val="%2."/>
      <w:lvlJc w:val="left"/>
      <w:pPr>
        <w:ind w:left="2160" w:hanging="360"/>
      </w:pPr>
    </w:lvl>
    <w:lvl w:ilvl="2">
      <w:start w:val="1"/>
      <w:numFmt w:val="lowerRoman"/>
      <w:isLgl w:val="false"/>
      <w:suff w:val="tab"/>
      <w:lvlText w:val="%3."/>
      <w:lvlJc w:val="right"/>
      <w:pPr>
        <w:ind w:left="2880" w:hanging="180"/>
      </w:pPr>
    </w:lvl>
    <w:lvl w:ilvl="3">
      <w:start w:val="1"/>
      <w:numFmt w:val="decimal"/>
      <w:isLgl w:val="false"/>
      <w:suff w:val="tab"/>
      <w:lvlText w:val="%4."/>
      <w:lvlJc w:val="left"/>
      <w:pPr>
        <w:ind w:left="3600" w:hanging="360"/>
      </w:pPr>
    </w:lvl>
    <w:lvl w:ilvl="4">
      <w:start w:val="1"/>
      <w:numFmt w:val="lowerLetter"/>
      <w:isLgl w:val="false"/>
      <w:suff w:val="tab"/>
      <w:lvlText w:val="%5."/>
      <w:lvlJc w:val="left"/>
      <w:pPr>
        <w:ind w:left="4320" w:hanging="360"/>
      </w:pPr>
    </w:lvl>
    <w:lvl w:ilvl="5">
      <w:start w:val="1"/>
      <w:numFmt w:val="lowerRoman"/>
      <w:isLgl w:val="false"/>
      <w:suff w:val="tab"/>
      <w:lvlText w:val="%6."/>
      <w:lvlJc w:val="right"/>
      <w:pPr>
        <w:ind w:left="5040" w:hanging="180"/>
      </w:pPr>
    </w:lvl>
    <w:lvl w:ilvl="6">
      <w:start w:val="1"/>
      <w:numFmt w:val="decimal"/>
      <w:isLgl w:val="false"/>
      <w:suff w:val="tab"/>
      <w:lvlText w:val="%7."/>
      <w:lvlJc w:val="left"/>
      <w:pPr>
        <w:ind w:left="5760" w:hanging="360"/>
      </w:pPr>
    </w:lvl>
    <w:lvl w:ilvl="7">
      <w:start w:val="1"/>
      <w:numFmt w:val="lowerLetter"/>
      <w:isLgl w:val="false"/>
      <w:suff w:val="tab"/>
      <w:lvlText w:val="%8."/>
      <w:lvlJc w:val="left"/>
      <w:pPr>
        <w:ind w:left="6480" w:hanging="360"/>
      </w:pPr>
    </w:lvl>
    <w:lvl w:ilvl="8">
      <w:start w:val="1"/>
      <w:numFmt w:val="lowerRoman"/>
      <w:isLgl w:val="false"/>
      <w:suff w:val="tab"/>
      <w:lvlText w:val="%9."/>
      <w:lvlJc w:val="right"/>
      <w:pPr>
        <w:ind w:left="7200" w:hanging="180"/>
      </w:pPr>
    </w:lvl>
  </w:abstractNum>
  <w:abstractNum w:abstractNumId="1">
    <w:multiLevelType w:val="hybridMultilevel"/>
    <w:lvl w:ilvl="0">
      <w:start w:val="1"/>
      <w:numFmt w:val="decimal"/>
      <w:isLgl w:val="false"/>
      <w:suff w:val="tab"/>
      <w:lvlText w:val="%1)"/>
      <w:lvlJc w:val="left"/>
      <w:pPr>
        <w:ind w:left="2346" w:hanging="360"/>
      </w:pPr>
    </w:lvl>
    <w:lvl w:ilvl="1">
      <w:start w:val="1"/>
      <w:numFmt w:val="lowerLetter"/>
      <w:isLgl w:val="false"/>
      <w:suff w:val="tab"/>
      <w:lvlText w:val="%2."/>
      <w:lvlJc w:val="left"/>
      <w:pPr>
        <w:ind w:left="3066" w:hanging="360"/>
      </w:pPr>
    </w:lvl>
    <w:lvl w:ilvl="2">
      <w:start w:val="1"/>
      <w:numFmt w:val="lowerRoman"/>
      <w:isLgl w:val="false"/>
      <w:suff w:val="tab"/>
      <w:lvlText w:val="%3."/>
      <w:lvlJc w:val="right"/>
      <w:pPr>
        <w:ind w:left="3786" w:hanging="180"/>
      </w:pPr>
    </w:lvl>
    <w:lvl w:ilvl="3">
      <w:start w:val="1"/>
      <w:numFmt w:val="decimal"/>
      <w:isLgl w:val="false"/>
      <w:suff w:val="tab"/>
      <w:lvlText w:val="%4."/>
      <w:lvlJc w:val="left"/>
      <w:pPr>
        <w:ind w:left="4506" w:hanging="360"/>
      </w:pPr>
    </w:lvl>
    <w:lvl w:ilvl="4">
      <w:start w:val="1"/>
      <w:numFmt w:val="lowerLetter"/>
      <w:isLgl w:val="false"/>
      <w:suff w:val="tab"/>
      <w:lvlText w:val="%5."/>
      <w:lvlJc w:val="left"/>
      <w:pPr>
        <w:ind w:left="5226" w:hanging="360"/>
      </w:pPr>
    </w:lvl>
    <w:lvl w:ilvl="5">
      <w:start w:val="1"/>
      <w:numFmt w:val="lowerRoman"/>
      <w:isLgl w:val="false"/>
      <w:suff w:val="tab"/>
      <w:lvlText w:val="%6."/>
      <w:lvlJc w:val="right"/>
      <w:pPr>
        <w:ind w:left="5946" w:hanging="180"/>
      </w:pPr>
    </w:lvl>
    <w:lvl w:ilvl="6">
      <w:start w:val="1"/>
      <w:numFmt w:val="decimal"/>
      <w:isLgl w:val="false"/>
      <w:suff w:val="tab"/>
      <w:lvlText w:val="%7."/>
      <w:lvlJc w:val="left"/>
      <w:pPr>
        <w:ind w:left="6666" w:hanging="360"/>
      </w:pPr>
    </w:lvl>
    <w:lvl w:ilvl="7">
      <w:start w:val="1"/>
      <w:numFmt w:val="lowerLetter"/>
      <w:isLgl w:val="false"/>
      <w:suff w:val="tab"/>
      <w:lvlText w:val="%8."/>
      <w:lvlJc w:val="left"/>
      <w:pPr>
        <w:ind w:left="7386" w:hanging="360"/>
      </w:pPr>
    </w:lvl>
    <w:lvl w:ilvl="8">
      <w:start w:val="1"/>
      <w:numFmt w:val="lowerRoman"/>
      <w:isLgl w:val="false"/>
      <w:suff w:val="tab"/>
      <w:lvlText w:val="%9."/>
      <w:lvlJc w:val="right"/>
      <w:pPr>
        <w:ind w:left="8106" w:hanging="180"/>
      </w:pPr>
    </w:lvl>
  </w:abstractNum>
  <w:abstractNum w:abstractNumId="2">
    <w:multiLevelType w:val="hybridMultilevel"/>
    <w:lvl w:ilvl="0">
      <w:start w:val="1"/>
      <w:numFmt w:val="decimal"/>
      <w:isLgl w:val="false"/>
      <w:suff w:val="tab"/>
      <w:lvlText w:val="%1)"/>
      <w:lvlJc w:val="left"/>
      <w:pPr>
        <w:ind w:left="6314" w:hanging="360"/>
      </w:pPr>
    </w:lvl>
    <w:lvl w:ilvl="1">
      <w:start w:val="1"/>
      <w:numFmt w:val="lowerLetter"/>
      <w:isLgl w:val="false"/>
      <w:suff w:val="tab"/>
      <w:lvlText w:val="%2."/>
      <w:lvlJc w:val="left"/>
      <w:pPr>
        <w:ind w:left="7034" w:hanging="360"/>
      </w:pPr>
    </w:lvl>
    <w:lvl w:ilvl="2">
      <w:start w:val="1"/>
      <w:numFmt w:val="lowerRoman"/>
      <w:isLgl w:val="false"/>
      <w:suff w:val="tab"/>
      <w:lvlText w:val="%3."/>
      <w:lvlJc w:val="right"/>
      <w:pPr>
        <w:ind w:left="7754" w:hanging="180"/>
      </w:pPr>
    </w:lvl>
    <w:lvl w:ilvl="3">
      <w:start w:val="1"/>
      <w:numFmt w:val="decimal"/>
      <w:isLgl w:val="false"/>
      <w:suff w:val="tab"/>
      <w:lvlText w:val="%4."/>
      <w:lvlJc w:val="left"/>
      <w:pPr>
        <w:ind w:left="8474" w:hanging="360"/>
      </w:pPr>
    </w:lvl>
    <w:lvl w:ilvl="4">
      <w:start w:val="1"/>
      <w:numFmt w:val="lowerLetter"/>
      <w:isLgl w:val="false"/>
      <w:suff w:val="tab"/>
      <w:lvlText w:val="%5."/>
      <w:lvlJc w:val="left"/>
      <w:pPr>
        <w:ind w:left="9194" w:hanging="360"/>
      </w:pPr>
    </w:lvl>
    <w:lvl w:ilvl="5">
      <w:start w:val="1"/>
      <w:numFmt w:val="lowerRoman"/>
      <w:isLgl w:val="false"/>
      <w:suff w:val="tab"/>
      <w:lvlText w:val="%6."/>
      <w:lvlJc w:val="right"/>
      <w:pPr>
        <w:ind w:left="9914" w:hanging="180"/>
      </w:pPr>
    </w:lvl>
    <w:lvl w:ilvl="6">
      <w:start w:val="1"/>
      <w:numFmt w:val="decimal"/>
      <w:isLgl w:val="false"/>
      <w:suff w:val="tab"/>
      <w:lvlText w:val="%7."/>
      <w:lvlJc w:val="left"/>
      <w:pPr>
        <w:ind w:left="10634" w:hanging="360"/>
      </w:pPr>
    </w:lvl>
    <w:lvl w:ilvl="7">
      <w:start w:val="1"/>
      <w:numFmt w:val="lowerLetter"/>
      <w:isLgl w:val="false"/>
      <w:suff w:val="tab"/>
      <w:lvlText w:val="%8."/>
      <w:lvlJc w:val="left"/>
      <w:pPr>
        <w:ind w:left="11354" w:hanging="360"/>
      </w:pPr>
    </w:lvl>
    <w:lvl w:ilvl="8">
      <w:start w:val="1"/>
      <w:numFmt w:val="lowerRoman"/>
      <w:isLgl w:val="false"/>
      <w:suff w:val="tab"/>
      <w:lvlText w:val="%9."/>
      <w:lvlJc w:val="right"/>
      <w:pPr>
        <w:ind w:left="12074" w:hanging="180"/>
      </w:pPr>
    </w:lvl>
  </w:abstractNum>
  <w:abstractNum w:abstractNumId="3">
    <w:multiLevelType w:val="hybridMultilevel"/>
    <w:lvl w:ilvl="0">
      <w:start w:val="1"/>
      <w:numFmt w:val="decimal"/>
      <w:isLgl w:val="false"/>
      <w:suff w:val="tab"/>
      <w:lvlText w:val="%1)"/>
      <w:lvlJc w:val="left"/>
      <w:pPr>
        <w:ind w:left="2204" w:hanging="360"/>
      </w:pPr>
    </w:lvl>
    <w:lvl w:ilvl="1">
      <w:start w:val="1"/>
      <w:numFmt w:val="lowerLetter"/>
      <w:isLgl w:val="false"/>
      <w:suff w:val="tab"/>
      <w:lvlText w:val="%2."/>
      <w:lvlJc w:val="left"/>
      <w:pPr>
        <w:ind w:left="2924" w:hanging="360"/>
      </w:pPr>
    </w:lvl>
    <w:lvl w:ilvl="2">
      <w:start w:val="1"/>
      <w:numFmt w:val="lowerRoman"/>
      <w:isLgl w:val="false"/>
      <w:suff w:val="tab"/>
      <w:lvlText w:val="%3."/>
      <w:lvlJc w:val="right"/>
      <w:pPr>
        <w:ind w:left="3644" w:hanging="180"/>
      </w:pPr>
    </w:lvl>
    <w:lvl w:ilvl="3">
      <w:start w:val="1"/>
      <w:numFmt w:val="decimal"/>
      <w:isLgl w:val="false"/>
      <w:suff w:val="tab"/>
      <w:lvlText w:val="%4."/>
      <w:lvlJc w:val="left"/>
      <w:pPr>
        <w:ind w:left="4364" w:hanging="360"/>
      </w:pPr>
    </w:lvl>
    <w:lvl w:ilvl="4">
      <w:start w:val="1"/>
      <w:numFmt w:val="lowerLetter"/>
      <w:isLgl w:val="false"/>
      <w:suff w:val="tab"/>
      <w:lvlText w:val="%5."/>
      <w:lvlJc w:val="left"/>
      <w:pPr>
        <w:ind w:left="5084" w:hanging="360"/>
      </w:pPr>
    </w:lvl>
    <w:lvl w:ilvl="5">
      <w:start w:val="1"/>
      <w:numFmt w:val="lowerRoman"/>
      <w:isLgl w:val="false"/>
      <w:suff w:val="tab"/>
      <w:lvlText w:val="%6."/>
      <w:lvlJc w:val="right"/>
      <w:pPr>
        <w:ind w:left="5804" w:hanging="180"/>
      </w:pPr>
    </w:lvl>
    <w:lvl w:ilvl="6">
      <w:start w:val="1"/>
      <w:numFmt w:val="decimal"/>
      <w:isLgl w:val="false"/>
      <w:suff w:val="tab"/>
      <w:lvlText w:val="%7."/>
      <w:lvlJc w:val="left"/>
      <w:pPr>
        <w:ind w:left="6524" w:hanging="360"/>
      </w:pPr>
    </w:lvl>
    <w:lvl w:ilvl="7">
      <w:start w:val="1"/>
      <w:numFmt w:val="lowerLetter"/>
      <w:isLgl w:val="false"/>
      <w:suff w:val="tab"/>
      <w:lvlText w:val="%8."/>
      <w:lvlJc w:val="left"/>
      <w:pPr>
        <w:ind w:left="7244" w:hanging="360"/>
      </w:pPr>
    </w:lvl>
    <w:lvl w:ilvl="8">
      <w:start w:val="1"/>
      <w:numFmt w:val="lowerRoman"/>
      <w:isLgl w:val="false"/>
      <w:suff w:val="tab"/>
      <w:lvlText w:val="%9."/>
      <w:lvlJc w:val="right"/>
      <w:pPr>
        <w:ind w:left="7964" w:hanging="180"/>
      </w:pPr>
    </w:lvl>
  </w:abstractNum>
  <w:abstractNum w:abstractNumId="4">
    <w:multiLevelType w:val="hybridMultilevel"/>
    <w:lvl w:ilvl="0">
      <w:start w:val="1"/>
      <w:numFmt w:val="decimal"/>
      <w:isLgl w:val="false"/>
      <w:suff w:val="tab"/>
      <w:lvlText w:val="%1."/>
      <w:lvlJc w:val="left"/>
      <w:pPr>
        <w:ind w:left="720" w:hanging="360"/>
      </w:pPr>
    </w:lvl>
    <w:lvl w:ilvl="1">
      <w:start w:val="1"/>
      <w:numFmt w:val="decimal"/>
      <w:isLgl/>
      <w:suff w:val="tab"/>
      <w:lvlText w:val="%1.%2."/>
      <w:lvlJc w:val="left"/>
      <w:pPr>
        <w:ind w:left="1637" w:hanging="360"/>
      </w:pPr>
      <w:rPr>
        <w:rFonts w:hint="default"/>
        <w:b w:val="0"/>
        <w:bCs w:val="0"/>
      </w:rPr>
    </w:lvl>
    <w:lvl w:ilvl="2">
      <w:start w:val="1"/>
      <w:numFmt w:val="decimal"/>
      <w:isLgl/>
      <w:suff w:val="tab"/>
      <w:lvlText w:val="%1.%2.%3."/>
      <w:lvlJc w:val="left"/>
      <w:pPr>
        <w:ind w:left="1778" w:hanging="720"/>
      </w:pPr>
      <w:rPr>
        <w:rFonts w:hint="default"/>
      </w:rPr>
    </w:lvl>
    <w:lvl w:ilvl="3">
      <w:start w:val="1"/>
      <w:numFmt w:val="decimal"/>
      <w:isLgl/>
      <w:suff w:val="tab"/>
      <w:lvlText w:val="%1.%2.%3.%4."/>
      <w:lvlJc w:val="left"/>
      <w:pPr>
        <w:ind w:left="2127" w:hanging="720"/>
      </w:pPr>
      <w:rPr>
        <w:rFonts w:hint="default"/>
      </w:rPr>
    </w:lvl>
    <w:lvl w:ilvl="4">
      <w:start w:val="1"/>
      <w:numFmt w:val="decimal"/>
      <w:isLgl/>
      <w:suff w:val="tab"/>
      <w:lvlText w:val="%1.%2.%3.%4.%5."/>
      <w:lvlJc w:val="left"/>
      <w:pPr>
        <w:ind w:left="2836" w:hanging="1080"/>
      </w:pPr>
      <w:rPr>
        <w:rFonts w:hint="default"/>
      </w:rPr>
    </w:lvl>
    <w:lvl w:ilvl="5">
      <w:start w:val="1"/>
      <w:numFmt w:val="decimal"/>
      <w:isLgl/>
      <w:suff w:val="tab"/>
      <w:lvlText w:val="%1.%2.%3.%4.%5.%6."/>
      <w:lvlJc w:val="left"/>
      <w:pPr>
        <w:ind w:left="3185" w:hanging="1080"/>
      </w:pPr>
      <w:rPr>
        <w:rFonts w:hint="default"/>
      </w:rPr>
    </w:lvl>
    <w:lvl w:ilvl="6">
      <w:start w:val="1"/>
      <w:numFmt w:val="decimal"/>
      <w:isLgl/>
      <w:suff w:val="tab"/>
      <w:lvlText w:val="%1.%2.%3.%4.%5.%6.%7."/>
      <w:lvlJc w:val="left"/>
      <w:pPr>
        <w:ind w:left="3894" w:hanging="1440"/>
      </w:pPr>
      <w:rPr>
        <w:rFonts w:hint="default"/>
      </w:rPr>
    </w:lvl>
    <w:lvl w:ilvl="7">
      <w:start w:val="1"/>
      <w:numFmt w:val="decimal"/>
      <w:isLgl/>
      <w:suff w:val="tab"/>
      <w:lvlText w:val="%1.%2.%3.%4.%5.%6.%7.%8."/>
      <w:lvlJc w:val="left"/>
      <w:pPr>
        <w:ind w:left="4243" w:hanging="1440"/>
      </w:pPr>
      <w:rPr>
        <w:rFonts w:hint="default"/>
      </w:rPr>
    </w:lvl>
    <w:lvl w:ilvl="8">
      <w:start w:val="1"/>
      <w:numFmt w:val="decimal"/>
      <w:isLgl/>
      <w:suff w:val="tab"/>
      <w:lvlText w:val="%1.%2.%3.%4.%5.%6.%7.%8.%9."/>
      <w:lvlJc w:val="left"/>
      <w:pPr>
        <w:ind w:left="4952" w:hanging="1800"/>
      </w:pPr>
      <w:rPr>
        <w:rFonts w:hint="default"/>
      </w:rPr>
    </w:lvl>
  </w:abstractNum>
  <w:abstractNum w:abstractNumId="5">
    <w:multiLevelType w:val="hybridMultilevel"/>
    <w:lvl w:ilvl="0">
      <w:start w:val="1"/>
      <w:numFmt w:val="russianLower"/>
      <w:isLgl w:val="false"/>
      <w:suff w:val="tab"/>
      <w:lvlText w:val="%1)"/>
      <w:lvlJc w:val="left"/>
      <w:pPr>
        <w:ind w:left="1429" w:hanging="360"/>
      </w:pPr>
    </w:lvl>
    <w:lvl w:ilvl="1">
      <w:start w:val="1"/>
      <w:numFmt w:val="lowerLetter"/>
      <w:isLgl w:val="false"/>
      <w:suff w:val="tab"/>
      <w:lvlText w:val="%2."/>
      <w:lvlJc w:val="left"/>
      <w:pPr>
        <w:ind w:left="2149" w:hanging="360"/>
      </w:pPr>
    </w:lvl>
    <w:lvl w:ilvl="2">
      <w:start w:val="1"/>
      <w:numFmt w:val="lowerRoman"/>
      <w:isLgl w:val="false"/>
      <w:suff w:val="tab"/>
      <w:lvlText w:val="%3."/>
      <w:lvlJc w:val="right"/>
      <w:pPr>
        <w:ind w:left="2869" w:hanging="180"/>
      </w:pPr>
    </w:lvl>
    <w:lvl w:ilvl="3">
      <w:start w:val="1"/>
      <w:numFmt w:val="decimal"/>
      <w:isLgl w:val="false"/>
      <w:suff w:val="tab"/>
      <w:lvlText w:val="%4."/>
      <w:lvlJc w:val="left"/>
      <w:pPr>
        <w:ind w:left="3589" w:hanging="360"/>
      </w:pPr>
    </w:lvl>
    <w:lvl w:ilvl="4">
      <w:start w:val="1"/>
      <w:numFmt w:val="lowerLetter"/>
      <w:isLgl w:val="false"/>
      <w:suff w:val="tab"/>
      <w:lvlText w:val="%5."/>
      <w:lvlJc w:val="left"/>
      <w:pPr>
        <w:ind w:left="4309" w:hanging="360"/>
      </w:pPr>
    </w:lvl>
    <w:lvl w:ilvl="5">
      <w:start w:val="1"/>
      <w:numFmt w:val="lowerRoman"/>
      <w:isLgl w:val="false"/>
      <w:suff w:val="tab"/>
      <w:lvlText w:val="%6."/>
      <w:lvlJc w:val="right"/>
      <w:pPr>
        <w:ind w:left="5029" w:hanging="180"/>
      </w:pPr>
    </w:lvl>
    <w:lvl w:ilvl="6">
      <w:start w:val="1"/>
      <w:numFmt w:val="decimal"/>
      <w:isLgl w:val="false"/>
      <w:suff w:val="tab"/>
      <w:lvlText w:val="%7."/>
      <w:lvlJc w:val="left"/>
      <w:pPr>
        <w:ind w:left="5749" w:hanging="360"/>
      </w:pPr>
    </w:lvl>
    <w:lvl w:ilvl="7">
      <w:start w:val="1"/>
      <w:numFmt w:val="lowerLetter"/>
      <w:isLgl w:val="false"/>
      <w:suff w:val="tab"/>
      <w:lvlText w:val="%8."/>
      <w:lvlJc w:val="left"/>
      <w:pPr>
        <w:ind w:left="6469" w:hanging="360"/>
      </w:pPr>
    </w:lvl>
    <w:lvl w:ilvl="8">
      <w:start w:val="1"/>
      <w:numFmt w:val="lowerRoman"/>
      <w:isLgl w:val="false"/>
      <w:suff w:val="tab"/>
      <w:lvlText w:val="%9."/>
      <w:lvlJc w:val="right"/>
      <w:pPr>
        <w:ind w:left="7189" w:hanging="180"/>
      </w:pPr>
    </w:lvl>
  </w:abstractNum>
  <w:abstractNum w:abstractNumId="6">
    <w:multiLevelType w:val="hybridMultilevel"/>
    <w:lvl w:ilvl="0">
      <w:start w:val="1"/>
      <w:numFmt w:val="decimal"/>
      <w:isLgl w:val="false"/>
      <w:suff w:val="tab"/>
      <w:lvlText w:val="%1."/>
      <w:lvlJc w:val="left"/>
      <w:pPr>
        <w:ind w:left="1440" w:hanging="360"/>
      </w:pPr>
    </w:lvl>
    <w:lvl w:ilvl="1">
      <w:start w:val="1"/>
      <w:numFmt w:val="decimal"/>
      <w:isLgl/>
      <w:suff w:val="tab"/>
      <w:lvlText w:val="%1.%2."/>
      <w:lvlJc w:val="left"/>
      <w:pPr>
        <w:ind w:left="1800" w:hanging="720"/>
      </w:pPr>
      <w:rPr>
        <w:rFonts w:hint="default"/>
      </w:rPr>
    </w:lvl>
    <w:lvl w:ilvl="2">
      <w:start w:val="1"/>
      <w:numFmt w:val="decimal"/>
      <w:isLgl/>
      <w:suff w:val="tab"/>
      <w:lvlText w:val="%1.%2.%3."/>
      <w:lvlJc w:val="left"/>
      <w:pPr>
        <w:ind w:left="2160" w:hanging="1080"/>
      </w:pPr>
      <w:rPr>
        <w:rFonts w:hint="default"/>
      </w:rPr>
    </w:lvl>
    <w:lvl w:ilvl="3">
      <w:start w:val="1"/>
      <w:numFmt w:val="decimal"/>
      <w:isLgl/>
      <w:suff w:val="tab"/>
      <w:lvlText w:val="%1.%2.%3.%4."/>
      <w:lvlJc w:val="left"/>
      <w:pPr>
        <w:ind w:left="2520" w:hanging="1440"/>
      </w:pPr>
      <w:rPr>
        <w:rFonts w:hint="default"/>
      </w:rPr>
    </w:lvl>
    <w:lvl w:ilvl="4">
      <w:start w:val="1"/>
      <w:numFmt w:val="decimal"/>
      <w:isLgl/>
      <w:suff w:val="tab"/>
      <w:lvlText w:val="%1.%2.%3.%4.%5."/>
      <w:lvlJc w:val="left"/>
      <w:pPr>
        <w:ind w:left="2520" w:hanging="1440"/>
      </w:pPr>
      <w:rPr>
        <w:rFonts w:hint="default"/>
      </w:rPr>
    </w:lvl>
    <w:lvl w:ilvl="5">
      <w:start w:val="1"/>
      <w:numFmt w:val="decimal"/>
      <w:isLgl/>
      <w:suff w:val="tab"/>
      <w:lvlText w:val="%1.%2.%3.%4.%5.%6."/>
      <w:lvlJc w:val="left"/>
      <w:pPr>
        <w:ind w:left="2880" w:hanging="1800"/>
      </w:pPr>
      <w:rPr>
        <w:rFonts w:hint="default"/>
      </w:rPr>
    </w:lvl>
    <w:lvl w:ilvl="6">
      <w:start w:val="1"/>
      <w:numFmt w:val="decimal"/>
      <w:isLgl/>
      <w:suff w:val="tab"/>
      <w:lvlText w:val="%1.%2.%3.%4.%5.%6.%7."/>
      <w:lvlJc w:val="left"/>
      <w:pPr>
        <w:ind w:left="3240" w:hanging="2160"/>
      </w:pPr>
      <w:rPr>
        <w:rFonts w:hint="default"/>
      </w:rPr>
    </w:lvl>
    <w:lvl w:ilvl="7">
      <w:start w:val="1"/>
      <w:numFmt w:val="decimal"/>
      <w:isLgl/>
      <w:suff w:val="tab"/>
      <w:lvlText w:val="%1.%2.%3.%4.%5.%6.%7.%8."/>
      <w:lvlJc w:val="left"/>
      <w:pPr>
        <w:ind w:left="3600" w:hanging="2520"/>
      </w:pPr>
      <w:rPr>
        <w:rFonts w:hint="default"/>
      </w:rPr>
    </w:lvl>
    <w:lvl w:ilvl="8">
      <w:start w:val="1"/>
      <w:numFmt w:val="decimal"/>
      <w:isLgl/>
      <w:suff w:val="tab"/>
      <w:lvlText w:val="%1.%2.%3.%4.%5.%6.%7.%8.%9."/>
      <w:lvlJc w:val="left"/>
      <w:pPr>
        <w:ind w:left="3960" w:hanging="2880"/>
      </w:pPr>
      <w:rPr>
        <w:rFonts w:hint="default"/>
      </w:rPr>
    </w:lvl>
  </w:abstractNum>
  <w:abstractNum w:abstractNumId="7">
    <w:multiLevelType w:val="hybridMultilevel"/>
    <w:lvl w:ilvl="0">
      <w:start w:val="1"/>
      <w:numFmt w:val="decimal"/>
      <w:isLgl w:val="false"/>
      <w:suff w:val="tab"/>
      <w:lvlText w:val="%1."/>
      <w:lvlJc w:val="left"/>
      <w:pPr>
        <w:ind w:left="360" w:hanging="360"/>
      </w:pPr>
      <w:rPr>
        <w:rFonts w:cs="Times New Roman"/>
      </w:rPr>
    </w:lvl>
    <w:lvl w:ilvl="1">
      <w:start w:val="1"/>
      <w:numFmt w:val="lowerLetter"/>
      <w:isLgl w:val="false"/>
      <w:suff w:val="tab"/>
      <w:lvlText w:val="%2."/>
      <w:lvlJc w:val="left"/>
      <w:pPr>
        <w:ind w:left="1080" w:hanging="360"/>
      </w:pPr>
      <w:rPr>
        <w:rFonts w:cs="Times New Roman"/>
      </w:rPr>
    </w:lvl>
    <w:lvl w:ilvl="2">
      <w:start w:val="1"/>
      <w:numFmt w:val="lowerRoman"/>
      <w:isLgl w:val="false"/>
      <w:suff w:val="tab"/>
      <w:lvlText w:val="%3."/>
      <w:lvlJc w:val="right"/>
      <w:pPr>
        <w:ind w:left="1800" w:hanging="180"/>
      </w:pPr>
      <w:rPr>
        <w:rFonts w:cs="Times New Roman"/>
      </w:rPr>
    </w:lvl>
    <w:lvl w:ilvl="3">
      <w:start w:val="1"/>
      <w:numFmt w:val="decimal"/>
      <w:isLgl w:val="false"/>
      <w:suff w:val="tab"/>
      <w:lvlText w:val="%4."/>
      <w:lvlJc w:val="left"/>
      <w:pPr>
        <w:ind w:left="2520" w:hanging="360"/>
      </w:pPr>
      <w:rPr>
        <w:rFonts w:cs="Times New Roman"/>
      </w:rPr>
    </w:lvl>
    <w:lvl w:ilvl="4">
      <w:start w:val="1"/>
      <w:numFmt w:val="lowerLetter"/>
      <w:isLgl w:val="false"/>
      <w:suff w:val="tab"/>
      <w:lvlText w:val="%5."/>
      <w:lvlJc w:val="left"/>
      <w:pPr>
        <w:ind w:left="3240" w:hanging="360"/>
      </w:pPr>
      <w:rPr>
        <w:rFonts w:cs="Times New Roman"/>
      </w:rPr>
    </w:lvl>
    <w:lvl w:ilvl="5">
      <w:start w:val="1"/>
      <w:numFmt w:val="lowerRoman"/>
      <w:isLgl w:val="false"/>
      <w:suff w:val="tab"/>
      <w:lvlText w:val="%6."/>
      <w:lvlJc w:val="right"/>
      <w:pPr>
        <w:ind w:left="3960" w:hanging="180"/>
      </w:pPr>
      <w:rPr>
        <w:rFonts w:cs="Times New Roman"/>
      </w:rPr>
    </w:lvl>
    <w:lvl w:ilvl="6">
      <w:start w:val="1"/>
      <w:numFmt w:val="decimal"/>
      <w:isLgl w:val="false"/>
      <w:suff w:val="tab"/>
      <w:lvlText w:val="%7."/>
      <w:lvlJc w:val="left"/>
      <w:pPr>
        <w:ind w:left="4680" w:hanging="360"/>
      </w:pPr>
      <w:rPr>
        <w:rFonts w:cs="Times New Roman"/>
      </w:rPr>
    </w:lvl>
    <w:lvl w:ilvl="7">
      <w:start w:val="1"/>
      <w:numFmt w:val="lowerLetter"/>
      <w:isLgl w:val="false"/>
      <w:suff w:val="tab"/>
      <w:lvlText w:val="%8."/>
      <w:lvlJc w:val="left"/>
      <w:pPr>
        <w:ind w:left="5400" w:hanging="360"/>
      </w:pPr>
      <w:rPr>
        <w:rFonts w:cs="Times New Roman"/>
      </w:rPr>
    </w:lvl>
    <w:lvl w:ilvl="8">
      <w:start w:val="1"/>
      <w:numFmt w:val="lowerRoman"/>
      <w:isLgl w:val="false"/>
      <w:suff w:val="tab"/>
      <w:lvlText w:val="%9."/>
      <w:lvlJc w:val="right"/>
      <w:pPr>
        <w:ind w:left="6120" w:hanging="180"/>
      </w:pPr>
      <w:rPr>
        <w:rFonts w:cs="Times New Roman"/>
      </w:rPr>
    </w:lvl>
  </w:abstractNum>
  <w:abstractNum w:abstractNumId="8">
    <w:multiLevelType w:val="hybridMultilevel"/>
    <w:lvl w:ilvl="0">
      <w:start w:val="1"/>
      <w:numFmt w:val="bullet"/>
      <w:isLgl w:val="false"/>
      <w:suff w:val="tab"/>
      <w:lvlText w:val=""/>
      <w:lvlJc w:val="left"/>
      <w:pPr>
        <w:ind w:left="1080" w:hanging="360"/>
      </w:pPr>
      <w:rPr>
        <w:rFonts w:hint="default" w:ascii="Symbol" w:hAnsi="Symbol"/>
      </w:rPr>
    </w:lvl>
    <w:lvl w:ilvl="1">
      <w:start w:val="1"/>
      <w:numFmt w:val="bullet"/>
      <w:isLgl w:val="false"/>
      <w:suff w:val="tab"/>
      <w:lvlText w:val="o"/>
      <w:lvlJc w:val="left"/>
      <w:pPr>
        <w:ind w:left="1800" w:hanging="360"/>
      </w:pPr>
      <w:rPr>
        <w:rFonts w:hint="default" w:ascii="Courier New" w:hAnsi="Courier New" w:cs="Courier New"/>
      </w:rPr>
    </w:lvl>
    <w:lvl w:ilvl="2">
      <w:start w:val="1"/>
      <w:numFmt w:val="bullet"/>
      <w:isLgl w:val="false"/>
      <w:suff w:val="tab"/>
      <w:lvlText w:val=""/>
      <w:lvlJc w:val="left"/>
      <w:pPr>
        <w:ind w:left="2520" w:hanging="360"/>
      </w:pPr>
      <w:rPr>
        <w:rFonts w:hint="default" w:ascii="Wingdings" w:hAnsi="Wingdings"/>
      </w:rPr>
    </w:lvl>
    <w:lvl w:ilvl="3">
      <w:start w:val="1"/>
      <w:numFmt w:val="bullet"/>
      <w:isLgl w:val="false"/>
      <w:suff w:val="tab"/>
      <w:lvlText w:val=""/>
      <w:lvlJc w:val="left"/>
      <w:pPr>
        <w:ind w:left="3240" w:hanging="360"/>
      </w:pPr>
      <w:rPr>
        <w:rFonts w:hint="default" w:ascii="Symbol" w:hAnsi="Symbol"/>
      </w:rPr>
    </w:lvl>
    <w:lvl w:ilvl="4">
      <w:start w:val="1"/>
      <w:numFmt w:val="bullet"/>
      <w:isLgl w:val="false"/>
      <w:suff w:val="tab"/>
      <w:lvlText w:val="o"/>
      <w:lvlJc w:val="left"/>
      <w:pPr>
        <w:ind w:left="3960" w:hanging="360"/>
      </w:pPr>
      <w:rPr>
        <w:rFonts w:hint="default" w:ascii="Courier New" w:hAnsi="Courier New" w:cs="Courier New"/>
      </w:rPr>
    </w:lvl>
    <w:lvl w:ilvl="5">
      <w:start w:val="1"/>
      <w:numFmt w:val="bullet"/>
      <w:isLgl w:val="false"/>
      <w:suff w:val="tab"/>
      <w:lvlText w:val=""/>
      <w:lvlJc w:val="left"/>
      <w:pPr>
        <w:ind w:left="4680" w:hanging="360"/>
      </w:pPr>
      <w:rPr>
        <w:rFonts w:hint="default" w:ascii="Wingdings" w:hAnsi="Wingdings"/>
      </w:rPr>
    </w:lvl>
    <w:lvl w:ilvl="6">
      <w:start w:val="1"/>
      <w:numFmt w:val="bullet"/>
      <w:isLgl w:val="false"/>
      <w:suff w:val="tab"/>
      <w:lvlText w:val=""/>
      <w:lvlJc w:val="left"/>
      <w:pPr>
        <w:ind w:left="5400" w:hanging="360"/>
      </w:pPr>
      <w:rPr>
        <w:rFonts w:hint="default" w:ascii="Symbol" w:hAnsi="Symbol"/>
      </w:rPr>
    </w:lvl>
    <w:lvl w:ilvl="7">
      <w:start w:val="1"/>
      <w:numFmt w:val="bullet"/>
      <w:isLgl w:val="false"/>
      <w:suff w:val="tab"/>
      <w:lvlText w:val="o"/>
      <w:lvlJc w:val="left"/>
      <w:pPr>
        <w:ind w:left="6120" w:hanging="360"/>
      </w:pPr>
      <w:rPr>
        <w:rFonts w:hint="default" w:ascii="Courier New" w:hAnsi="Courier New" w:cs="Courier New"/>
      </w:rPr>
    </w:lvl>
    <w:lvl w:ilvl="8">
      <w:start w:val="1"/>
      <w:numFmt w:val="bullet"/>
      <w:isLgl w:val="false"/>
      <w:suff w:val="tab"/>
      <w:lvlText w:val=""/>
      <w:lvlJc w:val="left"/>
      <w:pPr>
        <w:ind w:left="6840" w:hanging="360"/>
      </w:pPr>
      <w:rPr>
        <w:rFonts w:hint="default" w:ascii="Wingdings" w:hAnsi="Wingdings"/>
      </w:rPr>
    </w:lvl>
  </w:abstractNum>
  <w:abstractNum w:abstractNumId="9">
    <w:multiLevelType w:val="hybridMultilevel"/>
    <w:lvl w:ilvl="0">
      <w:start w:val="1"/>
      <w:numFmt w:val="russianLower"/>
      <w:isLgl w:val="false"/>
      <w:suff w:val="tab"/>
      <w:lvlText w:val="%1)"/>
      <w:lvlJc w:val="left"/>
      <w:pPr>
        <w:ind w:left="1440" w:hanging="360"/>
      </w:pPr>
      <w:rPr>
        <w:rFonts w:hint="default"/>
      </w:rPr>
    </w:lvl>
    <w:lvl w:ilvl="1">
      <w:start w:val="1"/>
      <w:numFmt w:val="lowerLetter"/>
      <w:isLgl w:val="false"/>
      <w:suff w:val="tab"/>
      <w:lvlText w:val="%2."/>
      <w:lvlJc w:val="left"/>
      <w:pPr>
        <w:ind w:left="2160" w:hanging="360"/>
      </w:pPr>
    </w:lvl>
    <w:lvl w:ilvl="2">
      <w:start w:val="1"/>
      <w:numFmt w:val="lowerRoman"/>
      <w:isLgl w:val="false"/>
      <w:suff w:val="tab"/>
      <w:lvlText w:val="%3."/>
      <w:lvlJc w:val="right"/>
      <w:pPr>
        <w:ind w:left="2880" w:hanging="180"/>
      </w:pPr>
    </w:lvl>
    <w:lvl w:ilvl="3">
      <w:start w:val="1"/>
      <w:numFmt w:val="decimal"/>
      <w:isLgl w:val="false"/>
      <w:suff w:val="tab"/>
      <w:lvlText w:val="%4."/>
      <w:lvlJc w:val="left"/>
      <w:pPr>
        <w:ind w:left="3600" w:hanging="360"/>
      </w:pPr>
    </w:lvl>
    <w:lvl w:ilvl="4">
      <w:start w:val="1"/>
      <w:numFmt w:val="lowerLetter"/>
      <w:isLgl w:val="false"/>
      <w:suff w:val="tab"/>
      <w:lvlText w:val="%5."/>
      <w:lvlJc w:val="left"/>
      <w:pPr>
        <w:ind w:left="4320" w:hanging="360"/>
      </w:pPr>
    </w:lvl>
    <w:lvl w:ilvl="5">
      <w:start w:val="1"/>
      <w:numFmt w:val="lowerRoman"/>
      <w:isLgl w:val="false"/>
      <w:suff w:val="tab"/>
      <w:lvlText w:val="%6."/>
      <w:lvlJc w:val="right"/>
      <w:pPr>
        <w:ind w:left="5040" w:hanging="180"/>
      </w:pPr>
    </w:lvl>
    <w:lvl w:ilvl="6">
      <w:start w:val="1"/>
      <w:numFmt w:val="decimal"/>
      <w:isLgl w:val="false"/>
      <w:suff w:val="tab"/>
      <w:lvlText w:val="%7."/>
      <w:lvlJc w:val="left"/>
      <w:pPr>
        <w:ind w:left="5760" w:hanging="360"/>
      </w:pPr>
    </w:lvl>
    <w:lvl w:ilvl="7">
      <w:start w:val="1"/>
      <w:numFmt w:val="lowerLetter"/>
      <w:isLgl w:val="false"/>
      <w:suff w:val="tab"/>
      <w:lvlText w:val="%8."/>
      <w:lvlJc w:val="left"/>
      <w:pPr>
        <w:ind w:left="6480" w:hanging="360"/>
      </w:pPr>
    </w:lvl>
    <w:lvl w:ilvl="8">
      <w:start w:val="1"/>
      <w:numFmt w:val="lowerRoman"/>
      <w:isLgl w:val="false"/>
      <w:suff w:val="tab"/>
      <w:lvlText w:val="%9."/>
      <w:lvlJc w:val="right"/>
      <w:pPr>
        <w:ind w:left="7200" w:hanging="180"/>
      </w:pPr>
    </w:lvl>
  </w:abstractNum>
  <w:abstractNum w:abstractNumId="10">
    <w:multiLevelType w:val="hybridMultilevel"/>
    <w:lvl w:ilvl="0">
      <w:start w:val="1"/>
      <w:numFmt w:val="decimal"/>
      <w:isLgl w:val="false"/>
      <w:suff w:val="tab"/>
      <w:lvlText w:val="%1."/>
      <w:lvlJc w:val="left"/>
      <w:pPr>
        <w:ind w:left="1570" w:hanging="435"/>
      </w:pPr>
      <w:rPr>
        <w:rFonts w:hint="default" w:ascii="Times New Roman" w:hAnsi="Times New Roman" w:cs="Times New Roman"/>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11">
    <w:multiLevelType w:val="hybridMultilevel"/>
    <w:lvl w:ilvl="0">
      <w:start w:val="1"/>
      <w:numFmt w:val="decimal"/>
      <w:isLgl w:val="false"/>
      <w:suff w:val="tab"/>
      <w:lvlText w:val="%1)"/>
      <w:lvlJc w:val="left"/>
      <w:pPr>
        <w:ind w:left="2149" w:hanging="360"/>
      </w:pPr>
    </w:lvl>
    <w:lvl w:ilvl="1">
      <w:start w:val="1"/>
      <w:numFmt w:val="lowerLetter"/>
      <w:isLgl w:val="false"/>
      <w:suff w:val="tab"/>
      <w:lvlText w:val="%2."/>
      <w:lvlJc w:val="left"/>
      <w:pPr>
        <w:ind w:left="2869" w:hanging="360"/>
      </w:pPr>
    </w:lvl>
    <w:lvl w:ilvl="2">
      <w:start w:val="1"/>
      <w:numFmt w:val="lowerRoman"/>
      <w:isLgl w:val="false"/>
      <w:suff w:val="tab"/>
      <w:lvlText w:val="%3."/>
      <w:lvlJc w:val="right"/>
      <w:pPr>
        <w:ind w:left="3589" w:hanging="180"/>
      </w:pPr>
    </w:lvl>
    <w:lvl w:ilvl="3">
      <w:start w:val="1"/>
      <w:numFmt w:val="decimal"/>
      <w:isLgl w:val="false"/>
      <w:suff w:val="tab"/>
      <w:lvlText w:val="%4."/>
      <w:lvlJc w:val="left"/>
      <w:pPr>
        <w:ind w:left="4309" w:hanging="360"/>
      </w:pPr>
    </w:lvl>
    <w:lvl w:ilvl="4">
      <w:start w:val="1"/>
      <w:numFmt w:val="lowerLetter"/>
      <w:isLgl w:val="false"/>
      <w:suff w:val="tab"/>
      <w:lvlText w:val="%5."/>
      <w:lvlJc w:val="left"/>
      <w:pPr>
        <w:ind w:left="5029" w:hanging="360"/>
      </w:pPr>
    </w:lvl>
    <w:lvl w:ilvl="5">
      <w:start w:val="1"/>
      <w:numFmt w:val="lowerRoman"/>
      <w:isLgl w:val="false"/>
      <w:suff w:val="tab"/>
      <w:lvlText w:val="%6."/>
      <w:lvlJc w:val="right"/>
      <w:pPr>
        <w:ind w:left="5749" w:hanging="180"/>
      </w:pPr>
    </w:lvl>
    <w:lvl w:ilvl="6">
      <w:start w:val="1"/>
      <w:numFmt w:val="decimal"/>
      <w:isLgl w:val="false"/>
      <w:suff w:val="tab"/>
      <w:lvlText w:val="%7."/>
      <w:lvlJc w:val="left"/>
      <w:pPr>
        <w:ind w:left="6469" w:hanging="360"/>
      </w:pPr>
    </w:lvl>
    <w:lvl w:ilvl="7">
      <w:start w:val="1"/>
      <w:numFmt w:val="lowerLetter"/>
      <w:isLgl w:val="false"/>
      <w:suff w:val="tab"/>
      <w:lvlText w:val="%8."/>
      <w:lvlJc w:val="left"/>
      <w:pPr>
        <w:ind w:left="7189" w:hanging="360"/>
      </w:pPr>
    </w:lvl>
    <w:lvl w:ilvl="8">
      <w:start w:val="1"/>
      <w:numFmt w:val="lowerRoman"/>
      <w:isLgl w:val="false"/>
      <w:suff w:val="tab"/>
      <w:lvlText w:val="%9."/>
      <w:lvlJc w:val="right"/>
      <w:pPr>
        <w:ind w:left="7909" w:hanging="180"/>
      </w:pPr>
    </w:lvl>
  </w:abstractNum>
  <w:abstractNum w:abstractNumId="12">
    <w:multiLevelType w:val="hybridMultilevel"/>
    <w:lvl w:ilvl="0">
      <w:start w:val="1"/>
      <w:numFmt w:val="bullet"/>
      <w:isLgl w:val="false"/>
      <w:suff w:val="tab"/>
      <w:lvlText w:val=""/>
      <w:lvlJc w:val="left"/>
      <w:pPr>
        <w:ind w:left="1080" w:hanging="360"/>
      </w:pPr>
      <w:rPr>
        <w:rFonts w:hint="default" w:ascii="Symbol" w:hAnsi="Symbol"/>
      </w:rPr>
    </w:lvl>
    <w:lvl w:ilvl="1">
      <w:start w:val="1"/>
      <w:numFmt w:val="bullet"/>
      <w:isLgl w:val="false"/>
      <w:suff w:val="tab"/>
      <w:lvlText w:val="o"/>
      <w:lvlJc w:val="left"/>
      <w:pPr>
        <w:ind w:left="1800" w:hanging="360"/>
      </w:pPr>
      <w:rPr>
        <w:rFonts w:hint="default" w:ascii="Courier New" w:hAnsi="Courier New" w:cs="Courier New"/>
      </w:rPr>
    </w:lvl>
    <w:lvl w:ilvl="2">
      <w:start w:val="1"/>
      <w:numFmt w:val="bullet"/>
      <w:isLgl w:val="false"/>
      <w:suff w:val="tab"/>
      <w:lvlText w:val=""/>
      <w:lvlJc w:val="left"/>
      <w:pPr>
        <w:ind w:left="2520" w:hanging="360"/>
      </w:pPr>
      <w:rPr>
        <w:rFonts w:hint="default" w:ascii="Wingdings" w:hAnsi="Wingdings"/>
      </w:rPr>
    </w:lvl>
    <w:lvl w:ilvl="3">
      <w:start w:val="1"/>
      <w:numFmt w:val="bullet"/>
      <w:isLgl w:val="false"/>
      <w:suff w:val="tab"/>
      <w:lvlText w:val=""/>
      <w:lvlJc w:val="left"/>
      <w:pPr>
        <w:ind w:left="3240" w:hanging="360"/>
      </w:pPr>
      <w:rPr>
        <w:rFonts w:hint="default" w:ascii="Symbol" w:hAnsi="Symbol"/>
      </w:rPr>
    </w:lvl>
    <w:lvl w:ilvl="4">
      <w:start w:val="1"/>
      <w:numFmt w:val="bullet"/>
      <w:isLgl w:val="false"/>
      <w:suff w:val="tab"/>
      <w:lvlText w:val="o"/>
      <w:lvlJc w:val="left"/>
      <w:pPr>
        <w:ind w:left="3960" w:hanging="360"/>
      </w:pPr>
      <w:rPr>
        <w:rFonts w:hint="default" w:ascii="Courier New" w:hAnsi="Courier New" w:cs="Courier New"/>
      </w:rPr>
    </w:lvl>
    <w:lvl w:ilvl="5">
      <w:start w:val="1"/>
      <w:numFmt w:val="bullet"/>
      <w:isLgl w:val="false"/>
      <w:suff w:val="tab"/>
      <w:lvlText w:val=""/>
      <w:lvlJc w:val="left"/>
      <w:pPr>
        <w:ind w:left="4680" w:hanging="360"/>
      </w:pPr>
      <w:rPr>
        <w:rFonts w:hint="default" w:ascii="Wingdings" w:hAnsi="Wingdings"/>
      </w:rPr>
    </w:lvl>
    <w:lvl w:ilvl="6">
      <w:start w:val="1"/>
      <w:numFmt w:val="bullet"/>
      <w:isLgl w:val="false"/>
      <w:suff w:val="tab"/>
      <w:lvlText w:val=""/>
      <w:lvlJc w:val="left"/>
      <w:pPr>
        <w:ind w:left="5400" w:hanging="360"/>
      </w:pPr>
      <w:rPr>
        <w:rFonts w:hint="default" w:ascii="Symbol" w:hAnsi="Symbol"/>
      </w:rPr>
    </w:lvl>
    <w:lvl w:ilvl="7">
      <w:start w:val="1"/>
      <w:numFmt w:val="bullet"/>
      <w:isLgl w:val="false"/>
      <w:suff w:val="tab"/>
      <w:lvlText w:val="o"/>
      <w:lvlJc w:val="left"/>
      <w:pPr>
        <w:ind w:left="6120" w:hanging="360"/>
      </w:pPr>
      <w:rPr>
        <w:rFonts w:hint="default" w:ascii="Courier New" w:hAnsi="Courier New" w:cs="Courier New"/>
      </w:rPr>
    </w:lvl>
    <w:lvl w:ilvl="8">
      <w:start w:val="1"/>
      <w:numFmt w:val="bullet"/>
      <w:isLgl w:val="false"/>
      <w:suff w:val="tab"/>
      <w:lvlText w:val=""/>
      <w:lvlJc w:val="left"/>
      <w:pPr>
        <w:ind w:left="6840" w:hanging="360"/>
      </w:pPr>
      <w:rPr>
        <w:rFonts w:hint="default" w:ascii="Wingdings" w:hAnsi="Wingdings"/>
      </w:rPr>
    </w:lvl>
  </w:abstractNum>
  <w:abstractNum w:abstractNumId="13">
    <w:multiLevelType w:val="hybridMultilevel"/>
    <w:lvl w:ilvl="0">
      <w:start w:val="1"/>
      <w:numFmt w:val="upperRoman"/>
      <w:isLgl w:val="false"/>
      <w:suff w:val="tab"/>
      <w:lvlText w:val="%1."/>
      <w:lvlJc w:val="righ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4">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5">
    <w:multiLevelType w:val="hybridMultilevel"/>
    <w:lvl w:ilvl="0">
      <w:start w:val="1"/>
      <w:numFmt w:val="decimal"/>
      <w:isLgl w:val="false"/>
      <w:suff w:val="tab"/>
      <w:lvlText w:val="%1."/>
      <w:lvlJc w:val="left"/>
      <w:pPr>
        <w:ind w:left="1440" w:hanging="360"/>
      </w:pPr>
    </w:lvl>
    <w:lvl w:ilvl="1">
      <w:start w:val="1"/>
      <w:numFmt w:val="lowerLetter"/>
      <w:isLgl w:val="false"/>
      <w:suff w:val="tab"/>
      <w:lvlText w:val="%2."/>
      <w:lvlJc w:val="left"/>
      <w:pPr>
        <w:ind w:left="2160" w:hanging="360"/>
      </w:pPr>
    </w:lvl>
    <w:lvl w:ilvl="2">
      <w:start w:val="1"/>
      <w:numFmt w:val="lowerRoman"/>
      <w:isLgl w:val="false"/>
      <w:suff w:val="tab"/>
      <w:lvlText w:val="%3."/>
      <w:lvlJc w:val="right"/>
      <w:pPr>
        <w:ind w:left="2880" w:hanging="180"/>
      </w:pPr>
    </w:lvl>
    <w:lvl w:ilvl="3">
      <w:start w:val="1"/>
      <w:numFmt w:val="decimal"/>
      <w:isLgl w:val="false"/>
      <w:suff w:val="tab"/>
      <w:lvlText w:val="%4."/>
      <w:lvlJc w:val="left"/>
      <w:pPr>
        <w:ind w:left="3600" w:hanging="360"/>
      </w:pPr>
    </w:lvl>
    <w:lvl w:ilvl="4">
      <w:start w:val="1"/>
      <w:numFmt w:val="lowerLetter"/>
      <w:isLgl w:val="false"/>
      <w:suff w:val="tab"/>
      <w:lvlText w:val="%5."/>
      <w:lvlJc w:val="left"/>
      <w:pPr>
        <w:ind w:left="4320" w:hanging="360"/>
      </w:pPr>
    </w:lvl>
    <w:lvl w:ilvl="5">
      <w:start w:val="1"/>
      <w:numFmt w:val="lowerRoman"/>
      <w:isLgl w:val="false"/>
      <w:suff w:val="tab"/>
      <w:lvlText w:val="%6."/>
      <w:lvlJc w:val="right"/>
      <w:pPr>
        <w:ind w:left="5040" w:hanging="180"/>
      </w:pPr>
    </w:lvl>
    <w:lvl w:ilvl="6">
      <w:start w:val="1"/>
      <w:numFmt w:val="decimal"/>
      <w:isLgl w:val="false"/>
      <w:suff w:val="tab"/>
      <w:lvlText w:val="%7."/>
      <w:lvlJc w:val="left"/>
      <w:pPr>
        <w:ind w:left="5760" w:hanging="360"/>
      </w:pPr>
    </w:lvl>
    <w:lvl w:ilvl="7">
      <w:start w:val="1"/>
      <w:numFmt w:val="lowerLetter"/>
      <w:isLgl w:val="false"/>
      <w:suff w:val="tab"/>
      <w:lvlText w:val="%8."/>
      <w:lvlJc w:val="left"/>
      <w:pPr>
        <w:ind w:left="6480" w:hanging="360"/>
      </w:pPr>
    </w:lvl>
    <w:lvl w:ilvl="8">
      <w:start w:val="1"/>
      <w:numFmt w:val="lowerRoman"/>
      <w:isLgl w:val="false"/>
      <w:suff w:val="tab"/>
      <w:lvlText w:val="%9."/>
      <w:lvlJc w:val="right"/>
      <w:pPr>
        <w:ind w:left="7200" w:hanging="180"/>
      </w:pPr>
    </w:lvl>
  </w:abstractNum>
  <w:abstractNum w:abstractNumId="16">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7">
    <w:multiLevelType w:val="hybridMultilevel"/>
    <w:lvl w:ilvl="0">
      <w:start w:val="1"/>
      <w:numFmt w:val="bullet"/>
      <w:isLgl w:val="false"/>
      <w:suff w:val="tab"/>
      <w:lvlText w:val=""/>
      <w:lvlJc w:val="left"/>
      <w:pPr>
        <w:ind w:left="1515" w:hanging="360"/>
      </w:pPr>
      <w:rPr>
        <w:rFonts w:hint="default" w:ascii="Symbol" w:hAnsi="Symbol"/>
      </w:rPr>
    </w:lvl>
    <w:lvl w:ilvl="1">
      <w:start w:val="1"/>
      <w:numFmt w:val="bullet"/>
      <w:isLgl w:val="false"/>
      <w:suff w:val="tab"/>
      <w:lvlText w:val="o"/>
      <w:lvlJc w:val="left"/>
      <w:pPr>
        <w:ind w:left="2235" w:hanging="360"/>
      </w:pPr>
      <w:rPr>
        <w:rFonts w:hint="default" w:ascii="Courier New" w:hAnsi="Courier New" w:cs="Courier New"/>
      </w:rPr>
    </w:lvl>
    <w:lvl w:ilvl="2">
      <w:start w:val="1"/>
      <w:numFmt w:val="bullet"/>
      <w:isLgl w:val="false"/>
      <w:suff w:val="tab"/>
      <w:lvlText w:val=""/>
      <w:lvlJc w:val="left"/>
      <w:pPr>
        <w:ind w:left="2955" w:hanging="360"/>
      </w:pPr>
      <w:rPr>
        <w:rFonts w:hint="default" w:ascii="Wingdings" w:hAnsi="Wingdings"/>
      </w:rPr>
    </w:lvl>
    <w:lvl w:ilvl="3">
      <w:start w:val="1"/>
      <w:numFmt w:val="bullet"/>
      <w:isLgl w:val="false"/>
      <w:suff w:val="tab"/>
      <w:lvlText w:val=""/>
      <w:lvlJc w:val="left"/>
      <w:pPr>
        <w:ind w:left="3675" w:hanging="360"/>
      </w:pPr>
      <w:rPr>
        <w:rFonts w:hint="default" w:ascii="Symbol" w:hAnsi="Symbol"/>
      </w:rPr>
    </w:lvl>
    <w:lvl w:ilvl="4">
      <w:start w:val="1"/>
      <w:numFmt w:val="bullet"/>
      <w:isLgl w:val="false"/>
      <w:suff w:val="tab"/>
      <w:lvlText w:val="o"/>
      <w:lvlJc w:val="left"/>
      <w:pPr>
        <w:ind w:left="4395" w:hanging="360"/>
      </w:pPr>
      <w:rPr>
        <w:rFonts w:hint="default" w:ascii="Courier New" w:hAnsi="Courier New" w:cs="Courier New"/>
      </w:rPr>
    </w:lvl>
    <w:lvl w:ilvl="5">
      <w:start w:val="1"/>
      <w:numFmt w:val="bullet"/>
      <w:isLgl w:val="false"/>
      <w:suff w:val="tab"/>
      <w:lvlText w:val=""/>
      <w:lvlJc w:val="left"/>
      <w:pPr>
        <w:ind w:left="5115" w:hanging="360"/>
      </w:pPr>
      <w:rPr>
        <w:rFonts w:hint="default" w:ascii="Wingdings" w:hAnsi="Wingdings"/>
      </w:rPr>
    </w:lvl>
    <w:lvl w:ilvl="6">
      <w:start w:val="1"/>
      <w:numFmt w:val="bullet"/>
      <w:isLgl w:val="false"/>
      <w:suff w:val="tab"/>
      <w:lvlText w:val=""/>
      <w:lvlJc w:val="left"/>
      <w:pPr>
        <w:ind w:left="5835" w:hanging="360"/>
      </w:pPr>
      <w:rPr>
        <w:rFonts w:hint="default" w:ascii="Symbol" w:hAnsi="Symbol"/>
      </w:rPr>
    </w:lvl>
    <w:lvl w:ilvl="7">
      <w:start w:val="1"/>
      <w:numFmt w:val="bullet"/>
      <w:isLgl w:val="false"/>
      <w:suff w:val="tab"/>
      <w:lvlText w:val="o"/>
      <w:lvlJc w:val="left"/>
      <w:pPr>
        <w:ind w:left="6555" w:hanging="360"/>
      </w:pPr>
      <w:rPr>
        <w:rFonts w:hint="default" w:ascii="Courier New" w:hAnsi="Courier New" w:cs="Courier New"/>
      </w:rPr>
    </w:lvl>
    <w:lvl w:ilvl="8">
      <w:start w:val="1"/>
      <w:numFmt w:val="bullet"/>
      <w:isLgl w:val="false"/>
      <w:suff w:val="tab"/>
      <w:lvlText w:val=""/>
      <w:lvlJc w:val="left"/>
      <w:pPr>
        <w:ind w:left="7275" w:hanging="360"/>
      </w:pPr>
      <w:rPr>
        <w:rFonts w:hint="default" w:ascii="Wingdings" w:hAnsi="Wingdings"/>
      </w:rPr>
    </w:lvl>
  </w:abstractNum>
  <w:abstractNum w:abstractNumId="18">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19">
    <w:multiLevelType w:val="hybridMultilevel"/>
    <w:lvl w:ilvl="0">
      <w:start w:val="1"/>
      <w:numFmt w:val="russianLower"/>
      <w:isLgl w:val="false"/>
      <w:suff w:val="tab"/>
      <w:lvlText w:val="%1)"/>
      <w:lvlJc w:val="left"/>
      <w:pPr>
        <w:ind w:left="2346" w:hanging="360"/>
      </w:pPr>
      <w:rPr>
        <w:rFonts w:hint="default"/>
      </w:rPr>
    </w:lvl>
    <w:lvl w:ilvl="1">
      <w:start w:val="1"/>
      <w:numFmt w:val="lowerLetter"/>
      <w:isLgl w:val="false"/>
      <w:suff w:val="tab"/>
      <w:lvlText w:val="%2."/>
      <w:lvlJc w:val="left"/>
      <w:pPr>
        <w:ind w:left="3066" w:hanging="360"/>
      </w:pPr>
    </w:lvl>
    <w:lvl w:ilvl="2">
      <w:start w:val="1"/>
      <w:numFmt w:val="lowerRoman"/>
      <w:isLgl w:val="false"/>
      <w:suff w:val="tab"/>
      <w:lvlText w:val="%3."/>
      <w:lvlJc w:val="right"/>
      <w:pPr>
        <w:ind w:left="3786" w:hanging="180"/>
      </w:pPr>
    </w:lvl>
    <w:lvl w:ilvl="3">
      <w:start w:val="1"/>
      <w:numFmt w:val="decimal"/>
      <w:isLgl w:val="false"/>
      <w:suff w:val="tab"/>
      <w:lvlText w:val="%4."/>
      <w:lvlJc w:val="left"/>
      <w:pPr>
        <w:ind w:left="4506" w:hanging="360"/>
      </w:pPr>
    </w:lvl>
    <w:lvl w:ilvl="4">
      <w:start w:val="1"/>
      <w:numFmt w:val="lowerLetter"/>
      <w:isLgl w:val="false"/>
      <w:suff w:val="tab"/>
      <w:lvlText w:val="%5."/>
      <w:lvlJc w:val="left"/>
      <w:pPr>
        <w:ind w:left="5226" w:hanging="360"/>
      </w:pPr>
    </w:lvl>
    <w:lvl w:ilvl="5">
      <w:start w:val="1"/>
      <w:numFmt w:val="lowerRoman"/>
      <w:isLgl w:val="false"/>
      <w:suff w:val="tab"/>
      <w:lvlText w:val="%6."/>
      <w:lvlJc w:val="right"/>
      <w:pPr>
        <w:ind w:left="5946" w:hanging="180"/>
      </w:pPr>
    </w:lvl>
    <w:lvl w:ilvl="6">
      <w:start w:val="1"/>
      <w:numFmt w:val="decimal"/>
      <w:isLgl w:val="false"/>
      <w:suff w:val="tab"/>
      <w:lvlText w:val="%7."/>
      <w:lvlJc w:val="left"/>
      <w:pPr>
        <w:ind w:left="6666" w:hanging="360"/>
      </w:pPr>
    </w:lvl>
    <w:lvl w:ilvl="7">
      <w:start w:val="1"/>
      <w:numFmt w:val="lowerLetter"/>
      <w:isLgl w:val="false"/>
      <w:suff w:val="tab"/>
      <w:lvlText w:val="%8."/>
      <w:lvlJc w:val="left"/>
      <w:pPr>
        <w:ind w:left="7386" w:hanging="360"/>
      </w:pPr>
    </w:lvl>
    <w:lvl w:ilvl="8">
      <w:start w:val="1"/>
      <w:numFmt w:val="lowerRoman"/>
      <w:isLgl w:val="false"/>
      <w:suff w:val="tab"/>
      <w:lvlText w:val="%9."/>
      <w:lvlJc w:val="right"/>
      <w:pPr>
        <w:ind w:left="8106" w:hanging="180"/>
      </w:pPr>
    </w:lvl>
  </w:abstractNum>
  <w:abstractNum w:abstractNumId="20">
    <w:multiLevelType w:val="hybridMultilevel"/>
    <w:lvl w:ilvl="0">
      <w:start w:val="1"/>
      <w:numFmt w:val="russianLower"/>
      <w:isLgl w:val="false"/>
      <w:suff w:val="tab"/>
      <w:lvlText w:val="%1)"/>
      <w:lvlJc w:val="left"/>
      <w:pPr>
        <w:ind w:left="1779" w:hanging="360"/>
      </w:pPr>
      <w:rPr>
        <w:rFonts w:hint="default"/>
      </w:rPr>
    </w:lvl>
    <w:lvl w:ilvl="1">
      <w:start w:val="1"/>
      <w:numFmt w:val="lowerLetter"/>
      <w:isLgl w:val="false"/>
      <w:suff w:val="tab"/>
      <w:lvlText w:val="%2."/>
      <w:lvlJc w:val="left"/>
      <w:pPr>
        <w:ind w:left="2499" w:hanging="360"/>
      </w:pPr>
    </w:lvl>
    <w:lvl w:ilvl="2">
      <w:start w:val="1"/>
      <w:numFmt w:val="lowerRoman"/>
      <w:isLgl w:val="false"/>
      <w:suff w:val="tab"/>
      <w:lvlText w:val="%3."/>
      <w:lvlJc w:val="right"/>
      <w:pPr>
        <w:ind w:left="3219" w:hanging="180"/>
      </w:pPr>
    </w:lvl>
    <w:lvl w:ilvl="3">
      <w:start w:val="1"/>
      <w:numFmt w:val="decimal"/>
      <w:isLgl w:val="false"/>
      <w:suff w:val="tab"/>
      <w:lvlText w:val="%4."/>
      <w:lvlJc w:val="left"/>
      <w:pPr>
        <w:ind w:left="3939" w:hanging="360"/>
      </w:pPr>
    </w:lvl>
    <w:lvl w:ilvl="4">
      <w:start w:val="1"/>
      <w:numFmt w:val="lowerLetter"/>
      <w:isLgl w:val="false"/>
      <w:suff w:val="tab"/>
      <w:lvlText w:val="%5."/>
      <w:lvlJc w:val="left"/>
      <w:pPr>
        <w:ind w:left="4659" w:hanging="360"/>
      </w:pPr>
    </w:lvl>
    <w:lvl w:ilvl="5">
      <w:start w:val="1"/>
      <w:numFmt w:val="lowerRoman"/>
      <w:isLgl w:val="false"/>
      <w:suff w:val="tab"/>
      <w:lvlText w:val="%6."/>
      <w:lvlJc w:val="right"/>
      <w:pPr>
        <w:ind w:left="5379" w:hanging="180"/>
      </w:pPr>
    </w:lvl>
    <w:lvl w:ilvl="6">
      <w:start w:val="1"/>
      <w:numFmt w:val="decimal"/>
      <w:isLgl w:val="false"/>
      <w:suff w:val="tab"/>
      <w:lvlText w:val="%7."/>
      <w:lvlJc w:val="left"/>
      <w:pPr>
        <w:ind w:left="6099" w:hanging="360"/>
      </w:pPr>
    </w:lvl>
    <w:lvl w:ilvl="7">
      <w:start w:val="1"/>
      <w:numFmt w:val="lowerLetter"/>
      <w:isLgl w:val="false"/>
      <w:suff w:val="tab"/>
      <w:lvlText w:val="%8."/>
      <w:lvlJc w:val="left"/>
      <w:pPr>
        <w:ind w:left="6819" w:hanging="360"/>
      </w:pPr>
    </w:lvl>
    <w:lvl w:ilvl="8">
      <w:start w:val="1"/>
      <w:numFmt w:val="lowerRoman"/>
      <w:isLgl w:val="false"/>
      <w:suff w:val="tab"/>
      <w:lvlText w:val="%9."/>
      <w:lvlJc w:val="right"/>
      <w:pPr>
        <w:ind w:left="7539" w:hanging="180"/>
      </w:pPr>
    </w:lvl>
  </w:abstractNum>
  <w:abstractNum w:abstractNumId="21">
    <w:multiLevelType w:val="hybridMultilevel"/>
    <w:lvl w:ilvl="0">
      <w:start w:val="1"/>
      <w:numFmt w:val="decimal"/>
      <w:isLgl w:val="false"/>
      <w:suff w:val="tab"/>
      <w:lvlText w:val="%1."/>
      <w:lvlJc w:val="left"/>
      <w:pPr>
        <w:ind w:left="360" w:hanging="360"/>
      </w:pPr>
      <w:rPr>
        <w:sz w:val="22"/>
        <w:szCs w:val="22"/>
      </w:rPr>
    </w:lvl>
    <w:lvl w:ilvl="1">
      <w:start w:val="1"/>
      <w:numFmt w:val="lowerLetter"/>
      <w:isLgl w:val="false"/>
      <w:suff w:val="tab"/>
      <w:lvlText w:val="%2."/>
      <w:lvlJc w:val="left"/>
      <w:pPr>
        <w:ind w:left="1080" w:hanging="360"/>
      </w:pPr>
    </w:lvl>
    <w:lvl w:ilvl="2">
      <w:start w:val="1"/>
      <w:numFmt w:val="lowerRoman"/>
      <w:isLgl w:val="false"/>
      <w:suff w:val="tab"/>
      <w:lvlText w:val="%3."/>
      <w:lvlJc w:val="right"/>
      <w:pPr>
        <w:ind w:left="1800" w:hanging="180"/>
      </w:pPr>
    </w:lvl>
    <w:lvl w:ilvl="3">
      <w:start w:val="1"/>
      <w:numFmt w:val="decimal"/>
      <w:isLgl w:val="false"/>
      <w:suff w:val="tab"/>
      <w:lvlText w:val="%4."/>
      <w:lvlJc w:val="left"/>
      <w:pPr>
        <w:ind w:left="2520" w:hanging="360"/>
      </w:pPr>
    </w:lvl>
    <w:lvl w:ilvl="4">
      <w:start w:val="1"/>
      <w:numFmt w:val="lowerLetter"/>
      <w:isLgl w:val="false"/>
      <w:suff w:val="tab"/>
      <w:lvlText w:val="%5."/>
      <w:lvlJc w:val="left"/>
      <w:pPr>
        <w:ind w:left="3240" w:hanging="360"/>
      </w:pPr>
    </w:lvl>
    <w:lvl w:ilvl="5">
      <w:start w:val="1"/>
      <w:numFmt w:val="lowerRoman"/>
      <w:isLgl w:val="false"/>
      <w:suff w:val="tab"/>
      <w:lvlText w:val="%6."/>
      <w:lvlJc w:val="right"/>
      <w:pPr>
        <w:ind w:left="3960" w:hanging="180"/>
      </w:pPr>
    </w:lvl>
    <w:lvl w:ilvl="6">
      <w:start w:val="1"/>
      <w:numFmt w:val="decimal"/>
      <w:isLgl w:val="false"/>
      <w:suff w:val="tab"/>
      <w:lvlText w:val="%7."/>
      <w:lvlJc w:val="left"/>
      <w:pPr>
        <w:ind w:left="4680" w:hanging="360"/>
      </w:pPr>
    </w:lvl>
    <w:lvl w:ilvl="7">
      <w:start w:val="1"/>
      <w:numFmt w:val="lowerLetter"/>
      <w:isLgl w:val="false"/>
      <w:suff w:val="tab"/>
      <w:lvlText w:val="%8."/>
      <w:lvlJc w:val="left"/>
      <w:pPr>
        <w:ind w:left="5400" w:hanging="360"/>
      </w:pPr>
    </w:lvl>
    <w:lvl w:ilvl="8">
      <w:start w:val="1"/>
      <w:numFmt w:val="lowerRoman"/>
      <w:isLgl w:val="false"/>
      <w:suff w:val="tab"/>
      <w:lvlText w:val="%9."/>
      <w:lvlJc w:val="right"/>
      <w:pPr>
        <w:ind w:left="6120" w:hanging="180"/>
      </w:pPr>
    </w:lvl>
  </w:abstractNum>
  <w:abstractNum w:abstractNumId="22">
    <w:multiLevelType w:val="hybridMultilevel"/>
    <w:lvl w:ilvl="0">
      <w:start w:val="1"/>
      <w:numFmt w:val="russianLower"/>
      <w:isLgl w:val="false"/>
      <w:suff w:val="tab"/>
      <w:lvlText w:val="%1)"/>
      <w:lvlJc w:val="left"/>
      <w:pPr>
        <w:ind w:left="3049" w:hanging="360"/>
      </w:pPr>
    </w:lvl>
    <w:lvl w:ilvl="1">
      <w:start w:val="1"/>
      <w:numFmt w:val="lowerLetter"/>
      <w:isLgl w:val="false"/>
      <w:suff w:val="tab"/>
      <w:lvlText w:val="%2."/>
      <w:lvlJc w:val="left"/>
      <w:pPr>
        <w:ind w:left="3769" w:hanging="360"/>
      </w:pPr>
    </w:lvl>
    <w:lvl w:ilvl="2">
      <w:start w:val="1"/>
      <w:numFmt w:val="lowerRoman"/>
      <w:isLgl w:val="false"/>
      <w:suff w:val="tab"/>
      <w:lvlText w:val="%3."/>
      <w:lvlJc w:val="right"/>
      <w:pPr>
        <w:ind w:left="4489" w:hanging="180"/>
      </w:pPr>
    </w:lvl>
    <w:lvl w:ilvl="3">
      <w:start w:val="1"/>
      <w:numFmt w:val="decimal"/>
      <w:isLgl w:val="false"/>
      <w:suff w:val="tab"/>
      <w:lvlText w:val="%4."/>
      <w:lvlJc w:val="left"/>
      <w:pPr>
        <w:ind w:left="5209" w:hanging="360"/>
      </w:pPr>
    </w:lvl>
    <w:lvl w:ilvl="4">
      <w:start w:val="1"/>
      <w:numFmt w:val="lowerLetter"/>
      <w:isLgl w:val="false"/>
      <w:suff w:val="tab"/>
      <w:lvlText w:val="%5."/>
      <w:lvlJc w:val="left"/>
      <w:pPr>
        <w:ind w:left="5929" w:hanging="360"/>
      </w:pPr>
    </w:lvl>
    <w:lvl w:ilvl="5">
      <w:start w:val="1"/>
      <w:numFmt w:val="lowerRoman"/>
      <w:isLgl w:val="false"/>
      <w:suff w:val="tab"/>
      <w:lvlText w:val="%6."/>
      <w:lvlJc w:val="right"/>
      <w:pPr>
        <w:ind w:left="6649" w:hanging="180"/>
      </w:pPr>
    </w:lvl>
    <w:lvl w:ilvl="6">
      <w:start w:val="1"/>
      <w:numFmt w:val="decimal"/>
      <w:isLgl w:val="false"/>
      <w:suff w:val="tab"/>
      <w:lvlText w:val="%7."/>
      <w:lvlJc w:val="left"/>
      <w:pPr>
        <w:ind w:left="7369" w:hanging="360"/>
      </w:pPr>
    </w:lvl>
    <w:lvl w:ilvl="7">
      <w:start w:val="1"/>
      <w:numFmt w:val="lowerLetter"/>
      <w:isLgl w:val="false"/>
      <w:suff w:val="tab"/>
      <w:lvlText w:val="%8."/>
      <w:lvlJc w:val="left"/>
      <w:pPr>
        <w:ind w:left="8089" w:hanging="360"/>
      </w:pPr>
    </w:lvl>
    <w:lvl w:ilvl="8">
      <w:start w:val="1"/>
      <w:numFmt w:val="lowerRoman"/>
      <w:isLgl w:val="false"/>
      <w:suff w:val="tab"/>
      <w:lvlText w:val="%9."/>
      <w:lvlJc w:val="right"/>
      <w:pPr>
        <w:ind w:left="8809" w:hanging="180"/>
      </w:pPr>
    </w:lvl>
  </w:abstractNum>
  <w:abstractNum w:abstractNumId="23">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4">
    <w:multiLevelType w:val="hybridMultilevel"/>
    <w:lvl w:ilvl="0">
      <w:start w:val="1"/>
      <w:numFmt w:val="russianLower"/>
      <w:isLgl w:val="false"/>
      <w:suff w:val="tab"/>
      <w:lvlText w:val="%1)"/>
      <w:lvlJc w:val="left"/>
      <w:pPr>
        <w:ind w:left="1440" w:hanging="360"/>
      </w:pPr>
      <w:rPr>
        <w:rFonts w:hint="default"/>
      </w:rPr>
    </w:lvl>
    <w:lvl w:ilvl="1">
      <w:start w:val="1"/>
      <w:numFmt w:val="lowerLetter"/>
      <w:isLgl w:val="false"/>
      <w:suff w:val="tab"/>
      <w:lvlText w:val="%2."/>
      <w:lvlJc w:val="left"/>
      <w:pPr>
        <w:ind w:left="2160" w:hanging="360"/>
      </w:pPr>
    </w:lvl>
    <w:lvl w:ilvl="2">
      <w:start w:val="1"/>
      <w:numFmt w:val="lowerRoman"/>
      <w:isLgl w:val="false"/>
      <w:suff w:val="tab"/>
      <w:lvlText w:val="%3."/>
      <w:lvlJc w:val="right"/>
      <w:pPr>
        <w:ind w:left="2880" w:hanging="180"/>
      </w:pPr>
    </w:lvl>
    <w:lvl w:ilvl="3">
      <w:start w:val="1"/>
      <w:numFmt w:val="decimal"/>
      <w:isLgl w:val="false"/>
      <w:suff w:val="tab"/>
      <w:lvlText w:val="%4."/>
      <w:lvlJc w:val="left"/>
      <w:pPr>
        <w:ind w:left="3600" w:hanging="360"/>
      </w:pPr>
    </w:lvl>
    <w:lvl w:ilvl="4">
      <w:start w:val="1"/>
      <w:numFmt w:val="lowerLetter"/>
      <w:isLgl w:val="false"/>
      <w:suff w:val="tab"/>
      <w:lvlText w:val="%5."/>
      <w:lvlJc w:val="left"/>
      <w:pPr>
        <w:ind w:left="4320" w:hanging="360"/>
      </w:pPr>
    </w:lvl>
    <w:lvl w:ilvl="5">
      <w:start w:val="1"/>
      <w:numFmt w:val="lowerRoman"/>
      <w:isLgl w:val="false"/>
      <w:suff w:val="tab"/>
      <w:lvlText w:val="%6."/>
      <w:lvlJc w:val="right"/>
      <w:pPr>
        <w:ind w:left="5040" w:hanging="180"/>
      </w:pPr>
    </w:lvl>
    <w:lvl w:ilvl="6">
      <w:start w:val="1"/>
      <w:numFmt w:val="decimal"/>
      <w:isLgl w:val="false"/>
      <w:suff w:val="tab"/>
      <w:lvlText w:val="%7."/>
      <w:lvlJc w:val="left"/>
      <w:pPr>
        <w:ind w:left="5760" w:hanging="360"/>
      </w:pPr>
    </w:lvl>
    <w:lvl w:ilvl="7">
      <w:start w:val="1"/>
      <w:numFmt w:val="lowerLetter"/>
      <w:isLgl w:val="false"/>
      <w:suff w:val="tab"/>
      <w:lvlText w:val="%8."/>
      <w:lvlJc w:val="left"/>
      <w:pPr>
        <w:ind w:left="6480" w:hanging="360"/>
      </w:pPr>
    </w:lvl>
    <w:lvl w:ilvl="8">
      <w:start w:val="1"/>
      <w:numFmt w:val="lowerRoman"/>
      <w:isLgl w:val="false"/>
      <w:suff w:val="tab"/>
      <w:lvlText w:val="%9."/>
      <w:lvlJc w:val="right"/>
      <w:pPr>
        <w:ind w:left="7200" w:hanging="180"/>
      </w:pPr>
    </w:lvl>
  </w:abstractNum>
  <w:abstractNum w:abstractNumId="25">
    <w:multiLevelType w:val="hybridMultilevel"/>
    <w:lvl w:ilvl="0">
      <w:start w:val="1"/>
      <w:numFmt w:val="lowerLetter"/>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6">
    <w:multiLevelType w:val="hybridMultilevel"/>
    <w:lvl w:ilvl="0">
      <w:start w:val="1"/>
      <w:numFmt w:val="lowerLetter"/>
      <w:isLgl w:val="false"/>
      <w:suff w:val="tab"/>
      <w:lvlText w:val="%1)"/>
      <w:lvlJc w:val="left"/>
      <w:pPr>
        <w:ind w:left="720" w:hanging="360"/>
      </w:pPr>
      <w:rPr>
        <w:rFonts w:hint="default"/>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27">
    <w:multiLevelType w:val="hybridMultilevel"/>
    <w:lvl w:ilvl="0">
      <w:start w:val="1"/>
      <w:numFmt w:val="bullet"/>
      <w:isLgl w:val="false"/>
      <w:suff w:val="tab"/>
      <w:lvlText w:val=""/>
      <w:lvlJc w:val="left"/>
      <w:pPr>
        <w:ind w:left="1440" w:hanging="360"/>
      </w:pPr>
      <w:rPr>
        <w:rFonts w:hint="default" w:ascii="Symbol" w:hAnsi="Symbol"/>
      </w:rPr>
    </w:lvl>
    <w:lvl w:ilvl="1">
      <w:start w:val="1"/>
      <w:numFmt w:val="bullet"/>
      <w:isLgl w:val="false"/>
      <w:suff w:val="tab"/>
      <w:lvlText w:val="o"/>
      <w:lvlJc w:val="left"/>
      <w:pPr>
        <w:ind w:left="2160" w:hanging="360"/>
      </w:pPr>
      <w:rPr>
        <w:rFonts w:hint="default" w:ascii="Courier New" w:hAnsi="Courier New"/>
      </w:rPr>
    </w:lvl>
    <w:lvl w:ilvl="2">
      <w:start w:val="1"/>
      <w:numFmt w:val="bullet"/>
      <w:isLgl w:val="false"/>
      <w:suff w:val="tab"/>
      <w:lvlText w:val=""/>
      <w:lvlJc w:val="left"/>
      <w:pPr>
        <w:ind w:left="2880" w:hanging="360"/>
      </w:pPr>
      <w:rPr>
        <w:rFonts w:hint="default" w:ascii="Wingdings" w:hAnsi="Wingdings"/>
      </w:rPr>
    </w:lvl>
    <w:lvl w:ilvl="3">
      <w:start w:val="1"/>
      <w:numFmt w:val="bullet"/>
      <w:isLgl w:val="false"/>
      <w:suff w:val="tab"/>
      <w:lvlText w:val=""/>
      <w:lvlJc w:val="left"/>
      <w:pPr>
        <w:ind w:left="3600" w:hanging="360"/>
      </w:pPr>
      <w:rPr>
        <w:rFonts w:hint="default" w:ascii="Symbol" w:hAnsi="Symbol"/>
      </w:rPr>
    </w:lvl>
    <w:lvl w:ilvl="4">
      <w:start w:val="1"/>
      <w:numFmt w:val="bullet"/>
      <w:isLgl w:val="false"/>
      <w:suff w:val="tab"/>
      <w:lvlText w:val="o"/>
      <w:lvlJc w:val="left"/>
      <w:pPr>
        <w:ind w:left="4320" w:hanging="360"/>
      </w:pPr>
      <w:rPr>
        <w:rFonts w:hint="default" w:ascii="Courier New" w:hAnsi="Courier New"/>
      </w:rPr>
    </w:lvl>
    <w:lvl w:ilvl="5">
      <w:start w:val="1"/>
      <w:numFmt w:val="bullet"/>
      <w:isLgl w:val="false"/>
      <w:suff w:val="tab"/>
      <w:lvlText w:val=""/>
      <w:lvlJc w:val="left"/>
      <w:pPr>
        <w:ind w:left="5040" w:hanging="360"/>
      </w:pPr>
      <w:rPr>
        <w:rFonts w:hint="default" w:ascii="Wingdings" w:hAnsi="Wingdings"/>
      </w:rPr>
    </w:lvl>
    <w:lvl w:ilvl="6">
      <w:start w:val="1"/>
      <w:numFmt w:val="bullet"/>
      <w:isLgl w:val="false"/>
      <w:suff w:val="tab"/>
      <w:lvlText w:val=""/>
      <w:lvlJc w:val="left"/>
      <w:pPr>
        <w:ind w:left="5760" w:hanging="360"/>
      </w:pPr>
      <w:rPr>
        <w:rFonts w:hint="default" w:ascii="Symbol" w:hAnsi="Symbol"/>
      </w:rPr>
    </w:lvl>
    <w:lvl w:ilvl="7">
      <w:start w:val="1"/>
      <w:numFmt w:val="bullet"/>
      <w:isLgl w:val="false"/>
      <w:suff w:val="tab"/>
      <w:lvlText w:val="o"/>
      <w:lvlJc w:val="left"/>
      <w:pPr>
        <w:ind w:left="6480" w:hanging="360"/>
      </w:pPr>
      <w:rPr>
        <w:rFonts w:hint="default" w:ascii="Courier New" w:hAnsi="Courier New"/>
      </w:rPr>
    </w:lvl>
    <w:lvl w:ilvl="8">
      <w:start w:val="1"/>
      <w:numFmt w:val="bullet"/>
      <w:isLgl w:val="false"/>
      <w:suff w:val="tab"/>
      <w:lvlText w:val=""/>
      <w:lvlJc w:val="left"/>
      <w:pPr>
        <w:ind w:left="7200" w:hanging="360"/>
      </w:pPr>
      <w:rPr>
        <w:rFonts w:hint="default" w:ascii="Wingdings" w:hAnsi="Wingdings"/>
      </w:rPr>
    </w:lvl>
  </w:abstractNum>
  <w:abstractNum w:abstractNumId="28">
    <w:multiLevelType w:val="hybridMultilevel"/>
    <w:lvl w:ilvl="0">
      <w:start w:val="1"/>
      <w:numFmt w:val="lowerLetter"/>
      <w:isLgl w:val="false"/>
      <w:suff w:val="tab"/>
      <w:lvlText w:val="%1)"/>
      <w:lvlJc w:val="left"/>
      <w:pPr>
        <w:ind w:left="1146" w:hanging="360"/>
      </w:pPr>
    </w:lvl>
    <w:lvl w:ilvl="1">
      <w:start w:val="1"/>
      <w:numFmt w:val="lowerLetter"/>
      <w:isLgl w:val="false"/>
      <w:suff w:val="tab"/>
      <w:lvlText w:val="%2."/>
      <w:lvlJc w:val="left"/>
      <w:pPr>
        <w:ind w:left="1866" w:hanging="360"/>
      </w:pPr>
    </w:lvl>
    <w:lvl w:ilvl="2">
      <w:start w:val="1"/>
      <w:numFmt w:val="lowerRoman"/>
      <w:isLgl w:val="false"/>
      <w:suff w:val="tab"/>
      <w:lvlText w:val="%3."/>
      <w:lvlJc w:val="right"/>
      <w:pPr>
        <w:ind w:left="2586" w:hanging="180"/>
      </w:pPr>
    </w:lvl>
    <w:lvl w:ilvl="3">
      <w:start w:val="1"/>
      <w:numFmt w:val="decimal"/>
      <w:isLgl w:val="false"/>
      <w:suff w:val="tab"/>
      <w:lvlText w:val="%4."/>
      <w:lvlJc w:val="left"/>
      <w:pPr>
        <w:ind w:left="3306" w:hanging="360"/>
      </w:pPr>
    </w:lvl>
    <w:lvl w:ilvl="4">
      <w:start w:val="1"/>
      <w:numFmt w:val="lowerLetter"/>
      <w:isLgl w:val="false"/>
      <w:suff w:val="tab"/>
      <w:lvlText w:val="%5."/>
      <w:lvlJc w:val="left"/>
      <w:pPr>
        <w:ind w:left="4026" w:hanging="360"/>
      </w:pPr>
    </w:lvl>
    <w:lvl w:ilvl="5">
      <w:start w:val="1"/>
      <w:numFmt w:val="lowerRoman"/>
      <w:isLgl w:val="false"/>
      <w:suff w:val="tab"/>
      <w:lvlText w:val="%6."/>
      <w:lvlJc w:val="right"/>
      <w:pPr>
        <w:ind w:left="4746" w:hanging="180"/>
      </w:pPr>
    </w:lvl>
    <w:lvl w:ilvl="6">
      <w:start w:val="1"/>
      <w:numFmt w:val="decimal"/>
      <w:isLgl w:val="false"/>
      <w:suff w:val="tab"/>
      <w:lvlText w:val="%7."/>
      <w:lvlJc w:val="left"/>
      <w:pPr>
        <w:ind w:left="5466" w:hanging="360"/>
      </w:pPr>
    </w:lvl>
    <w:lvl w:ilvl="7">
      <w:start w:val="1"/>
      <w:numFmt w:val="lowerLetter"/>
      <w:isLgl w:val="false"/>
      <w:suff w:val="tab"/>
      <w:lvlText w:val="%8."/>
      <w:lvlJc w:val="left"/>
      <w:pPr>
        <w:ind w:left="6186" w:hanging="360"/>
      </w:pPr>
    </w:lvl>
    <w:lvl w:ilvl="8">
      <w:start w:val="1"/>
      <w:numFmt w:val="lowerRoman"/>
      <w:isLgl w:val="false"/>
      <w:suff w:val="tab"/>
      <w:lvlText w:val="%9."/>
      <w:lvlJc w:val="right"/>
      <w:pPr>
        <w:ind w:left="6906" w:hanging="180"/>
      </w:pPr>
    </w:lvl>
  </w:abstractNum>
  <w:abstractNum w:abstractNumId="29">
    <w:multiLevelType w:val="hybridMultilevel"/>
    <w:lvl w:ilvl="0">
      <w:start w:val="1"/>
      <w:numFmt w:val="bullet"/>
      <w:isLgl w:val="false"/>
      <w:suff w:val="tab"/>
      <w:lvlText w:val=""/>
      <w:lvlJc w:val="left"/>
      <w:pPr>
        <w:ind w:left="1596" w:hanging="360"/>
      </w:pPr>
      <w:rPr>
        <w:rFonts w:hint="default" w:ascii="Symbol" w:hAnsi="Symbol"/>
      </w:rPr>
    </w:lvl>
    <w:lvl w:ilvl="1">
      <w:start w:val="1"/>
      <w:numFmt w:val="bullet"/>
      <w:isLgl w:val="false"/>
      <w:suff w:val="tab"/>
      <w:lvlText w:val="o"/>
      <w:lvlJc w:val="left"/>
      <w:pPr>
        <w:ind w:left="2316" w:hanging="360"/>
      </w:pPr>
      <w:rPr>
        <w:rFonts w:hint="default" w:ascii="Courier New" w:hAnsi="Courier New" w:cs="Courier New"/>
      </w:rPr>
    </w:lvl>
    <w:lvl w:ilvl="2">
      <w:start w:val="1"/>
      <w:numFmt w:val="bullet"/>
      <w:isLgl w:val="false"/>
      <w:suff w:val="tab"/>
      <w:lvlText w:val=""/>
      <w:lvlJc w:val="left"/>
      <w:pPr>
        <w:ind w:left="3036" w:hanging="360"/>
      </w:pPr>
      <w:rPr>
        <w:rFonts w:hint="default" w:ascii="Wingdings" w:hAnsi="Wingdings"/>
      </w:rPr>
    </w:lvl>
    <w:lvl w:ilvl="3">
      <w:start w:val="1"/>
      <w:numFmt w:val="bullet"/>
      <w:isLgl w:val="false"/>
      <w:suff w:val="tab"/>
      <w:lvlText w:val=""/>
      <w:lvlJc w:val="left"/>
      <w:pPr>
        <w:ind w:left="3756" w:hanging="360"/>
      </w:pPr>
      <w:rPr>
        <w:rFonts w:hint="default" w:ascii="Symbol" w:hAnsi="Symbol"/>
      </w:rPr>
    </w:lvl>
    <w:lvl w:ilvl="4">
      <w:start w:val="1"/>
      <w:numFmt w:val="bullet"/>
      <w:isLgl w:val="false"/>
      <w:suff w:val="tab"/>
      <w:lvlText w:val="o"/>
      <w:lvlJc w:val="left"/>
      <w:pPr>
        <w:ind w:left="4476" w:hanging="360"/>
      </w:pPr>
      <w:rPr>
        <w:rFonts w:hint="default" w:ascii="Courier New" w:hAnsi="Courier New" w:cs="Courier New"/>
      </w:rPr>
    </w:lvl>
    <w:lvl w:ilvl="5">
      <w:start w:val="1"/>
      <w:numFmt w:val="bullet"/>
      <w:isLgl w:val="false"/>
      <w:suff w:val="tab"/>
      <w:lvlText w:val=""/>
      <w:lvlJc w:val="left"/>
      <w:pPr>
        <w:ind w:left="5196" w:hanging="360"/>
      </w:pPr>
      <w:rPr>
        <w:rFonts w:hint="default" w:ascii="Wingdings" w:hAnsi="Wingdings"/>
      </w:rPr>
    </w:lvl>
    <w:lvl w:ilvl="6">
      <w:start w:val="1"/>
      <w:numFmt w:val="bullet"/>
      <w:isLgl w:val="false"/>
      <w:suff w:val="tab"/>
      <w:lvlText w:val=""/>
      <w:lvlJc w:val="left"/>
      <w:pPr>
        <w:ind w:left="5916" w:hanging="360"/>
      </w:pPr>
      <w:rPr>
        <w:rFonts w:hint="default" w:ascii="Symbol" w:hAnsi="Symbol"/>
      </w:rPr>
    </w:lvl>
    <w:lvl w:ilvl="7">
      <w:start w:val="1"/>
      <w:numFmt w:val="bullet"/>
      <w:isLgl w:val="false"/>
      <w:suff w:val="tab"/>
      <w:lvlText w:val="o"/>
      <w:lvlJc w:val="left"/>
      <w:pPr>
        <w:ind w:left="6636" w:hanging="360"/>
      </w:pPr>
      <w:rPr>
        <w:rFonts w:hint="default" w:ascii="Courier New" w:hAnsi="Courier New" w:cs="Courier New"/>
      </w:rPr>
    </w:lvl>
    <w:lvl w:ilvl="8">
      <w:start w:val="1"/>
      <w:numFmt w:val="bullet"/>
      <w:isLgl w:val="false"/>
      <w:suff w:val="tab"/>
      <w:lvlText w:val=""/>
      <w:lvlJc w:val="left"/>
      <w:pPr>
        <w:ind w:left="7356" w:hanging="360"/>
      </w:pPr>
      <w:rPr>
        <w:rFonts w:hint="default" w:ascii="Wingdings" w:hAnsi="Wingdings"/>
      </w:rPr>
    </w:lvl>
  </w:abstractNum>
  <w:abstractNum w:abstractNumId="30">
    <w:multiLevelType w:val="hybridMultilevel"/>
    <w:lvl w:ilvl="0">
      <w:start w:val="1"/>
      <w:numFmt w:val="decimal"/>
      <w:isLgl w:val="false"/>
      <w:suff w:val="tab"/>
      <w:lvlText w:val="%1."/>
      <w:lvlJc w:val="left"/>
      <w:pPr>
        <w:ind w:left="1440" w:hanging="360"/>
      </w:pPr>
    </w:lvl>
    <w:lvl w:ilvl="1">
      <w:start w:val="1"/>
      <w:numFmt w:val="lowerLetter"/>
      <w:isLgl w:val="false"/>
      <w:suff w:val="tab"/>
      <w:lvlText w:val="%2."/>
      <w:lvlJc w:val="left"/>
      <w:pPr>
        <w:ind w:left="2160" w:hanging="360"/>
      </w:pPr>
    </w:lvl>
    <w:lvl w:ilvl="2">
      <w:start w:val="1"/>
      <w:numFmt w:val="lowerRoman"/>
      <w:isLgl w:val="false"/>
      <w:suff w:val="tab"/>
      <w:lvlText w:val="%3."/>
      <w:lvlJc w:val="right"/>
      <w:pPr>
        <w:ind w:left="2880" w:hanging="180"/>
      </w:pPr>
    </w:lvl>
    <w:lvl w:ilvl="3">
      <w:start w:val="1"/>
      <w:numFmt w:val="decimal"/>
      <w:isLgl w:val="false"/>
      <w:suff w:val="tab"/>
      <w:lvlText w:val="%4."/>
      <w:lvlJc w:val="left"/>
      <w:pPr>
        <w:ind w:left="3600" w:hanging="360"/>
      </w:pPr>
    </w:lvl>
    <w:lvl w:ilvl="4">
      <w:start w:val="1"/>
      <w:numFmt w:val="lowerLetter"/>
      <w:isLgl w:val="false"/>
      <w:suff w:val="tab"/>
      <w:lvlText w:val="%5."/>
      <w:lvlJc w:val="left"/>
      <w:pPr>
        <w:ind w:left="4320" w:hanging="360"/>
      </w:pPr>
    </w:lvl>
    <w:lvl w:ilvl="5">
      <w:start w:val="1"/>
      <w:numFmt w:val="lowerRoman"/>
      <w:isLgl w:val="false"/>
      <w:suff w:val="tab"/>
      <w:lvlText w:val="%6."/>
      <w:lvlJc w:val="right"/>
      <w:pPr>
        <w:ind w:left="5040" w:hanging="180"/>
      </w:pPr>
    </w:lvl>
    <w:lvl w:ilvl="6">
      <w:start w:val="1"/>
      <w:numFmt w:val="decimal"/>
      <w:isLgl w:val="false"/>
      <w:suff w:val="tab"/>
      <w:lvlText w:val="%7."/>
      <w:lvlJc w:val="left"/>
      <w:pPr>
        <w:ind w:left="5760" w:hanging="360"/>
      </w:pPr>
    </w:lvl>
    <w:lvl w:ilvl="7">
      <w:start w:val="1"/>
      <w:numFmt w:val="lowerLetter"/>
      <w:isLgl w:val="false"/>
      <w:suff w:val="tab"/>
      <w:lvlText w:val="%8."/>
      <w:lvlJc w:val="left"/>
      <w:pPr>
        <w:ind w:left="6480" w:hanging="360"/>
      </w:pPr>
    </w:lvl>
    <w:lvl w:ilvl="8">
      <w:start w:val="1"/>
      <w:numFmt w:val="lowerRoman"/>
      <w:isLgl w:val="false"/>
      <w:suff w:val="tab"/>
      <w:lvlText w:val="%9."/>
      <w:lvlJc w:val="right"/>
      <w:pPr>
        <w:ind w:left="7200" w:hanging="180"/>
      </w:pPr>
    </w:lvl>
  </w:abstractNum>
  <w:abstractNum w:abstractNumId="31">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2">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num w:numId="1">
    <w:abstractNumId w:val="23"/>
  </w:num>
  <w:num w:numId="2">
    <w:abstractNumId w:val="10"/>
  </w:num>
  <w:num w:numId="3">
    <w:abstractNumId w:val="7"/>
  </w:num>
  <w:num w:numId="4">
    <w:abstractNumId w:val="27"/>
  </w:num>
  <w:num w:numId="5">
    <w:abstractNumId w:val="17"/>
  </w:num>
  <w:num w:numId="6">
    <w:abstractNumId w:val="2"/>
  </w:num>
  <w:num w:numId="7">
    <w:abstractNumId w:val="24"/>
  </w:num>
  <w:num w:numId="8">
    <w:abstractNumId w:val="20"/>
  </w:num>
  <w:num w:numId="9">
    <w:abstractNumId w:val="19"/>
  </w:num>
  <w:num w:numId="10">
    <w:abstractNumId w:val="3"/>
  </w:num>
  <w:num w:numId="11">
    <w:abstractNumId w:val="1"/>
  </w:num>
  <w:num w:numId="12">
    <w:abstractNumId w:val="28"/>
  </w:num>
  <w:num w:numId="13">
    <w:abstractNumId w:val="8"/>
  </w:num>
  <w:num w:numId="14">
    <w:abstractNumId w:val="9"/>
  </w:num>
  <w:num w:numId="15">
    <w:abstractNumId w:val="12"/>
  </w:num>
  <w:num w:numId="16">
    <w:abstractNumId w:val="0"/>
  </w:num>
  <w:num w:numId="17">
    <w:abstractNumId w:val="30"/>
  </w:num>
  <w:num w:numId="18">
    <w:abstractNumId w:val="15"/>
  </w:num>
  <w:num w:numId="19">
    <w:abstractNumId w:val="6"/>
  </w:num>
  <w:num w:numId="20">
    <w:abstractNumId w:val="14"/>
  </w:num>
  <w:num w:numId="21">
    <w:abstractNumId w:val="31"/>
  </w:num>
  <w:num w:numId="22">
    <w:abstractNumId w:val="16"/>
  </w:num>
  <w:num w:numId="23">
    <w:abstractNumId w:val="4"/>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num>
  <w:num w:numId="29">
    <w:abstractNumId w:val="18"/>
  </w:num>
  <w:num w:numId="30">
    <w:abstractNumId w:val="25"/>
  </w:num>
  <w:num w:numId="31">
    <w:abstractNumId w:val="26"/>
  </w:num>
  <w:num w:numId="32">
    <w:abstractNumId w:val="21"/>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1">
    <w:name w:val="Heading 1 Char"/>
    <w:basedOn w:val="922"/>
    <w:link w:val="918"/>
    <w:uiPriority w:val="9"/>
    <w:rPr>
      <w:rFonts w:ascii="Arial" w:hAnsi="Arial" w:eastAsia="Arial" w:cs="Arial"/>
      <w:sz w:val="40"/>
      <w:szCs w:val="40"/>
    </w:rPr>
  </w:style>
  <w:style w:type="character" w:styleId="752">
    <w:name w:val="Heading 2 Char"/>
    <w:basedOn w:val="922"/>
    <w:link w:val="919"/>
    <w:uiPriority w:val="9"/>
    <w:rPr>
      <w:rFonts w:ascii="Arial" w:hAnsi="Arial" w:eastAsia="Arial" w:cs="Arial"/>
      <w:sz w:val="34"/>
    </w:rPr>
  </w:style>
  <w:style w:type="character" w:styleId="753">
    <w:name w:val="Heading 3 Char"/>
    <w:basedOn w:val="922"/>
    <w:link w:val="920"/>
    <w:uiPriority w:val="9"/>
    <w:rPr>
      <w:rFonts w:ascii="Arial" w:hAnsi="Arial" w:eastAsia="Arial" w:cs="Arial"/>
      <w:sz w:val="30"/>
      <w:szCs w:val="30"/>
    </w:rPr>
  </w:style>
  <w:style w:type="character" w:styleId="754">
    <w:name w:val="Heading 4 Char"/>
    <w:basedOn w:val="922"/>
    <w:link w:val="921"/>
    <w:uiPriority w:val="9"/>
    <w:rPr>
      <w:rFonts w:ascii="Arial" w:hAnsi="Arial" w:eastAsia="Arial" w:cs="Arial"/>
      <w:b/>
      <w:bCs/>
      <w:sz w:val="26"/>
      <w:szCs w:val="26"/>
    </w:rPr>
  </w:style>
  <w:style w:type="paragraph" w:styleId="755">
    <w:name w:val="Heading 5"/>
    <w:basedOn w:val="917"/>
    <w:next w:val="917"/>
    <w:link w:val="756"/>
    <w:uiPriority w:val="9"/>
    <w:unhideWhenUsed/>
    <w:qFormat/>
    <w:pPr>
      <w:keepLines/>
      <w:keepNext/>
      <w:spacing w:before="320" w:after="200"/>
      <w:outlineLvl w:val="4"/>
    </w:pPr>
    <w:rPr>
      <w:rFonts w:ascii="Arial" w:hAnsi="Arial" w:eastAsia="Arial" w:cs="Arial"/>
      <w:b/>
      <w:bCs/>
      <w:sz w:val="24"/>
      <w:szCs w:val="24"/>
    </w:rPr>
  </w:style>
  <w:style w:type="character" w:styleId="756">
    <w:name w:val="Heading 5 Char"/>
    <w:basedOn w:val="922"/>
    <w:link w:val="755"/>
    <w:uiPriority w:val="9"/>
    <w:rPr>
      <w:rFonts w:ascii="Arial" w:hAnsi="Arial" w:eastAsia="Arial" w:cs="Arial"/>
      <w:b/>
      <w:bCs/>
      <w:sz w:val="24"/>
      <w:szCs w:val="24"/>
    </w:rPr>
  </w:style>
  <w:style w:type="paragraph" w:styleId="757">
    <w:name w:val="Heading 6"/>
    <w:basedOn w:val="917"/>
    <w:next w:val="917"/>
    <w:link w:val="758"/>
    <w:uiPriority w:val="9"/>
    <w:unhideWhenUsed/>
    <w:qFormat/>
    <w:pPr>
      <w:keepLines/>
      <w:keepNext/>
      <w:spacing w:before="320" w:after="200"/>
      <w:outlineLvl w:val="5"/>
    </w:pPr>
    <w:rPr>
      <w:rFonts w:ascii="Arial" w:hAnsi="Arial" w:eastAsia="Arial" w:cs="Arial"/>
      <w:b/>
      <w:bCs/>
      <w:sz w:val="22"/>
      <w:szCs w:val="22"/>
    </w:rPr>
  </w:style>
  <w:style w:type="character" w:styleId="758">
    <w:name w:val="Heading 6 Char"/>
    <w:basedOn w:val="922"/>
    <w:link w:val="757"/>
    <w:uiPriority w:val="9"/>
    <w:rPr>
      <w:rFonts w:ascii="Arial" w:hAnsi="Arial" w:eastAsia="Arial" w:cs="Arial"/>
      <w:b/>
      <w:bCs/>
      <w:sz w:val="22"/>
      <w:szCs w:val="22"/>
    </w:rPr>
  </w:style>
  <w:style w:type="paragraph" w:styleId="759">
    <w:name w:val="Heading 7"/>
    <w:basedOn w:val="917"/>
    <w:next w:val="917"/>
    <w:link w:val="760"/>
    <w:uiPriority w:val="9"/>
    <w:unhideWhenUsed/>
    <w:qFormat/>
    <w:pPr>
      <w:keepLines/>
      <w:keepNext/>
      <w:spacing w:before="320" w:after="200"/>
      <w:outlineLvl w:val="6"/>
    </w:pPr>
    <w:rPr>
      <w:rFonts w:ascii="Arial" w:hAnsi="Arial" w:eastAsia="Arial" w:cs="Arial"/>
      <w:b/>
      <w:bCs/>
      <w:i/>
      <w:iCs/>
      <w:sz w:val="22"/>
      <w:szCs w:val="22"/>
    </w:rPr>
  </w:style>
  <w:style w:type="character" w:styleId="760">
    <w:name w:val="Heading 7 Char"/>
    <w:basedOn w:val="922"/>
    <w:link w:val="759"/>
    <w:uiPriority w:val="9"/>
    <w:rPr>
      <w:rFonts w:ascii="Arial" w:hAnsi="Arial" w:eastAsia="Arial" w:cs="Arial"/>
      <w:b/>
      <w:bCs/>
      <w:i/>
      <w:iCs/>
      <w:sz w:val="22"/>
      <w:szCs w:val="22"/>
    </w:rPr>
  </w:style>
  <w:style w:type="paragraph" w:styleId="761">
    <w:name w:val="Heading 8"/>
    <w:basedOn w:val="917"/>
    <w:next w:val="917"/>
    <w:link w:val="762"/>
    <w:uiPriority w:val="9"/>
    <w:unhideWhenUsed/>
    <w:qFormat/>
    <w:pPr>
      <w:keepLines/>
      <w:keepNext/>
      <w:spacing w:before="320" w:after="200"/>
      <w:outlineLvl w:val="7"/>
    </w:pPr>
    <w:rPr>
      <w:rFonts w:ascii="Arial" w:hAnsi="Arial" w:eastAsia="Arial" w:cs="Arial"/>
      <w:i/>
      <w:iCs/>
      <w:sz w:val="22"/>
      <w:szCs w:val="22"/>
    </w:rPr>
  </w:style>
  <w:style w:type="character" w:styleId="762">
    <w:name w:val="Heading 8 Char"/>
    <w:basedOn w:val="922"/>
    <w:link w:val="761"/>
    <w:uiPriority w:val="9"/>
    <w:rPr>
      <w:rFonts w:ascii="Arial" w:hAnsi="Arial" w:eastAsia="Arial" w:cs="Arial"/>
      <w:i/>
      <w:iCs/>
      <w:sz w:val="22"/>
      <w:szCs w:val="22"/>
    </w:rPr>
  </w:style>
  <w:style w:type="paragraph" w:styleId="763">
    <w:name w:val="Heading 9"/>
    <w:basedOn w:val="917"/>
    <w:next w:val="917"/>
    <w:link w:val="764"/>
    <w:uiPriority w:val="9"/>
    <w:unhideWhenUsed/>
    <w:qFormat/>
    <w:pPr>
      <w:keepLines/>
      <w:keepNext/>
      <w:spacing w:before="320" w:after="200"/>
      <w:outlineLvl w:val="8"/>
    </w:pPr>
    <w:rPr>
      <w:rFonts w:ascii="Arial" w:hAnsi="Arial" w:eastAsia="Arial" w:cs="Arial"/>
      <w:i/>
      <w:iCs/>
      <w:sz w:val="21"/>
      <w:szCs w:val="21"/>
    </w:rPr>
  </w:style>
  <w:style w:type="character" w:styleId="764">
    <w:name w:val="Heading 9 Char"/>
    <w:basedOn w:val="922"/>
    <w:link w:val="763"/>
    <w:uiPriority w:val="9"/>
    <w:rPr>
      <w:rFonts w:ascii="Arial" w:hAnsi="Arial" w:eastAsia="Arial" w:cs="Arial"/>
      <w:i/>
      <w:iCs/>
      <w:sz w:val="21"/>
      <w:szCs w:val="21"/>
    </w:rPr>
  </w:style>
  <w:style w:type="character" w:styleId="765">
    <w:name w:val="Title Char"/>
    <w:basedOn w:val="922"/>
    <w:link w:val="928"/>
    <w:uiPriority w:val="10"/>
    <w:rPr>
      <w:sz w:val="48"/>
      <w:szCs w:val="48"/>
    </w:rPr>
  </w:style>
  <w:style w:type="character" w:styleId="766">
    <w:name w:val="Subtitle Char"/>
    <w:basedOn w:val="922"/>
    <w:link w:val="976"/>
    <w:uiPriority w:val="11"/>
    <w:rPr>
      <w:sz w:val="24"/>
      <w:szCs w:val="24"/>
    </w:rPr>
  </w:style>
  <w:style w:type="paragraph" w:styleId="767">
    <w:name w:val="Quote"/>
    <w:basedOn w:val="917"/>
    <w:next w:val="917"/>
    <w:link w:val="768"/>
    <w:uiPriority w:val="29"/>
    <w:qFormat/>
    <w:pPr>
      <w:ind w:left="720" w:right="720"/>
    </w:pPr>
    <w:rPr>
      <w:i/>
    </w:rPr>
  </w:style>
  <w:style w:type="character" w:styleId="768">
    <w:name w:val="Quote Char"/>
    <w:link w:val="767"/>
    <w:uiPriority w:val="29"/>
    <w:rPr>
      <w:i/>
    </w:rPr>
  </w:style>
  <w:style w:type="paragraph" w:styleId="769">
    <w:name w:val="Intense Quote"/>
    <w:basedOn w:val="917"/>
    <w:next w:val="917"/>
    <w:link w:val="7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name w:val="Intense Quote Char"/>
    <w:link w:val="769"/>
    <w:uiPriority w:val="30"/>
    <w:rPr>
      <w:i/>
    </w:rPr>
  </w:style>
  <w:style w:type="character" w:styleId="771">
    <w:name w:val="Header Char"/>
    <w:basedOn w:val="922"/>
    <w:link w:val="938"/>
    <w:uiPriority w:val="99"/>
  </w:style>
  <w:style w:type="character" w:styleId="772">
    <w:name w:val="Footer Char"/>
    <w:basedOn w:val="922"/>
    <w:link w:val="940"/>
    <w:uiPriority w:val="99"/>
  </w:style>
  <w:style w:type="paragraph" w:styleId="773">
    <w:name w:val="Caption"/>
    <w:basedOn w:val="917"/>
    <w:next w:val="917"/>
    <w:uiPriority w:val="35"/>
    <w:semiHidden/>
    <w:unhideWhenUsed/>
    <w:qFormat/>
    <w:pPr>
      <w:spacing w:line="276" w:lineRule="auto"/>
    </w:pPr>
    <w:rPr>
      <w:b/>
      <w:bCs/>
      <w:color w:val="4f81bd" w:themeColor="accent1"/>
      <w:sz w:val="18"/>
      <w:szCs w:val="18"/>
    </w:rPr>
  </w:style>
  <w:style w:type="character" w:styleId="774">
    <w:name w:val="Caption Char"/>
    <w:basedOn w:val="773"/>
    <w:link w:val="940"/>
    <w:uiPriority w:val="99"/>
  </w:style>
  <w:style w:type="table" w:styleId="775">
    <w:name w:val="Table Grid Light"/>
    <w:basedOn w:val="9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6">
    <w:name w:val="Plain Table 1"/>
    <w:basedOn w:val="9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2"/>
    <w:basedOn w:val="9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3"/>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name w:val="Plain Table 4"/>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name w:val="Plain Table 5"/>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1">
    <w:name w:val="Grid Table 1 Light"/>
    <w:basedOn w:val="9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2">
    <w:name w:val="Grid Table 1 Light - Accent 1"/>
    <w:basedOn w:val="9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3">
    <w:name w:val="Grid Table 1 Light - Accent 2"/>
    <w:basedOn w:val="9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4">
    <w:name w:val="Grid Table 1 Light - Accent 3"/>
    <w:basedOn w:val="9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5">
    <w:name w:val="Grid Table 1 Light - Accent 4"/>
    <w:basedOn w:val="9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6">
    <w:name w:val="Grid Table 1 Light - Accent 5"/>
    <w:basedOn w:val="9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7">
    <w:name w:val="Grid Table 1 Light - Accent 6"/>
    <w:basedOn w:val="9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8">
    <w:name w:val="Grid Table 2"/>
    <w:basedOn w:val="9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9">
    <w:name w:val="Grid Table 2 - Accent 1"/>
    <w:basedOn w:val="9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0">
    <w:name w:val="Grid Table 2 - Accent 2"/>
    <w:basedOn w:val="9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2 - Accent 3"/>
    <w:basedOn w:val="9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2 - Accent 4"/>
    <w:basedOn w:val="9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2 - Accent 5"/>
    <w:basedOn w:val="9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4">
    <w:name w:val="Grid Table 2 - Accent 6"/>
    <w:basedOn w:val="9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5">
    <w:name w:val="Grid Table 3"/>
    <w:basedOn w:val="9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1"/>
    <w:basedOn w:val="9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2"/>
    <w:basedOn w:val="9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3"/>
    <w:basedOn w:val="9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4"/>
    <w:basedOn w:val="9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5"/>
    <w:basedOn w:val="9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6"/>
    <w:basedOn w:val="9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4"/>
    <w:basedOn w:val="9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name w:val="Grid Table 4 - Accent 1"/>
    <w:basedOn w:val="92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4">
    <w:name w:val="Grid Table 4 - Accent 2"/>
    <w:basedOn w:val="92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5">
    <w:name w:val="Grid Table 4 - Accent 3"/>
    <w:basedOn w:val="92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6">
    <w:name w:val="Grid Table 4 - Accent 4"/>
    <w:basedOn w:val="92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7">
    <w:name w:val="Grid Table 4 - Accent 5"/>
    <w:basedOn w:val="92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8">
    <w:name w:val="Grid Table 4 - Accent 6"/>
    <w:basedOn w:val="92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9">
    <w:name w:val="Grid Table 5 Dark"/>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0">
    <w:name w:val="Grid Table 5 Dark- Accent 1"/>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1">
    <w:name w:val="Grid Table 5 Dark - Accent 2"/>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2">
    <w:name w:val="Grid Table 5 Dark - Accent 3"/>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3">
    <w:name w:val="Grid Table 5 Dark- Accent 4"/>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4">
    <w:name w:val="Grid Table 5 Dark - Accent 5"/>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5">
    <w:name w:val="Grid Table 5 Dark - Accent 6"/>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6">
    <w:name w:val="Grid Table 6 Colorful"/>
    <w:basedOn w:val="9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7">
    <w:name w:val="Grid Table 6 Colorful - Accent 1"/>
    <w:basedOn w:val="92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8">
    <w:name w:val="Grid Table 6 Colorful - Accent 2"/>
    <w:basedOn w:val="9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9">
    <w:name w:val="Grid Table 6 Colorful - Accent 3"/>
    <w:basedOn w:val="92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0">
    <w:name w:val="Grid Table 6 Colorful - Accent 4"/>
    <w:basedOn w:val="9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1">
    <w:name w:val="Grid Table 6 Colorful - Accent 5"/>
    <w:basedOn w:val="92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2">
    <w:name w:val="Grid Table 6 Colorful - Accent 6"/>
    <w:basedOn w:val="92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3">
    <w:name w:val="Grid Table 7 Colorful"/>
    <w:basedOn w:val="9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4">
    <w:name w:val="Grid Table 7 Colorful - Accent 1"/>
    <w:basedOn w:val="92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5">
    <w:name w:val="Grid Table 7 Colorful - Accent 2"/>
    <w:basedOn w:val="92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7 Colorful - Accent 3"/>
    <w:basedOn w:val="92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7 Colorful - Accent 4"/>
    <w:basedOn w:val="92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7 Colorful - Accent 5"/>
    <w:basedOn w:val="92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9">
    <w:name w:val="Grid Table 7 Colorful - Accent 6"/>
    <w:basedOn w:val="92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0">
    <w:name w:val="List Table 1 Light"/>
    <w:basedOn w:val="9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name w:val="List Table 1 Light - Accent 1"/>
    <w:basedOn w:val="92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2">
    <w:name w:val="List Table 1 Light - Accent 2"/>
    <w:basedOn w:val="92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3">
    <w:name w:val="List Table 1 Light - Accent 3"/>
    <w:basedOn w:val="92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4">
    <w:name w:val="List Table 1 Light - Accent 4"/>
    <w:basedOn w:val="92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5">
    <w:name w:val="List Table 1 Light - Accent 5"/>
    <w:basedOn w:val="92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6">
    <w:name w:val="List Table 1 Light - Accent 6"/>
    <w:basedOn w:val="92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7">
    <w:name w:val="List Table 2"/>
    <w:basedOn w:val="9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8">
    <w:name w:val="List Table 2 - Accent 1"/>
    <w:basedOn w:val="92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9">
    <w:name w:val="List Table 2 - Accent 2"/>
    <w:basedOn w:val="92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0">
    <w:name w:val="List Table 2 - Accent 3"/>
    <w:basedOn w:val="92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1">
    <w:name w:val="List Table 2 - Accent 4"/>
    <w:basedOn w:val="92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2">
    <w:name w:val="List Table 2 - Accent 5"/>
    <w:basedOn w:val="92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3">
    <w:name w:val="List Table 2 - Accent 6"/>
    <w:basedOn w:val="92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4">
    <w:name w:val="List Table 3"/>
    <w:basedOn w:val="9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3 - Accent 1"/>
    <w:basedOn w:val="92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3 - Accent 2"/>
    <w:basedOn w:val="9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7">
    <w:name w:val="List Table 3 - Accent 3"/>
    <w:basedOn w:val="92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8">
    <w:name w:val="List Table 3 - Accent 4"/>
    <w:basedOn w:val="9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9">
    <w:name w:val="List Table 3 - Accent 5"/>
    <w:basedOn w:val="92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0">
    <w:name w:val="List Table 3 - Accent 6"/>
    <w:basedOn w:val="92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1">
    <w:name w:val="List Table 4"/>
    <w:basedOn w:val="9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4 - Accent 1"/>
    <w:basedOn w:val="92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3">
    <w:name w:val="List Table 4 - Accent 2"/>
    <w:basedOn w:val="92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4">
    <w:name w:val="List Table 4 - Accent 3"/>
    <w:basedOn w:val="92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5">
    <w:name w:val="List Table 4 - Accent 4"/>
    <w:basedOn w:val="92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6">
    <w:name w:val="List Table 4 - Accent 5"/>
    <w:basedOn w:val="92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7">
    <w:name w:val="List Table 4 - Accent 6"/>
    <w:basedOn w:val="92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8">
    <w:name w:val="List Table 5 Dark"/>
    <w:basedOn w:val="9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1"/>
    <w:basedOn w:val="92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2"/>
    <w:basedOn w:val="92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3"/>
    <w:basedOn w:val="92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4"/>
    <w:basedOn w:val="92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5"/>
    <w:basedOn w:val="92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6"/>
    <w:basedOn w:val="92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6 Colorful"/>
    <w:basedOn w:val="9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6">
    <w:name w:val="List Table 6 Colorful - Accent 1"/>
    <w:basedOn w:val="92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7">
    <w:name w:val="List Table 6 Colorful - Accent 2"/>
    <w:basedOn w:val="92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8">
    <w:name w:val="List Table 6 Colorful - Accent 3"/>
    <w:basedOn w:val="92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9">
    <w:name w:val="List Table 6 Colorful - Accent 4"/>
    <w:basedOn w:val="92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0">
    <w:name w:val="List Table 6 Colorful - Accent 5"/>
    <w:basedOn w:val="92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1">
    <w:name w:val="List Table 6 Colorful - Accent 6"/>
    <w:basedOn w:val="92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2">
    <w:name w:val="List Table 7 Colorful"/>
    <w:basedOn w:val="9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3">
    <w:name w:val="List Table 7 Colorful - Accent 1"/>
    <w:basedOn w:val="92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4">
    <w:name w:val="List Table 7 Colorful - Accent 2"/>
    <w:basedOn w:val="92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5">
    <w:name w:val="List Table 7 Colorful - Accent 3"/>
    <w:basedOn w:val="92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6">
    <w:name w:val="List Table 7 Colorful - Accent 4"/>
    <w:basedOn w:val="92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7">
    <w:name w:val="List Table 7 Colorful - Accent 5"/>
    <w:basedOn w:val="92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8">
    <w:name w:val="List Table 7 Colorful - Accent 6"/>
    <w:basedOn w:val="92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9">
    <w:name w:val="Lined - Accent"/>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Lined - Accent 1"/>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Lined - Accent 2"/>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Lined - Accent 3"/>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Lined - Accent 4"/>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Lined - Accent 5"/>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Lined - Accent 6"/>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amp; Lined - Accent"/>
    <w:basedOn w:val="92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Bordered &amp; Lined - Accent 1"/>
    <w:basedOn w:val="92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8">
    <w:name w:val="Bordered &amp; Lined - Accent 2"/>
    <w:basedOn w:val="92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9">
    <w:name w:val="Bordered &amp; Lined - Accent 3"/>
    <w:basedOn w:val="92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0">
    <w:name w:val="Bordered &amp; Lined - Accent 4"/>
    <w:basedOn w:val="92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1">
    <w:name w:val="Bordered &amp; Lined - Accent 5"/>
    <w:basedOn w:val="92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2">
    <w:name w:val="Bordered &amp; Lined - Accent 6"/>
    <w:basedOn w:val="92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3">
    <w:name w:val="Bordered"/>
    <w:basedOn w:val="92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4">
    <w:name w:val="Bordered - Accent 1"/>
    <w:basedOn w:val="9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5">
    <w:name w:val="Bordered - Accent 2"/>
    <w:basedOn w:val="9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6">
    <w:name w:val="Bordered - Accent 3"/>
    <w:basedOn w:val="9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7">
    <w:name w:val="Bordered - Accent 4"/>
    <w:basedOn w:val="9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8">
    <w:name w:val="Bordered - Accent 5"/>
    <w:basedOn w:val="9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9">
    <w:name w:val="Bordered - Accent 6"/>
    <w:basedOn w:val="9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0">
    <w:name w:val="footnote text"/>
    <w:basedOn w:val="917"/>
    <w:link w:val="901"/>
    <w:uiPriority w:val="99"/>
    <w:semiHidden/>
    <w:unhideWhenUsed/>
    <w:pPr>
      <w:spacing w:after="40" w:line="240" w:lineRule="auto"/>
    </w:pPr>
    <w:rPr>
      <w:sz w:val="18"/>
    </w:rPr>
  </w:style>
  <w:style w:type="character" w:styleId="901">
    <w:name w:val="Footnote Text Char"/>
    <w:link w:val="900"/>
    <w:uiPriority w:val="99"/>
    <w:rPr>
      <w:sz w:val="18"/>
    </w:rPr>
  </w:style>
  <w:style w:type="character" w:styleId="902">
    <w:name w:val="footnote reference"/>
    <w:basedOn w:val="922"/>
    <w:uiPriority w:val="99"/>
    <w:unhideWhenUsed/>
    <w:rPr>
      <w:vertAlign w:val="superscript"/>
    </w:rPr>
  </w:style>
  <w:style w:type="paragraph" w:styleId="903">
    <w:name w:val="endnote text"/>
    <w:basedOn w:val="917"/>
    <w:link w:val="904"/>
    <w:uiPriority w:val="99"/>
    <w:semiHidden/>
    <w:unhideWhenUsed/>
    <w:pPr>
      <w:spacing w:after="0" w:line="240" w:lineRule="auto"/>
    </w:pPr>
    <w:rPr>
      <w:sz w:val="20"/>
    </w:rPr>
  </w:style>
  <w:style w:type="character" w:styleId="904">
    <w:name w:val="Endnote Text Char"/>
    <w:link w:val="903"/>
    <w:uiPriority w:val="99"/>
    <w:rPr>
      <w:sz w:val="20"/>
    </w:rPr>
  </w:style>
  <w:style w:type="character" w:styleId="905">
    <w:name w:val="endnote reference"/>
    <w:basedOn w:val="922"/>
    <w:uiPriority w:val="99"/>
    <w:semiHidden/>
    <w:unhideWhenUsed/>
    <w:rPr>
      <w:vertAlign w:val="superscript"/>
    </w:rPr>
  </w:style>
  <w:style w:type="paragraph" w:styleId="906">
    <w:name w:val="toc 1"/>
    <w:basedOn w:val="917"/>
    <w:next w:val="917"/>
    <w:uiPriority w:val="39"/>
    <w:unhideWhenUsed/>
    <w:pPr>
      <w:ind w:left="0" w:right="0" w:firstLine="0"/>
      <w:spacing w:after="57"/>
    </w:pPr>
  </w:style>
  <w:style w:type="paragraph" w:styleId="907">
    <w:name w:val="toc 2"/>
    <w:basedOn w:val="917"/>
    <w:next w:val="917"/>
    <w:uiPriority w:val="39"/>
    <w:unhideWhenUsed/>
    <w:pPr>
      <w:ind w:left="283" w:right="0" w:firstLine="0"/>
      <w:spacing w:after="57"/>
    </w:pPr>
  </w:style>
  <w:style w:type="paragraph" w:styleId="908">
    <w:name w:val="toc 3"/>
    <w:basedOn w:val="917"/>
    <w:next w:val="917"/>
    <w:uiPriority w:val="39"/>
    <w:unhideWhenUsed/>
    <w:pPr>
      <w:ind w:left="567" w:right="0" w:firstLine="0"/>
      <w:spacing w:after="57"/>
    </w:pPr>
  </w:style>
  <w:style w:type="paragraph" w:styleId="909">
    <w:name w:val="toc 4"/>
    <w:basedOn w:val="917"/>
    <w:next w:val="917"/>
    <w:uiPriority w:val="39"/>
    <w:unhideWhenUsed/>
    <w:pPr>
      <w:ind w:left="850" w:right="0" w:firstLine="0"/>
      <w:spacing w:after="57"/>
    </w:pPr>
  </w:style>
  <w:style w:type="paragraph" w:styleId="910">
    <w:name w:val="toc 5"/>
    <w:basedOn w:val="917"/>
    <w:next w:val="917"/>
    <w:uiPriority w:val="39"/>
    <w:unhideWhenUsed/>
    <w:pPr>
      <w:ind w:left="1134" w:right="0" w:firstLine="0"/>
      <w:spacing w:after="57"/>
    </w:pPr>
  </w:style>
  <w:style w:type="paragraph" w:styleId="911">
    <w:name w:val="toc 6"/>
    <w:basedOn w:val="917"/>
    <w:next w:val="917"/>
    <w:uiPriority w:val="39"/>
    <w:unhideWhenUsed/>
    <w:pPr>
      <w:ind w:left="1417" w:right="0" w:firstLine="0"/>
      <w:spacing w:after="57"/>
    </w:pPr>
  </w:style>
  <w:style w:type="paragraph" w:styleId="912">
    <w:name w:val="toc 7"/>
    <w:basedOn w:val="917"/>
    <w:next w:val="917"/>
    <w:uiPriority w:val="39"/>
    <w:unhideWhenUsed/>
    <w:pPr>
      <w:ind w:left="1701" w:right="0" w:firstLine="0"/>
      <w:spacing w:after="57"/>
    </w:pPr>
  </w:style>
  <w:style w:type="paragraph" w:styleId="913">
    <w:name w:val="toc 8"/>
    <w:basedOn w:val="917"/>
    <w:next w:val="917"/>
    <w:uiPriority w:val="39"/>
    <w:unhideWhenUsed/>
    <w:pPr>
      <w:ind w:left="1984" w:right="0" w:firstLine="0"/>
      <w:spacing w:after="57"/>
    </w:pPr>
  </w:style>
  <w:style w:type="paragraph" w:styleId="914">
    <w:name w:val="toc 9"/>
    <w:basedOn w:val="917"/>
    <w:next w:val="917"/>
    <w:uiPriority w:val="39"/>
    <w:unhideWhenUsed/>
    <w:pPr>
      <w:ind w:left="2268" w:right="0" w:firstLine="0"/>
      <w:spacing w:after="57"/>
    </w:pPr>
  </w:style>
  <w:style w:type="paragraph" w:styleId="915">
    <w:name w:val="TOC Heading"/>
    <w:uiPriority w:val="39"/>
    <w:unhideWhenUsed/>
  </w:style>
  <w:style w:type="paragraph" w:styleId="916">
    <w:name w:val="table of figures"/>
    <w:basedOn w:val="917"/>
    <w:next w:val="917"/>
    <w:uiPriority w:val="99"/>
    <w:unhideWhenUsed/>
    <w:pPr>
      <w:spacing w:after="0" w:afterAutospacing="0"/>
    </w:pPr>
  </w:style>
  <w:style w:type="paragraph" w:styleId="917" w:default="1">
    <w:name w:val="Normal"/>
    <w:qFormat/>
  </w:style>
  <w:style w:type="paragraph" w:styleId="918">
    <w:name w:val="Heading 1"/>
    <w:basedOn w:val="917"/>
    <w:next w:val="917"/>
    <w:link w:val="925"/>
    <w:uiPriority w:val="99"/>
    <w:qFormat/>
    <w:pPr>
      <w:jc w:val="right"/>
      <w:keepNext/>
      <w:widowControl w:val="off"/>
      <w:outlineLvl w:val="0"/>
    </w:pPr>
    <w:rPr>
      <w:rFonts w:ascii="Arial" w:hAnsi="Arial"/>
      <w:i/>
    </w:rPr>
  </w:style>
  <w:style w:type="paragraph" w:styleId="919">
    <w:name w:val="Heading 2"/>
    <w:basedOn w:val="917"/>
    <w:next w:val="917"/>
    <w:link w:val="926"/>
    <w:uiPriority w:val="9"/>
    <w:qFormat/>
    <w:pPr>
      <w:keepNext/>
      <w:tabs>
        <w:tab w:val="left" w:pos="2520" w:leader="none"/>
      </w:tabs>
      <w:outlineLvl w:val="1"/>
    </w:pPr>
    <w:rPr>
      <w:sz w:val="26"/>
      <w:szCs w:val="28"/>
    </w:rPr>
  </w:style>
  <w:style w:type="paragraph" w:styleId="920">
    <w:name w:val="Heading 3"/>
    <w:basedOn w:val="917"/>
    <w:next w:val="917"/>
    <w:link w:val="927"/>
    <w:uiPriority w:val="9"/>
    <w:qFormat/>
    <w:pPr>
      <w:keepNext/>
      <w:tabs>
        <w:tab w:val="left" w:pos="2520" w:leader="none"/>
      </w:tabs>
      <w:outlineLvl w:val="2"/>
    </w:pPr>
    <w:rPr>
      <w:i/>
      <w:iCs/>
      <w:sz w:val="18"/>
    </w:rPr>
  </w:style>
  <w:style w:type="paragraph" w:styleId="921">
    <w:name w:val="Heading 4"/>
    <w:basedOn w:val="917"/>
    <w:next w:val="917"/>
    <w:qFormat/>
    <w:pPr>
      <w:keepNext/>
      <w:spacing w:before="680"/>
      <w:outlineLvl w:val="3"/>
    </w:pPr>
    <w:rPr>
      <w:b/>
      <w:bCs/>
      <w:sz w:val="26"/>
    </w:rPr>
  </w:style>
  <w:style w:type="character" w:styleId="922" w:default="1">
    <w:name w:val="Default Paragraph Font"/>
    <w:uiPriority w:val="1"/>
    <w:semiHidden/>
    <w:unhideWhenUsed/>
  </w:style>
  <w:style w:type="table" w:styleId="923" w:default="1">
    <w:name w:val="Normal Table"/>
    <w:uiPriority w:val="99"/>
    <w:semiHidden/>
    <w:unhideWhenUsed/>
    <w:tblPr>
      <w:tblInd w:w="0" w:type="dxa"/>
      <w:tblCellMar>
        <w:left w:w="108" w:type="dxa"/>
        <w:top w:w="0" w:type="dxa"/>
        <w:right w:w="108" w:type="dxa"/>
        <w:bottom w:w="0" w:type="dxa"/>
      </w:tblCellMar>
    </w:tblPr>
  </w:style>
  <w:style w:type="numbering" w:styleId="924" w:default="1">
    <w:name w:val="No List"/>
    <w:uiPriority w:val="99"/>
    <w:semiHidden/>
    <w:unhideWhenUsed/>
  </w:style>
  <w:style w:type="character" w:styleId="925" w:customStyle="1">
    <w:name w:val="Заголовок 1 Знак"/>
    <w:basedOn w:val="922"/>
    <w:link w:val="918"/>
    <w:uiPriority w:val="9"/>
    <w:rPr>
      <w:rFonts w:ascii="Arial" w:hAnsi="Arial"/>
      <w:i/>
    </w:rPr>
  </w:style>
  <w:style w:type="character" w:styleId="926" w:customStyle="1">
    <w:name w:val="Заголовок 2 Знак"/>
    <w:basedOn w:val="922"/>
    <w:link w:val="919"/>
    <w:uiPriority w:val="9"/>
    <w:rPr>
      <w:sz w:val="26"/>
      <w:szCs w:val="28"/>
    </w:rPr>
  </w:style>
  <w:style w:type="character" w:styleId="927" w:customStyle="1">
    <w:name w:val="Заголовок 3 Знак"/>
    <w:basedOn w:val="922"/>
    <w:link w:val="920"/>
    <w:uiPriority w:val="9"/>
    <w:rPr>
      <w:i/>
      <w:iCs/>
      <w:sz w:val="18"/>
    </w:rPr>
  </w:style>
  <w:style w:type="paragraph" w:styleId="928">
    <w:name w:val="Title"/>
    <w:basedOn w:val="917"/>
    <w:qFormat/>
    <w:pPr>
      <w:jc w:val="center"/>
    </w:pPr>
    <w:rPr>
      <w:sz w:val="32"/>
    </w:rPr>
  </w:style>
  <w:style w:type="paragraph" w:styleId="929">
    <w:name w:val="Balloon Text"/>
    <w:basedOn w:val="917"/>
    <w:link w:val="930"/>
    <w:uiPriority w:val="99"/>
    <w:semiHidden/>
    <w:rPr>
      <w:rFonts w:ascii="Tahoma" w:hAnsi="Tahoma" w:cs="Tahoma"/>
      <w:sz w:val="16"/>
      <w:szCs w:val="16"/>
    </w:rPr>
  </w:style>
  <w:style w:type="character" w:styleId="930" w:customStyle="1">
    <w:name w:val="Текст выноски Знак"/>
    <w:basedOn w:val="922"/>
    <w:link w:val="929"/>
    <w:uiPriority w:val="99"/>
    <w:semiHidden/>
    <w:rPr>
      <w:rFonts w:ascii="Tahoma" w:hAnsi="Tahoma" w:cs="Tahoma"/>
      <w:sz w:val="16"/>
      <w:szCs w:val="16"/>
    </w:rPr>
  </w:style>
  <w:style w:type="paragraph" w:styleId="931">
    <w:name w:val="Body Text 2"/>
    <w:basedOn w:val="917"/>
    <w:pPr>
      <w:spacing w:after="120" w:line="480" w:lineRule="auto"/>
    </w:pPr>
    <w:rPr>
      <w:sz w:val="26"/>
    </w:rPr>
  </w:style>
  <w:style w:type="paragraph" w:styleId="932" w:customStyle="1">
    <w:name w:val="çàãîëîâîê 2"/>
    <w:basedOn w:val="917"/>
    <w:next w:val="917"/>
    <w:pPr>
      <w:jc w:val="center"/>
      <w:keepNext/>
      <w:spacing w:before="60"/>
    </w:pPr>
    <w:rPr>
      <w:rFonts w:ascii="Arial" w:hAnsi="Arial"/>
      <w:b/>
      <w:spacing w:val="22"/>
    </w:rPr>
  </w:style>
  <w:style w:type="paragraph" w:styleId="933">
    <w:name w:val="Body Text Indent"/>
    <w:basedOn w:val="917"/>
    <w:pPr>
      <w:ind w:firstLine="480"/>
    </w:pPr>
    <w:rPr>
      <w:sz w:val="26"/>
      <w:szCs w:val="28"/>
    </w:rPr>
  </w:style>
  <w:style w:type="paragraph" w:styleId="934">
    <w:name w:val="Body Text"/>
    <w:basedOn w:val="917"/>
    <w:pPr>
      <w:jc w:val="both"/>
      <w:tabs>
        <w:tab w:val="left" w:pos="2520" w:leader="none"/>
      </w:tabs>
    </w:pPr>
    <w:rPr>
      <w:sz w:val="24"/>
    </w:rPr>
  </w:style>
  <w:style w:type="paragraph" w:styleId="935">
    <w:name w:val="Body Text 3"/>
    <w:basedOn w:val="917"/>
    <w:link w:val="936"/>
    <w:pPr>
      <w:jc w:val="both"/>
      <w:tabs>
        <w:tab w:val="left" w:pos="2520" w:leader="none"/>
      </w:tabs>
    </w:pPr>
    <w:rPr>
      <w:sz w:val="26"/>
    </w:rPr>
  </w:style>
  <w:style w:type="character" w:styleId="936" w:customStyle="1">
    <w:name w:val="Основной текст 3 Знак"/>
    <w:link w:val="935"/>
    <w:rPr>
      <w:sz w:val="26"/>
    </w:rPr>
  </w:style>
  <w:style w:type="table" w:styleId="937">
    <w:name w:val="Table Grid"/>
    <w:basedOn w:val="923"/>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38">
    <w:name w:val="Header"/>
    <w:basedOn w:val="917"/>
    <w:link w:val="939"/>
    <w:uiPriority w:val="99"/>
    <w:pPr>
      <w:tabs>
        <w:tab w:val="center" w:pos="4677" w:leader="none"/>
        <w:tab w:val="right" w:pos="9355" w:leader="none"/>
      </w:tabs>
    </w:pPr>
  </w:style>
  <w:style w:type="character" w:styleId="939" w:customStyle="1">
    <w:name w:val="Верхний колонтитул Знак"/>
    <w:link w:val="938"/>
    <w:uiPriority w:val="99"/>
  </w:style>
  <w:style w:type="paragraph" w:styleId="940">
    <w:name w:val="Footer"/>
    <w:basedOn w:val="917"/>
    <w:link w:val="941"/>
    <w:uiPriority w:val="99"/>
    <w:pPr>
      <w:tabs>
        <w:tab w:val="center" w:pos="4677" w:leader="none"/>
        <w:tab w:val="right" w:pos="9355" w:leader="none"/>
      </w:tabs>
    </w:pPr>
  </w:style>
  <w:style w:type="character" w:styleId="941" w:customStyle="1">
    <w:name w:val="Нижний колонтитул Знак"/>
    <w:basedOn w:val="922"/>
    <w:link w:val="940"/>
    <w:uiPriority w:val="99"/>
  </w:style>
  <w:style w:type="character" w:styleId="942">
    <w:name w:val="page number"/>
    <w:basedOn w:val="922"/>
  </w:style>
  <w:style w:type="paragraph" w:styleId="943">
    <w:name w:val="List Paragraph"/>
    <w:basedOn w:val="917"/>
    <w:link w:val="944"/>
    <w:uiPriority w:val="34"/>
    <w:qFormat/>
    <w:pPr>
      <w:contextualSpacing/>
      <w:ind w:left="720"/>
    </w:pPr>
    <w:rPr>
      <w:sz w:val="28"/>
      <w:szCs w:val="28"/>
      <w:lang w:val="en-US"/>
    </w:rPr>
  </w:style>
  <w:style w:type="character" w:styleId="944" w:customStyle="1">
    <w:name w:val="Абзац списка Знак"/>
    <w:link w:val="943"/>
    <w:uiPriority w:val="34"/>
    <w:rPr>
      <w:sz w:val="28"/>
      <w:szCs w:val="28"/>
      <w:lang w:val="en-US"/>
    </w:rPr>
  </w:style>
  <w:style w:type="paragraph" w:styleId="945" w:customStyle="1">
    <w:name w:val="ConsPlusNonformat"/>
    <w:uiPriority w:val="99"/>
    <w:pPr>
      <w:widowControl w:val="off"/>
    </w:pPr>
    <w:rPr>
      <w:rFonts w:ascii="Courier New" w:hAnsi="Courier New" w:cs="Courier New"/>
    </w:rPr>
  </w:style>
  <w:style w:type="paragraph" w:styleId="946" w:customStyle="1">
    <w:name w:val="ConsPlusCell"/>
    <w:uiPriority w:val="99"/>
    <w:pPr>
      <w:widowControl w:val="off"/>
    </w:pPr>
    <w:rPr>
      <w:rFonts w:ascii="Arial" w:hAnsi="Arial" w:cs="Arial"/>
    </w:rPr>
  </w:style>
  <w:style w:type="paragraph" w:styleId="947">
    <w:name w:val="HTML Preformatted"/>
    <w:basedOn w:val="917"/>
    <w:link w:val="948"/>
    <w:uiPriority w:val="99"/>
    <w:unhideWhenUsed/>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rPr>
  </w:style>
  <w:style w:type="character" w:styleId="948" w:customStyle="1">
    <w:name w:val="Стандартный HTML Знак"/>
    <w:link w:val="947"/>
    <w:uiPriority w:val="99"/>
    <w:rPr>
      <w:rFonts w:ascii="Courier New" w:hAnsi="Courier New" w:cs="Courier New"/>
    </w:rPr>
  </w:style>
  <w:style w:type="paragraph" w:styleId="949" w:customStyle="1">
    <w:name w:val="ConsPlusNormal"/>
    <w:pPr>
      <w:widowControl w:val="off"/>
    </w:pPr>
    <w:rPr>
      <w:rFonts w:ascii="Calibri" w:hAnsi="Calibri" w:cs="Calibri"/>
      <w:sz w:val="22"/>
    </w:rPr>
  </w:style>
  <w:style w:type="character" w:styleId="950">
    <w:name w:val="Hyperlink"/>
    <w:uiPriority w:val="99"/>
    <w:rPr>
      <w:color w:val="0000ff"/>
      <w:u w:val="single"/>
    </w:rPr>
  </w:style>
  <w:style w:type="character" w:styleId="951" w:customStyle="1">
    <w:name w:val="Цветовое выделение"/>
    <w:uiPriority w:val="99"/>
    <w:rPr>
      <w:b/>
      <w:color w:val="26282f"/>
    </w:rPr>
  </w:style>
  <w:style w:type="character" w:styleId="952" w:customStyle="1">
    <w:name w:val="Гипертекстовая ссылка"/>
    <w:basedOn w:val="951"/>
    <w:uiPriority w:val="99"/>
    <w:rPr>
      <w:rFonts w:cs="Times New Roman"/>
      <w:b w:val="0"/>
      <w:color w:val="106bbe"/>
    </w:rPr>
  </w:style>
  <w:style w:type="paragraph" w:styleId="953" w:customStyle="1">
    <w:name w:val="Текст (справка)"/>
    <w:basedOn w:val="917"/>
    <w:next w:val="917"/>
    <w:uiPriority w:val="99"/>
    <w:pPr>
      <w:ind w:left="170" w:right="170"/>
      <w:widowControl w:val="off"/>
    </w:pPr>
    <w:rPr>
      <w:rFonts w:ascii="Times New Roman CYR" w:hAnsi="Times New Roman CYR" w:cs="Times New Roman CYR" w:eastAsiaTheme="minorEastAsia"/>
      <w:sz w:val="24"/>
      <w:szCs w:val="24"/>
    </w:rPr>
  </w:style>
  <w:style w:type="paragraph" w:styleId="954" w:customStyle="1">
    <w:name w:val="Комментарий"/>
    <w:basedOn w:val="953"/>
    <w:next w:val="917"/>
    <w:uiPriority w:val="99"/>
    <w:pPr>
      <w:ind w:right="0"/>
      <w:jc w:val="both"/>
      <w:spacing w:before="75"/>
    </w:pPr>
    <w:rPr>
      <w:color w:val="353842"/>
      <w:shd w:val="clear" w:color="auto" w:fill="f0f0f0"/>
    </w:rPr>
  </w:style>
  <w:style w:type="paragraph" w:styleId="955" w:customStyle="1">
    <w:name w:val="Информация о версии"/>
    <w:basedOn w:val="954"/>
    <w:next w:val="917"/>
    <w:uiPriority w:val="99"/>
    <w:rPr>
      <w:i/>
      <w:iCs/>
    </w:rPr>
  </w:style>
  <w:style w:type="paragraph" w:styleId="956" w:customStyle="1">
    <w:name w:val="Текст информации об изменениях"/>
    <w:basedOn w:val="917"/>
    <w:next w:val="917"/>
    <w:uiPriority w:val="99"/>
    <w:pPr>
      <w:ind w:firstLine="720"/>
      <w:jc w:val="both"/>
      <w:widowControl w:val="off"/>
    </w:pPr>
    <w:rPr>
      <w:rFonts w:ascii="Times New Roman CYR" w:hAnsi="Times New Roman CYR" w:cs="Times New Roman CYR" w:eastAsiaTheme="minorEastAsia"/>
      <w:color w:val="353842"/>
    </w:rPr>
  </w:style>
  <w:style w:type="paragraph" w:styleId="957" w:customStyle="1">
    <w:name w:val="Информация об изменениях"/>
    <w:basedOn w:val="956"/>
    <w:next w:val="917"/>
    <w:uiPriority w:val="99"/>
    <w:pPr>
      <w:ind w:left="360" w:right="360" w:firstLine="0"/>
      <w:spacing w:before="180"/>
    </w:pPr>
    <w:rPr>
      <w:shd w:val="clear" w:color="auto" w:fill="eaefed"/>
    </w:rPr>
  </w:style>
  <w:style w:type="paragraph" w:styleId="958" w:customStyle="1">
    <w:name w:val="Нормальный (таблица)"/>
    <w:basedOn w:val="917"/>
    <w:next w:val="917"/>
    <w:uiPriority w:val="99"/>
    <w:pPr>
      <w:jc w:val="both"/>
      <w:widowControl w:val="off"/>
    </w:pPr>
    <w:rPr>
      <w:rFonts w:ascii="Times New Roman CYR" w:hAnsi="Times New Roman CYR" w:cs="Times New Roman CYR" w:eastAsiaTheme="minorEastAsia"/>
      <w:sz w:val="24"/>
      <w:szCs w:val="24"/>
    </w:rPr>
  </w:style>
  <w:style w:type="paragraph" w:styleId="959" w:customStyle="1">
    <w:name w:val="Таблицы (моноширинный)"/>
    <w:basedOn w:val="917"/>
    <w:next w:val="917"/>
    <w:uiPriority w:val="99"/>
    <w:pPr>
      <w:widowControl w:val="off"/>
    </w:pPr>
    <w:rPr>
      <w:rFonts w:ascii="Courier New" w:hAnsi="Courier New" w:cs="Courier New" w:eastAsiaTheme="minorEastAsia"/>
      <w:sz w:val="24"/>
      <w:szCs w:val="24"/>
    </w:rPr>
  </w:style>
  <w:style w:type="paragraph" w:styleId="960" w:customStyle="1">
    <w:name w:val="Подзаголовок для информации об изменениях"/>
    <w:basedOn w:val="956"/>
    <w:next w:val="917"/>
    <w:uiPriority w:val="99"/>
    <w:rPr>
      <w:b/>
      <w:bCs/>
    </w:rPr>
  </w:style>
  <w:style w:type="paragraph" w:styleId="961" w:customStyle="1">
    <w:name w:val="Прижатый влево"/>
    <w:basedOn w:val="917"/>
    <w:next w:val="917"/>
    <w:uiPriority w:val="99"/>
    <w:pPr>
      <w:widowControl w:val="off"/>
    </w:pPr>
    <w:rPr>
      <w:rFonts w:ascii="Times New Roman CYR" w:hAnsi="Times New Roman CYR" w:cs="Times New Roman CYR" w:eastAsiaTheme="minorEastAsia"/>
      <w:sz w:val="24"/>
      <w:szCs w:val="24"/>
    </w:rPr>
  </w:style>
  <w:style w:type="character" w:styleId="962" w:customStyle="1">
    <w:name w:val="Продолжение ссылки"/>
    <w:basedOn w:val="952"/>
    <w:uiPriority w:val="99"/>
    <w:rPr>
      <w:rFonts w:cs="Times New Roman"/>
      <w:b w:val="0"/>
      <w:color w:val="106bbe"/>
    </w:rPr>
  </w:style>
  <w:style w:type="character" w:styleId="963" w:customStyle="1">
    <w:name w:val="Цветовое выделение для Текст"/>
    <w:uiPriority w:val="99"/>
    <w:rPr>
      <w:rFonts w:ascii="Times New Roman CYR" w:hAnsi="Times New Roman CYR"/>
    </w:rPr>
  </w:style>
  <w:style w:type="paragraph" w:styleId="964">
    <w:name w:val="No Spacing"/>
    <w:link w:val="965"/>
    <w:uiPriority w:val="1"/>
    <w:qFormat/>
    <w:rPr>
      <w:rFonts w:eastAsiaTheme="minorEastAsia"/>
      <w:sz w:val="24"/>
      <w:szCs w:val="24"/>
    </w:rPr>
  </w:style>
  <w:style w:type="character" w:styleId="965" w:customStyle="1">
    <w:name w:val="Без интервала Знак"/>
    <w:link w:val="964"/>
    <w:rPr>
      <w:rFonts w:eastAsiaTheme="minorEastAsia"/>
      <w:sz w:val="24"/>
      <w:szCs w:val="24"/>
    </w:rPr>
  </w:style>
  <w:style w:type="character" w:styleId="966">
    <w:name w:val="annotation reference"/>
    <w:basedOn w:val="922"/>
    <w:uiPriority w:val="99"/>
    <w:unhideWhenUsed/>
    <w:rPr>
      <w:sz w:val="16"/>
      <w:szCs w:val="16"/>
    </w:rPr>
  </w:style>
  <w:style w:type="paragraph" w:styleId="967">
    <w:name w:val="annotation text"/>
    <w:basedOn w:val="917"/>
    <w:link w:val="968"/>
    <w:uiPriority w:val="99"/>
    <w:unhideWhenUsed/>
    <w:pPr>
      <w:ind w:firstLine="720"/>
      <w:jc w:val="both"/>
      <w:widowControl w:val="off"/>
    </w:pPr>
    <w:rPr>
      <w:rFonts w:ascii="Times New Roman CYR" w:hAnsi="Times New Roman CYR" w:cs="Times New Roman CYR" w:eastAsiaTheme="minorEastAsia"/>
    </w:rPr>
  </w:style>
  <w:style w:type="character" w:styleId="968" w:customStyle="1">
    <w:name w:val="Текст примечания Знак"/>
    <w:basedOn w:val="922"/>
    <w:link w:val="967"/>
    <w:uiPriority w:val="99"/>
    <w:rPr>
      <w:rFonts w:ascii="Times New Roman CYR" w:hAnsi="Times New Roman CYR" w:cs="Times New Roman CYR" w:eastAsiaTheme="minorEastAsia"/>
    </w:rPr>
  </w:style>
  <w:style w:type="paragraph" w:styleId="969">
    <w:name w:val="annotation subject"/>
    <w:basedOn w:val="967"/>
    <w:next w:val="967"/>
    <w:link w:val="970"/>
    <w:uiPriority w:val="99"/>
    <w:unhideWhenUsed/>
    <w:rPr>
      <w:b/>
      <w:bCs/>
    </w:rPr>
  </w:style>
  <w:style w:type="character" w:styleId="970" w:customStyle="1">
    <w:name w:val="Тема примечания Знак"/>
    <w:basedOn w:val="968"/>
    <w:link w:val="969"/>
    <w:uiPriority w:val="99"/>
    <w:rPr>
      <w:rFonts w:ascii="Times New Roman CYR" w:hAnsi="Times New Roman CYR" w:cs="Times New Roman CYR" w:eastAsiaTheme="minorEastAsia"/>
      <w:b/>
      <w:bCs/>
    </w:rPr>
  </w:style>
  <w:style w:type="paragraph" w:styleId="971" w:customStyle="1">
    <w:name w:val="Третий уровень (a)"/>
    <w:basedOn w:val="972"/>
    <w:qFormat/>
    <w:pPr>
      <w:ind w:left="6033" w:hanging="504"/>
    </w:pPr>
  </w:style>
  <w:style w:type="paragraph" w:styleId="972" w:customStyle="1">
    <w:name w:val="Второй уровень (1.1.)"/>
    <w:basedOn w:val="918"/>
    <w:pPr>
      <w:ind w:left="4827" w:hanging="432"/>
      <w:jc w:val="both"/>
      <w:keepNext w:val="0"/>
      <w:spacing w:before="240" w:after="200"/>
      <w:widowControl/>
    </w:pPr>
    <w:rPr>
      <w:rFonts w:ascii="Times New Roman" w:hAnsi="Times New Roman" w:eastAsia="Calibri"/>
      <w:i w:val="0"/>
      <w:sz w:val="24"/>
      <w:szCs w:val="24"/>
      <w:lang w:eastAsia="en-US"/>
    </w:rPr>
  </w:style>
  <w:style w:type="paragraph" w:styleId="973" w:customStyle="1">
    <w:name w:val="Четвертый уровень (i)"/>
    <w:basedOn w:val="920"/>
    <w:qFormat/>
    <w:pPr>
      <w:numPr>
        <w:ilvl w:val="3"/>
      </w:numPr>
      <w:ind w:left="2067" w:hanging="648"/>
      <w:jc w:val="both"/>
      <w:keepNext w:val="0"/>
      <w:spacing w:before="240" w:after="200"/>
      <w:tabs>
        <w:tab w:val="clear" w:pos="2520" w:leader="none"/>
      </w:tabs>
    </w:pPr>
    <w:rPr>
      <w:rFonts w:eastAsia="Calibri"/>
      <w:i w:val="0"/>
      <w:iCs w:val="0"/>
      <w:sz w:val="24"/>
      <w:szCs w:val="24"/>
      <w:lang w:eastAsia="en-US"/>
    </w:rPr>
  </w:style>
  <w:style w:type="table" w:styleId="974" w:customStyle="1">
    <w:name w:val="Сетка таблицы1"/>
    <w:basedOn w:val="923"/>
    <w:next w:val="937"/>
    <w:uiPriority w:val="39"/>
    <w:rPr>
      <w:rFonts w:asciiTheme="minorHAnsi" w:hAnsiTheme="minorHAnsi" w:eastAsiaTheme="minorEastAsia"/>
      <w:sz w:val="22"/>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5">
    <w:name w:val="Emphasis"/>
    <w:basedOn w:val="922"/>
    <w:qFormat/>
    <w:rPr>
      <w:i/>
      <w:iCs/>
    </w:rPr>
  </w:style>
  <w:style w:type="paragraph" w:styleId="976">
    <w:name w:val="Subtitle"/>
    <w:basedOn w:val="917"/>
    <w:next w:val="917"/>
    <w:link w:val="977"/>
    <w:qFormat/>
    <w:pPr>
      <w:numPr>
        <w:ilvl w:val="1"/>
      </w:numPr>
    </w:pPr>
    <w:rPr>
      <w:rFonts w:asciiTheme="majorHAnsi" w:hAnsiTheme="majorHAnsi" w:eastAsiaTheme="majorEastAsia" w:cstheme="majorBidi"/>
      <w:i/>
      <w:iCs/>
      <w:color w:val="4f81bd" w:themeColor="accent1"/>
      <w:spacing w:val="15"/>
      <w:sz w:val="24"/>
      <w:szCs w:val="24"/>
    </w:rPr>
  </w:style>
  <w:style w:type="character" w:styleId="977" w:customStyle="1">
    <w:name w:val="Подзаголовок Знак"/>
    <w:basedOn w:val="922"/>
    <w:link w:val="976"/>
    <w:rPr>
      <w:rFonts w:asciiTheme="majorHAnsi" w:hAnsiTheme="majorHAnsi" w:eastAsiaTheme="majorEastAsia" w:cstheme="majorBidi"/>
      <w:i/>
      <w:iCs/>
      <w:color w:val="4f81bd" w:themeColor="accent1"/>
      <w:spacing w:val="15"/>
      <w:sz w:val="24"/>
      <w:szCs w:val="24"/>
    </w:rPr>
  </w:style>
  <w:style w:type="character" w:styleId="978">
    <w:name w:val="Strong"/>
    <w:basedOn w:val="922"/>
    <w:qFormat/>
    <w:rPr>
      <w:b/>
      <w:bCs/>
    </w:rPr>
  </w:style>
  <w:style w:type="character" w:styleId="979" w:customStyle="1">
    <w:name w:val="wmi-callto"/>
    <w:basedOn w:val="922"/>
  </w:style>
  <w:style w:type="paragraph" w:styleId="980" w:customStyle="1">
    <w:name w:val="первый уровень приложения"/>
    <w:basedOn w:val="917"/>
    <w:qFormat/>
    <w:pPr>
      <w:jc w:val="both"/>
      <w:spacing w:after="240"/>
      <w:widowControl w:val="off"/>
    </w:pPr>
    <w:rPr>
      <w:sz w:val="24"/>
      <w:szCs w:val="24"/>
    </w:rPr>
  </w:style>
  <w:style w:type="table" w:styleId="981" w:customStyle="1">
    <w:name w:val="Сетка таблицы11"/>
    <w:basedOn w:val="923"/>
    <w:next w:val="937"/>
    <w:pPr>
      <w:ind w:left="2126" w:hanging="992"/>
      <w:jc w:val="both"/>
    </w:pPr>
    <w:rPr>
      <w:rFonts w:ascii="Calibri" w:hAnsi="Calibri" w:eastAsia="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2" w:customStyle="1">
    <w:name w:val="Сетка таблицы21"/>
    <w:uiPriority w:val="99"/>
    <w:pPr>
      <w:pBdr>
        <w:top w:val="none" w:color="000000" w:sz="4" w:space="0"/>
        <w:left w:val="none" w:color="000000" w:sz="4" w:space="0"/>
        <w:bottom w:val="none" w:color="000000" w:sz="4" w:space="0"/>
        <w:right w:val="none" w:color="000000" w:sz="4" w:space="0"/>
        <w:between w:val="none" w:color="000000" w:sz="4" w:space="0"/>
      </w:pBdr>
    </w:pPr>
    <w:rPr>
      <w:rFonts w:ascii="Calibri" w:hAnsi="Calibri" w:eastAsia="MS Mincho"/>
      <w:lang w:val="en-GB" w:eastAsia="en-GB"/>
    </w:rPr>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W w:w="0" w:type="auto"/>
    </w:tc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hyperlink" Target="http://ivo.garant.ru/document?id=10064072&amp;sub=1029" TargetMode="External"/><Relationship Id="rId14" Type="http://schemas.openxmlformats.org/officeDocument/2006/relationships/hyperlink" Target="http://torgi.gov.ru" TargetMode="External"/><Relationship Id="rId15" Type="http://schemas.openxmlformats.org/officeDocument/2006/relationships/hyperlink" Target="http://www.pochta.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EB6E3A-C155-490B-BACE-9EC682E2F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1</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revision>10</cp:revision>
  <dcterms:created xsi:type="dcterms:W3CDTF">2023-04-07T07:45:00Z</dcterms:created>
  <dcterms:modified xsi:type="dcterms:W3CDTF">2024-10-02T08:07:51Z</dcterms:modified>
</cp:coreProperties>
</file>