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11.10.2024 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1567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27"/>
        <w:jc w:val="center"/>
        <w:shd w:val="clear" w:color="auto" w:fill="ffffff"/>
        <w:tabs>
          <w:tab w:val="left" w:pos="9781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основных направлениях бюджетной и налоговой политики </w:t>
      </w:r>
      <w:r>
        <w:rPr>
          <w:b/>
          <w:sz w:val="20"/>
          <w:szCs w:val="20"/>
        </w:rPr>
        <w:br/>
        <w:t xml:space="preserve">Печенгского муниципального округа на 2025 год и на плановый период 2026 и 2027 годов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7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соответствии со статьёй 172 Бюджетного кодекса Российской Федерации,  руководствуясь Указами Президента Российской Федерации </w:t>
      </w:r>
      <w:r>
        <w:rPr>
          <w:highlight w:val="white"/>
        </w:rPr>
        <w:t xml:space="preserve">от 07.05.2012 № 597 </w:t>
        <w:br/>
        <w:t xml:space="preserve">«О мероприятиях по реализации государственной социальной политики», от 07.05.2024 </w:t>
      </w:r>
      <w:r>
        <w:rPr>
          <w:highlight w:val="white"/>
        </w:rPr>
        <w:br/>
        <w:t xml:space="preserve">№ 309</w:t>
      </w:r>
      <w:r>
        <w:t xml:space="preserve"> «О</w:t>
      </w:r>
      <w:r>
        <w:t xml:space="preserve"> национальных целях развития Российской Федерации на период до 2030 года и на перспективу до 2036 года», Положением о бюджетном процессе в Печенгском муниципальном округе Мурманской области, утвержденным решением Совета депутатов Печенгского муниципального</w:t>
      </w:r>
      <w:r>
        <w:t xml:space="preserve"> округа от 23.10.2020 № 41, а также с учетом прогноза социально-экономического развития муниципального образования Печенгский муниципальный округ на 2025 год и на плановый период 2026 и 2027 годов,</w:t>
      </w:r>
      <w:r/>
    </w:p>
    <w:p>
      <w:pPr>
        <w:pStyle w:val="876"/>
        <w:ind w:firstLine="709"/>
        <w:rPr>
          <w:sz w:val="24"/>
          <w:highlight w:val="yellow"/>
        </w:rPr>
      </w:pPr>
      <w:r>
        <w:rPr>
          <w:sz w:val="24"/>
          <w:highlight w:val="yellow"/>
        </w:rPr>
      </w:r>
      <w:r>
        <w:rPr>
          <w:sz w:val="24"/>
          <w:highlight w:val="yellow"/>
        </w:rPr>
      </w:r>
      <w:r>
        <w:rPr>
          <w:sz w:val="24"/>
          <w:highlight w:val="yellow"/>
        </w:rPr>
      </w:r>
    </w:p>
    <w:p>
      <w:pPr>
        <w:pStyle w:val="876"/>
        <w:rPr>
          <w:b/>
          <w:sz w:val="24"/>
        </w:rPr>
      </w:pPr>
      <w:r>
        <w:rPr>
          <w:b/>
          <w:sz w:val="24"/>
        </w:rPr>
        <w:t xml:space="preserve">ПОСТАНОВЛЯЮ:</w:t>
      </w:r>
      <w:r>
        <w:rPr>
          <w:b/>
          <w:sz w:val="24"/>
        </w:rPr>
      </w:r>
      <w:r>
        <w:rPr>
          <w:b/>
          <w:sz w:val="24"/>
        </w:rPr>
      </w:r>
    </w:p>
    <w:p>
      <w:pPr>
        <w:pStyle w:val="876"/>
        <w:ind w:firstLine="720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ind w:right="-5" w:firstLine="720"/>
        <w:jc w:val="both"/>
        <w:tabs>
          <w:tab w:val="left" w:pos="993" w:leader="none"/>
        </w:tabs>
        <w:rPr>
          <w:bCs/>
        </w:rPr>
      </w:pPr>
      <w:r>
        <w:t xml:space="preserve">1.</w:t>
      </w:r>
      <w:r>
        <w:tab/>
        <w:t xml:space="preserve"> </w:t>
      </w:r>
      <w:r>
        <w:rPr>
          <w:bCs/>
        </w:rPr>
        <w:t xml:space="preserve">Утвердить основные направления бюджетной и налоговой политики  Печенгского муниципального округа на 2025 год и на плановый период 2026 и 2027 годов согласно приложению к настоящему постановлению.</w:t>
      </w:r>
      <w:r>
        <w:rPr>
          <w:bCs/>
        </w:rPr>
      </w:r>
      <w:r>
        <w:rPr>
          <w:bCs/>
        </w:rPr>
      </w:r>
    </w:p>
    <w:p>
      <w:pPr>
        <w:ind w:right="-5" w:firstLine="720"/>
        <w:jc w:val="both"/>
        <w:tabs>
          <w:tab w:val="left" w:pos="993" w:leader="none"/>
        </w:tabs>
        <w:rPr>
          <w:bCs/>
        </w:rPr>
      </w:pPr>
      <w:r>
        <w:rPr>
          <w:bCs/>
        </w:rPr>
        <w:t xml:space="preserve">2.</w:t>
      </w:r>
      <w:r>
        <w:rPr>
          <w:bCs/>
        </w:rPr>
        <w:tab/>
        <w:t xml:space="preserve"> Главным адм</w:t>
      </w:r>
      <w:r>
        <w:rPr>
          <w:bCs/>
        </w:rPr>
        <w:t xml:space="preserve">инистраторам, главным распорядителям, распорядителям, получателям средств бюджета Печенгского муниципального округа, структурным подразделениям администрации Печенгского муниципального округа в своей деятельности руководствоваться настоящим постановлением.</w:t>
      </w:r>
      <w:r>
        <w:rPr>
          <w:bCs/>
        </w:rPr>
      </w:r>
      <w:r>
        <w:rPr>
          <w:bCs/>
        </w:rPr>
      </w:r>
    </w:p>
    <w:p>
      <w:pPr>
        <w:ind w:right="-5" w:firstLine="720"/>
        <w:jc w:val="both"/>
        <w:tabs>
          <w:tab w:val="left" w:pos="993" w:leader="none"/>
        </w:tabs>
      </w:pPr>
      <w:r>
        <w:t xml:space="preserve">3.</w:t>
      </w:r>
      <w:r>
        <w:tab/>
        <w:t xml:space="preserve"> Признать утратившим силу постановление администрации Печенгского муниципального округа от 08.11.2023 № 1650 «Об основных направлениях бюджетной и налоговой политики Печенгского муниципального округа на 2024 год и плановый период 2025 и 2026 годов».</w:t>
      </w:r>
      <w:r/>
    </w:p>
    <w:p>
      <w:pPr>
        <w:ind w:right="-5" w:firstLine="720"/>
        <w:jc w:val="both"/>
        <w:tabs>
          <w:tab w:val="left" w:pos="993" w:leader="none"/>
        </w:tabs>
      </w:pPr>
      <w:r>
        <w:t xml:space="preserve">4.</w:t>
      </w:r>
      <w:r>
        <w:tab/>
        <w:t xml:space="preserve"> </w:t>
      </w:r>
      <w:r>
        <w:rPr>
          <w:color w:val="000000"/>
        </w:rPr>
        <w:t xml:space="preserve">Настоящее постановление вступает в силу после его опубликования </w:t>
      </w:r>
      <w:r>
        <w:t xml:space="preserve">в газете «Печенга».</w:t>
      </w:r>
      <w:r/>
    </w:p>
    <w:p>
      <w:pPr>
        <w:ind w:right="-5" w:firstLine="720"/>
        <w:jc w:val="both"/>
        <w:tabs>
          <w:tab w:val="left" w:pos="993" w:leader="none"/>
        </w:tabs>
      </w:pPr>
      <w:r>
        <w:t xml:space="preserve">5. Настоящее постановление подлежит 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Style w:val="882"/>
            <w:color w:val="auto"/>
          </w:rPr>
          <w:t xml:space="preserve">https://pechengamr.gov-murman.ru/</w:t>
        </w:r>
      </w:hyperlink>
      <w:r>
        <w:t xml:space="preserve">.</w:t>
      </w:r>
      <w:r/>
    </w:p>
    <w:p>
      <w:pPr>
        <w:ind w:right="-5" w:firstLine="720"/>
        <w:jc w:val="both"/>
        <w:tabs>
          <w:tab w:val="left" w:pos="993" w:leader="none"/>
        </w:tabs>
        <w:rPr>
          <w:highlight w:val="yellow"/>
        </w:rPr>
      </w:pPr>
      <w:r>
        <w:rPr>
          <w:highlight w:val="yellow"/>
        </w:rPr>
      </w:r>
      <w:r>
        <w:rPr>
          <w:highlight w:val="yellow"/>
        </w:rPr>
      </w:r>
      <w:r>
        <w:rPr>
          <w:highlight w:val="yellow"/>
        </w:rPr>
      </w:r>
    </w:p>
    <w:p>
      <w:pPr>
        <w:jc w:val="both"/>
      </w:pPr>
      <w:r/>
      <w:r/>
    </w:p>
    <w:p>
      <w:pPr>
        <w:jc w:val="both"/>
      </w:pPr>
      <w:r>
        <w:t xml:space="preserve">Глава Печенгского муниципального округа </w:t>
        <w:tab/>
        <w:tab/>
        <w:tab/>
        <w:tab/>
        <w:tab/>
        <w:t xml:space="preserve"> А.В. Кузнецов</w:t>
      </w:r>
      <w:r/>
    </w:p>
    <w:p>
      <w:pPr>
        <w:jc w:val="both"/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</w:r>
      <w:r>
        <w:rPr>
          <w:sz w:val="20"/>
          <w:szCs w:val="20"/>
          <w:highlight w:val="yellow"/>
        </w:rPr>
      </w:r>
      <w:r>
        <w:rPr>
          <w:sz w:val="20"/>
          <w:szCs w:val="20"/>
          <w:highlight w:val="yellow"/>
        </w:rPr>
      </w:r>
    </w:p>
    <w:p>
      <w:pPr>
        <w:jc w:val="both"/>
        <w:rPr>
          <w:b/>
          <w:color w:val="000000"/>
        </w:rPr>
      </w:pPr>
      <w:r>
        <w:rPr>
          <w:sz w:val="20"/>
          <w:szCs w:val="20"/>
        </w:rPr>
        <w:t xml:space="preserve">Ионова</w:t>
      </w:r>
      <w:r>
        <w:rPr>
          <w:sz w:val="20"/>
          <w:szCs w:val="20"/>
        </w:rPr>
        <w:t xml:space="preserve"> О.В.,  50270 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ind w:left="5529"/>
        <w:jc w:val="both"/>
      </w:pPr>
      <w:r>
        <w:t xml:space="preserve">Приложение </w:t>
      </w:r>
      <w:r/>
    </w:p>
    <w:p>
      <w:pPr>
        <w:ind w:left="5529"/>
        <w:jc w:val="both"/>
      </w:pPr>
      <w:r>
        <w:t xml:space="preserve">к постановлению администрации Печенгского муниципального округа  </w:t>
      </w:r>
      <w:r/>
    </w:p>
    <w:p>
      <w:pPr>
        <w:ind w:left="5529"/>
        <w:jc w:val="both"/>
      </w:pPr>
      <w:r>
        <w:t xml:space="preserve">от 11.10.2024 № 1567</w:t>
      </w:r>
      <w:r/>
    </w:p>
    <w:p>
      <w:pPr>
        <w:jc w:val="right"/>
      </w:pPr>
      <w:r/>
      <w:r/>
    </w:p>
    <w:p>
      <w:pPr>
        <w:jc w:val="right"/>
      </w:pPr>
      <w:r/>
      <w:r/>
    </w:p>
    <w:p>
      <w:pPr>
        <w:jc w:val="center"/>
        <w:shd w:val="clear" w:color="auto" w:fill="ffffff"/>
        <w:rPr>
          <w:b/>
          <w:bCs/>
          <w:iCs/>
        </w:rPr>
      </w:pPr>
      <w:r/>
      <w:bookmarkStart w:id="0" w:name="sub_11011"/>
      <w:r>
        <w:rPr>
          <w:b/>
          <w:bCs/>
          <w:iCs/>
        </w:rPr>
        <w:t xml:space="preserve">ОСНОВНЫЕ НАПРАВЛЕНИЯ 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tabs>
          <w:tab w:val="left" w:pos="9360" w:leader="none"/>
        </w:tabs>
      </w:pPr>
      <w:r>
        <w:t xml:space="preserve">бюджетной и налоговой политики Печенгского муниципального округа </w:t>
      </w:r>
      <w:r>
        <w:br/>
        <w:t xml:space="preserve">на 2025 год и плановый период 2026 и 2027 годов</w:t>
      </w:r>
      <w:r/>
    </w:p>
    <w:p>
      <w:pPr>
        <w:jc w:val="both"/>
        <w:tabs>
          <w:tab w:val="left" w:pos="9360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shd w:val="clear" w:color="auto" w:fill="ffffff"/>
        <w:tabs>
          <w:tab w:val="left" w:pos="426" w:leader="none"/>
          <w:tab w:val="left" w:pos="1843" w:leader="none"/>
          <w:tab w:val="left" w:pos="2127" w:leader="none"/>
          <w:tab w:val="left" w:pos="2694" w:leader="none"/>
        </w:tabs>
        <w:rPr>
          <w:b/>
          <w:bCs/>
          <w:iCs/>
        </w:rPr>
      </w:pPr>
      <w:r>
        <w:rPr>
          <w:b/>
          <w:bCs/>
          <w:iCs/>
        </w:rPr>
        <w:t xml:space="preserve">1.</w:t>
      </w:r>
      <w:r>
        <w:rPr>
          <w:b/>
          <w:bCs/>
          <w:iCs/>
        </w:rPr>
        <w:tab/>
        <w:t xml:space="preserve">Основные положения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both"/>
        <w:tabs>
          <w:tab w:val="left" w:pos="9360" w:leader="none"/>
        </w:tabs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</w:r>
      <w:r>
        <w:rPr>
          <w:sz w:val="20"/>
          <w:szCs w:val="20"/>
          <w:highlight w:val="yellow"/>
        </w:rPr>
      </w:r>
      <w:r>
        <w:rPr>
          <w:sz w:val="20"/>
          <w:szCs w:val="20"/>
          <w:highlight w:val="yellow"/>
        </w:rPr>
      </w:r>
    </w:p>
    <w:p>
      <w:pPr>
        <w:ind w:firstLine="708"/>
        <w:jc w:val="both"/>
      </w:pPr>
      <w:r>
        <w:t xml:space="preserve">Основные направления бюджетной и налоговой политики Печенгского муниципального округа на 2025 и на плановый период 2026 и 2027 годов (далее </w:t>
      </w:r>
      <w:r>
        <w:t xml:space="preserve">–о</w:t>
      </w:r>
      <w:r>
        <w:t xml:space="preserve">сновные направления) подготовлены  в соответствии с бюджетным законодательством Российской Федерации в целях составления проекта бюджета Печенгского муниципального округа на 2025 год и на плановый период 2026 и 2027 годов (далее – бюджет округа).</w:t>
      </w:r>
      <w:r/>
    </w:p>
    <w:p>
      <w:pPr>
        <w:ind w:firstLine="708"/>
        <w:jc w:val="both"/>
      </w:pPr>
      <w:r>
        <w:t xml:space="preserve">В основу бюджетной и н</w:t>
      </w:r>
      <w:r>
        <w:t xml:space="preserve">алоговой политики на 2025 год и на плановый период 2026 и 2027 годов положены стратегические цели развития страны, Мурманской области, Печенгского муниципального округа, концепции социально-экономического развития Печенгского муниципального округа в целом.</w:t>
      </w:r>
      <w:r/>
    </w:p>
    <w:p>
      <w:pPr>
        <w:ind w:firstLine="708"/>
        <w:jc w:val="both"/>
      </w:pPr>
      <w:r>
        <w:t xml:space="preserve">Основные направления составлены с учетом преемственности ранее поставленных базовых целей и задач.</w:t>
      </w:r>
      <w:r/>
    </w:p>
    <w:p>
      <w:pPr>
        <w:ind w:firstLine="708"/>
        <w:jc w:val="both"/>
      </w:pPr>
      <w:r>
        <w:t xml:space="preserve">При подготовке основных направлений были учтены: </w:t>
      </w:r>
      <w:r>
        <w:t xml:space="preserve">Послание Президента Российской Федерации Федеральному собранию от 29.02.2024 года, Указ Президента Российской Федерации от 7 мая 2024 года № 309 «О национальных целях развития </w:t>
      </w:r>
      <w:r>
        <w:t xml:space="preserve">Российской Федерации на период до 2030 года и на перспективу до 2036 года» в условиях негативного влияния последствий санкционного давления на Российскую Федерацию со стороны недружественных стран, муниципальные программы Печенгского муниципального округа.</w:t>
      </w:r>
      <w:r/>
    </w:p>
    <w:p>
      <w:pPr>
        <w:ind w:firstLine="708"/>
        <w:jc w:val="both"/>
      </w:pPr>
      <w:r>
        <w:t xml:space="preserve">Основные направления являются основой для повышения качества бюджетного процесса, обеспечения рационального, эффективного и результативного расходования бюджетных средств.</w:t>
      </w:r>
      <w:r/>
    </w:p>
    <w:p>
      <w:pPr>
        <w:ind w:firstLine="708"/>
        <w:jc w:val="both"/>
      </w:pPr>
      <w:r>
        <w:t xml:space="preserve">Проведение предсказуемой и ответственной бюджетной политики, обеспечение долгосрочной сбалансированности и устойчивости бюджетной системы обеспечат экономическую стабильность и необходимые условия для по</w:t>
      </w:r>
      <w:r>
        <w:t xml:space="preserve">вышения эффективности деятельности органов местного самоуправления Печенгского муниципального округа по обеспечению потребности граждан и общества в муниципальных услугах на территории Печенгского муниципального округа, улучшению их качества и доступности.</w:t>
      </w:r>
      <w:r/>
    </w:p>
    <w:p>
      <w:pPr>
        <w:jc w:val="center"/>
        <w:tabs>
          <w:tab w:val="left" w:pos="426" w:leader="none"/>
          <w:tab w:val="left" w:pos="1560" w:leader="none"/>
        </w:tabs>
        <w:rPr>
          <w:b/>
          <w:bCs/>
          <w:iCs/>
          <w:sz w:val="20"/>
          <w:szCs w:val="20"/>
          <w:highlight w:val="yellow"/>
        </w:rPr>
      </w:pPr>
      <w:r>
        <w:rPr>
          <w:b/>
          <w:bCs/>
          <w:iCs/>
          <w:sz w:val="20"/>
          <w:szCs w:val="20"/>
          <w:highlight w:val="yellow"/>
        </w:rPr>
      </w:r>
      <w:r>
        <w:rPr>
          <w:b/>
          <w:bCs/>
          <w:iCs/>
          <w:sz w:val="20"/>
          <w:szCs w:val="20"/>
          <w:highlight w:val="yellow"/>
        </w:rPr>
      </w:r>
      <w:r>
        <w:rPr>
          <w:b/>
          <w:bCs/>
          <w:iCs/>
          <w:sz w:val="20"/>
          <w:szCs w:val="20"/>
          <w:highlight w:val="yellow"/>
        </w:rPr>
      </w:r>
    </w:p>
    <w:p>
      <w:pPr>
        <w:jc w:val="center"/>
        <w:tabs>
          <w:tab w:val="left" w:pos="426" w:leader="none"/>
          <w:tab w:val="left" w:pos="1560" w:leader="none"/>
        </w:tabs>
        <w:rPr>
          <w:b/>
          <w:bCs/>
          <w:iCs/>
        </w:rPr>
      </w:pPr>
      <w:r>
        <w:rPr>
          <w:b/>
          <w:bCs/>
          <w:iCs/>
        </w:rPr>
        <w:t xml:space="preserve">2.</w:t>
      </w:r>
      <w:r>
        <w:rPr>
          <w:b/>
          <w:bCs/>
          <w:iCs/>
        </w:rPr>
        <w:tab/>
        <w:t xml:space="preserve">Основные итоги реализации бюджетной и налоговой политики в 2023 году </w:t>
      </w:r>
      <w:r>
        <w:rPr>
          <w:b/>
          <w:bCs/>
          <w:iCs/>
        </w:rPr>
        <w:br/>
        <w:t xml:space="preserve">и первом полугодии 2024 года 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ind w:firstLine="851"/>
        <w:jc w:val="center"/>
        <w:shd w:val="clear" w:color="auto" w:fill="ffffff"/>
        <w:rPr>
          <w:b/>
          <w:bCs/>
          <w:iCs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</w:r>
      <w:r>
        <w:rPr>
          <w:b/>
          <w:bCs/>
          <w:iCs/>
          <w:caps/>
          <w:sz w:val="20"/>
          <w:szCs w:val="20"/>
        </w:rPr>
      </w:r>
      <w:r>
        <w:rPr>
          <w:b/>
          <w:bCs/>
          <w:iCs/>
          <w:caps/>
          <w:sz w:val="20"/>
          <w:szCs w:val="20"/>
        </w:rPr>
      </w:r>
    </w:p>
    <w:p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В 2023 году и первом полугодии 2024 года бюджетная и налоговая политика была направлена на решение задач по обеспечению устойчивости и сбалансированности </w:t>
      </w:r>
      <w:r>
        <w:rPr>
          <w:color w:val="000000"/>
          <w:shd w:val="clear" w:color="auto" w:fill="ffffff"/>
        </w:rPr>
        <w:t xml:space="preserve">бюджета округа, повышение качества бюджетного планирования и исполнения бюджета округа, выполнение задач, поставленных Президентом Российской Федерации в ежегодном Послании Федеральному Собранию Российской Федерации, указах Президента Российской Федерации.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Бюджет округа за 2023 год и первое полугодие 2024 года сформирован и исполнен на основе муниципальных программ, которые повышают эффективность расходования средств за счет выполнения количественных и качественных целевых показателей, </w:t>
      </w:r>
      <w:r>
        <w:rPr>
          <w:color w:val="000000"/>
          <w:shd w:val="clear" w:color="auto" w:fill="ffffff"/>
        </w:rPr>
        <w:t xml:space="preserve">характеризующих достижение целей и решение задач, что позволяет гарантированно обеспечить финансовыми ресурсами действующие расходные обязательства, прозрачно и конкурентно распределять имеющиеся бюджетные средства.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Благодаря эффективной реализации бюджетно</w:t>
      </w:r>
      <w:r>
        <w:rPr>
          <w:color w:val="000000"/>
          <w:shd w:val="clear" w:color="auto" w:fill="ffffff"/>
        </w:rPr>
        <w:t xml:space="preserve">й политики своевременно проведена работа по оптимизации и повышению эффективности бюджетных расходов, соблюдению нормативов расходов на содержание органов местного самоуправления, недопущению кредиторской задолженности по принятым расходным обязательствам.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С</w:t>
      </w:r>
      <w:r>
        <w:rPr>
          <w:color w:val="000000"/>
          <w:shd w:val="clear" w:color="auto" w:fill="ffffff"/>
        </w:rPr>
        <w:t xml:space="preserve"> целью прозрачности и открытости бюджетного процесса, обеспечения вовлеченности граждан в бюджетный процесс актуальная информация о бюджете и его исполнении в объективной и доступной форме размещается на официальном сайте Печенгского муниципального округа.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Исполнение доходной части бюджета округа по налоговым и неналоговым доходам за 2023 год на 100,5% к утвержденным параметрам позволило администрации Печенгского муницип</w:t>
      </w:r>
      <w:r>
        <w:rPr>
          <w:color w:val="000000"/>
          <w:shd w:val="clear" w:color="auto" w:fill="ffffff"/>
        </w:rPr>
        <w:t xml:space="preserve">ального округа осуществлять финансирование расходов в рамках реализации мероприятий муниципальных программ и непрограммных направлений деятельности органов местного самоуправления в объемах, подтвержденных заявками главных распорядителей бюджетных средств.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По итогам первого полугодия 2024 года поступлени</w:t>
      </w:r>
      <w:r>
        <w:rPr>
          <w:color w:val="000000"/>
          <w:shd w:val="clear" w:color="auto" w:fill="ffffff"/>
        </w:rPr>
        <w:t xml:space="preserve">е</w:t>
      </w:r>
      <w:r>
        <w:rPr>
          <w:color w:val="000000"/>
          <w:shd w:val="clear" w:color="auto" w:fill="ffffff"/>
        </w:rPr>
        <w:t xml:space="preserve"> налоговых и неналоговых доходов составило 595,8 млн. рублей, что на 13,8 % выше аналогичного уровня 2023 года.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Проведение работы по инвентаризации всей дебиторской</w:t>
      </w:r>
      <w:r>
        <w:rPr>
          <w:color w:val="000000"/>
          <w:shd w:val="clear" w:color="auto" w:fill="ffffff"/>
        </w:rPr>
        <w:t xml:space="preserve"> задолженности  администраторами поступлений в бюджет округа, позволило сократить недоимку перед бюджетом округа на 18,4 млн. рублей.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Наиболее значимым направлением бюджетной политики по-прежнему остается повышение эффективности бюджетных расходов, осуществляемое, в том числе за счет оптимизации муниципальных закупок и сокращение расходов за счет снижения неэффективных затрат.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Расходная часть бюджета округа имеет социальную направленность. Обеспечено финансирование таких значимых направлений как образование (53,8%), культура (9,9%), физическая культура и спорт (3,8%), социальная политика (3,3%).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В условиях недостаточности финансовых сре</w:t>
      </w:r>
      <w:r>
        <w:rPr>
          <w:bCs/>
          <w:iCs/>
        </w:rPr>
        <w:t xml:space="preserve">дств дл</w:t>
      </w:r>
      <w:r>
        <w:rPr>
          <w:bCs/>
          <w:iCs/>
        </w:rPr>
        <w:t xml:space="preserve">я исполнения полномочий муниципального уровня в бюджете округа предусматривались ассигнования, позволяющие привлечь средства вышестоящих бюджетов на условиях </w:t>
      </w:r>
      <w:r>
        <w:rPr>
          <w:bCs/>
          <w:iCs/>
        </w:rPr>
        <w:t xml:space="preserve">софинансирования</w:t>
      </w:r>
      <w:r>
        <w:rPr>
          <w:bCs/>
          <w:iCs/>
        </w:rPr>
        <w:t xml:space="preserve"> расходных обязательств по решению вопрос</w:t>
      </w:r>
      <w:r>
        <w:rPr>
          <w:bCs/>
          <w:iCs/>
        </w:rPr>
        <w:t xml:space="preserve">ов местного значения. Так, муниципалитет принял участие в реализации 14 государственных программ Мурманской области по наиболее важным направлениям, выполнив условия получения субсидий из вышестоящих бюджетов на исполнение полномочий муниципального уровня.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По итогам 2023 года бюджет округа исполнен с профицитом в размере 37,5 млн. рублей. Долговая политика исходила из целей сбалансированности бюджета округа. Муниципальный долг был сокращен и составляет на 01.07.2024 года 43,16 млн. рублей.</w:t>
      </w:r>
      <w:r>
        <w:rPr>
          <w:bCs/>
          <w:iCs/>
          <w:highlight w:val="yellow"/>
        </w:rPr>
        <w:t xml:space="preserve"> </w:t>
      </w:r>
      <w:r>
        <w:rPr>
          <w:bCs/>
          <w:iCs/>
        </w:rPr>
        <w:t xml:space="preserve">Печенгский муниципальный округ по итогам проведенной оценки Министерством финансов Мурманской области долговой устойчивости по итогам 2023 года отнесен к группе заемщиков с высоким уровнем долговой устойчивости.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rPr>
          <w:bCs/>
          <w:iCs/>
        </w:rPr>
      </w:pPr>
      <w:r>
        <w:rPr>
          <w:bCs/>
          <w:iCs/>
        </w:rPr>
        <w:t xml:space="preserve">В соответствии с заключенным с Министерством финансов Мурманской области соглашением о мерах по социально-экономическому развитию</w:t>
      </w:r>
      <w:r>
        <w:rPr>
          <w:bCs/>
          <w:iCs/>
        </w:rPr>
        <w:t xml:space="preserve"> и оздоровлению муниципальных финансов Печенгского муниципального округа, администрацией Печенгского муниципального округа выполняются следующие мероприятия: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tabs>
          <w:tab w:val="left" w:pos="993" w:leader="none"/>
        </w:tabs>
      </w:pPr>
      <w:r>
        <w:rPr>
          <w:bCs/>
          <w:iCs/>
        </w:rPr>
        <w:t xml:space="preserve">-</w:t>
      </w:r>
      <w:r>
        <w:rPr>
          <w:bCs/>
          <w:iCs/>
        </w:rPr>
        <w:tab/>
      </w:r>
      <w:r>
        <w:rPr>
          <w:rFonts w:eastAsiaTheme="minorHAnsi"/>
          <w:lang w:eastAsia="en-US"/>
        </w:rPr>
        <w:t xml:space="preserve">проведение оценки налоговых расходов;</w:t>
      </w:r>
      <w:r/>
    </w:p>
    <w:p>
      <w:pPr>
        <w:ind w:firstLine="709"/>
        <w:jc w:val="both"/>
        <w:tabs>
          <w:tab w:val="left" w:pos="993" w:leader="none"/>
        </w:tabs>
        <w:rPr>
          <w:rStyle w:val="899"/>
          <w:rFonts w:ascii="Times New Roman" w:hAnsi="Times New Roman"/>
        </w:rPr>
      </w:pPr>
      <w:r>
        <w:rPr>
          <w:rFonts w:eastAsiaTheme="minorHAnsi"/>
          <w:lang w:eastAsia="en-US"/>
        </w:rPr>
        <w:t xml:space="preserve">-</w:t>
      </w:r>
      <w:r>
        <w:rPr>
          <w:rFonts w:eastAsiaTheme="minorHAnsi"/>
          <w:lang w:eastAsia="en-US"/>
        </w:rPr>
        <w:tab/>
      </w:r>
      <w:r>
        <w:rPr>
          <w:rStyle w:val="899"/>
          <w:rFonts w:ascii="Times New Roman" w:hAnsi="Times New Roman"/>
        </w:rPr>
        <w:t xml:space="preserve">обеспечение роста налоговых и неналоговых доходов бюджета муниципального образования по итогам исполнения местного бюджета за 2024 год по сравнению с уровнем</w:t>
      </w:r>
      <w:r>
        <w:rPr>
          <w:color w:val="000000"/>
        </w:rPr>
        <w:br/>
      </w:r>
      <w:r>
        <w:rPr>
          <w:rStyle w:val="899"/>
          <w:rFonts w:ascii="Times New Roman" w:hAnsi="Times New Roman"/>
        </w:rPr>
        <w:t xml:space="preserve">исполнения за 2023 год не менее чем на 0,09%;</w:t>
      </w:r>
      <w:r>
        <w:rPr>
          <w:rStyle w:val="899"/>
          <w:rFonts w:ascii="Times New Roman" w:hAnsi="Times New Roman"/>
        </w:rPr>
      </w:r>
      <w:r>
        <w:rPr>
          <w:rStyle w:val="899"/>
          <w:rFonts w:ascii="Times New Roman" w:hAnsi="Times New Roman"/>
        </w:rPr>
      </w:r>
    </w:p>
    <w:p>
      <w:pPr>
        <w:ind w:firstLine="709"/>
        <w:jc w:val="both"/>
        <w:tabs>
          <w:tab w:val="left" w:pos="993" w:leader="none"/>
        </w:tabs>
      </w:pPr>
      <w:r>
        <w:rPr>
          <w:rFonts w:eastAsiaTheme="minorHAnsi"/>
          <w:lang w:eastAsia="en-US"/>
        </w:rPr>
        <w:t xml:space="preserve">-</w:t>
      </w:r>
      <w:r>
        <w:rPr>
          <w:rFonts w:eastAsiaTheme="minorHAnsi"/>
          <w:lang w:eastAsia="en-US"/>
        </w:rPr>
        <w:tab/>
        <w:t xml:space="preserve">внесение в Единый государственный реестр недвижимости (ЕГРН) сведений о правообладателях </w:t>
      </w:r>
      <w:r>
        <w:rPr>
          <w:rFonts w:eastAsiaTheme="minorHAnsi"/>
          <w:lang w:eastAsia="en-US"/>
        </w:rPr>
        <w:t xml:space="preserve">ранее учтенных </w:t>
      </w:r>
      <w:r>
        <w:rPr>
          <w:rFonts w:eastAsiaTheme="minorHAnsi"/>
          <w:lang w:eastAsia="en-US"/>
        </w:rPr>
        <w:t xml:space="preserve">объектов недвижимости;</w:t>
      </w:r>
      <w:r/>
    </w:p>
    <w:p>
      <w:pPr>
        <w:ind w:firstLine="709"/>
        <w:jc w:val="both"/>
        <w:tabs>
          <w:tab w:val="left" w:pos="993" w:leader="none"/>
        </w:tabs>
      </w:pPr>
      <w:r>
        <w:rPr>
          <w:rFonts w:eastAsiaTheme="minorHAnsi"/>
          <w:lang w:eastAsia="en-US"/>
        </w:rPr>
        <w:t xml:space="preserve">-</w:t>
      </w:r>
      <w:r>
        <w:rPr>
          <w:rFonts w:eastAsiaTheme="minorHAnsi"/>
          <w:lang w:eastAsia="en-US"/>
        </w:rPr>
        <w:tab/>
        <w:t xml:space="preserve">обеспечение полноты отражения информации в Государственной информационной системе о государственных и муниципальных платежах (ГИС ГМП) о суммах платежей, поступивших на лицевые счета администраторов доходов бюджета округа;</w:t>
      </w:r>
      <w:r/>
    </w:p>
    <w:p>
      <w:pPr>
        <w:ind w:firstLine="709"/>
        <w:jc w:val="both"/>
        <w:tabs>
          <w:tab w:val="left" w:pos="993" w:leader="none"/>
        </w:tabs>
      </w:pPr>
      <w:r>
        <w:rPr>
          <w:rFonts w:eastAsiaTheme="minorHAnsi"/>
          <w:lang w:eastAsia="en-US"/>
        </w:rPr>
        <w:t xml:space="preserve">-</w:t>
      </w:r>
      <w:r>
        <w:rPr>
          <w:rFonts w:eastAsiaTheme="minorHAnsi"/>
          <w:lang w:eastAsia="en-US"/>
        </w:rPr>
        <w:tab/>
        <w:t xml:space="preserve">соблюдение установленных Правительством Мурманской области нормативов формирования расходов на содержание органов местного самоуправления;</w:t>
      </w:r>
      <w:r/>
    </w:p>
    <w:p>
      <w:pPr>
        <w:ind w:firstLine="709"/>
        <w:jc w:val="both"/>
        <w:tabs>
          <w:tab w:val="left" w:pos="993" w:leader="none"/>
        </w:tabs>
      </w:pPr>
      <w:r>
        <w:rPr>
          <w:rFonts w:eastAsiaTheme="minorHAnsi"/>
          <w:lang w:eastAsia="en-US"/>
        </w:rPr>
        <w:t xml:space="preserve">-</w:t>
      </w:r>
      <w:r>
        <w:rPr>
          <w:rFonts w:eastAsiaTheme="minorHAnsi"/>
          <w:lang w:eastAsia="en-US"/>
        </w:rPr>
        <w:tab/>
        <w:t xml:space="preserve">исполнение принятых обязательств по обеспечению сохранения средней заработной платы работников муниципальных учреждений в отчетном финансовом году на уровне, установленном указами Президента Российской Федерации;</w:t>
      </w:r>
      <w:r/>
    </w:p>
    <w:p>
      <w:pPr>
        <w:ind w:firstLine="709"/>
        <w:jc w:val="both"/>
        <w:tabs>
          <w:tab w:val="left" w:pos="993" w:leader="none"/>
        </w:tabs>
        <w:rPr>
          <w:rStyle w:val="899"/>
          <w:rFonts w:ascii="Times New Roman" w:hAnsi="Times New Roman"/>
        </w:rPr>
      </w:pPr>
      <w:r>
        <w:rPr>
          <w:rFonts w:eastAsiaTheme="minorHAnsi"/>
          <w:lang w:eastAsia="en-US"/>
        </w:rPr>
        <w:t xml:space="preserve">-</w:t>
      </w:r>
      <w:r>
        <w:rPr>
          <w:rFonts w:eastAsiaTheme="minorHAnsi"/>
          <w:lang w:eastAsia="en-US"/>
        </w:rPr>
        <w:tab/>
        <w:t xml:space="preserve">не установление с 2024 года новых расходных обязательств, не связанных с решением вопросов, отнесенных Конституцией Российской Федерации, федеральными законами, законами Мурманской области к полномочиям органов местного самоуправления, за исключением </w:t>
      </w:r>
      <w:r>
        <w:rPr>
          <w:rStyle w:val="899"/>
          <w:rFonts w:ascii="Times New Roman" w:hAnsi="Times New Roman"/>
        </w:rPr>
        <w:t xml:space="preserve">расходных обязательств по финансов</w:t>
      </w:r>
      <w:r>
        <w:rPr>
          <w:rStyle w:val="899"/>
          <w:rFonts w:ascii="Times New Roman" w:hAnsi="Times New Roman"/>
        </w:rPr>
        <w:t xml:space="preserve">ому обеспечению мероприятий, связанных с предотвращением влияния ухудшения геополитической и экономической ситуации на развитие отраслей экономики, и дополнительных мероприятий в сфере национальной обороны и национальной безопасности, включая осуществление</w:t>
      </w:r>
      <w:r>
        <w:rPr>
          <w:rStyle w:val="899"/>
          <w:rFonts w:ascii="Times New Roman" w:hAnsi="Times New Roman"/>
        </w:rPr>
        <w:t xml:space="preserve"> мер социальной поддержки отдельных категорий граждан, расходные обязательства, связанные с оказанием содействия в подготовке и проведении выборов</w:t>
      </w:r>
      <w:r>
        <w:rPr>
          <w:color w:val="000000"/>
        </w:rPr>
        <w:br/>
      </w:r>
      <w:r>
        <w:rPr>
          <w:rStyle w:val="899"/>
          <w:rFonts w:ascii="Times New Roman" w:hAnsi="Times New Roman"/>
        </w:rPr>
        <w:t xml:space="preserve">Президента Российской Федерации, и расходные обязательства по финансовому обеспечению мер социальной поддержки граждан, определенные местной администрацией, установленные до 1 января 2024 года.</w:t>
      </w:r>
      <w:r>
        <w:rPr>
          <w:rStyle w:val="899"/>
          <w:rFonts w:ascii="Times New Roman" w:hAnsi="Times New Roman"/>
        </w:rPr>
      </w:r>
      <w:r>
        <w:rPr>
          <w:rStyle w:val="899"/>
          <w:rFonts w:ascii="Times New Roman" w:hAnsi="Times New Roman"/>
        </w:rPr>
      </w:r>
    </w:p>
    <w:p>
      <w:pPr>
        <w:ind w:firstLine="709"/>
        <w:jc w:val="both"/>
        <w:tabs>
          <w:tab w:val="left" w:pos="993" w:leader="none"/>
        </w:tabs>
        <w:rPr>
          <w:highlight w:val="yellow"/>
        </w:rPr>
      </w:pPr>
      <w:r>
        <w:rPr>
          <w:rFonts w:eastAsiaTheme="minorHAnsi"/>
          <w:lang w:eastAsia="en-US"/>
        </w:rPr>
        <w:t xml:space="preserve">С ц</w:t>
      </w:r>
      <w:r>
        <w:rPr>
          <w:rFonts w:eastAsiaTheme="minorHAnsi"/>
          <w:lang w:eastAsia="en-US"/>
        </w:rPr>
        <w:t xml:space="preserve">елью прозрачности и открытости бюджетного процесса, обеспечения вовлеченности граждан в бюджетный процесс актуальная информация о бюджете округа и его исполнении в объективной и доступной для понимания форме размещается на официальном сайте Печенгского мун</w:t>
      </w:r>
      <w:r>
        <w:rPr>
          <w:rFonts w:eastAsiaTheme="minorHAnsi"/>
          <w:lang w:eastAsia="en-US"/>
        </w:rPr>
        <w:t xml:space="preserve">иципального округа. По итогам проведения мониторинга и составления рейтинга муниципальных образований Мурманской области по уровню открытости бюджетных данных за 2023 год Печенгский муниципальный округ занимает пятое место из тридцати шести муниципальных о</w:t>
      </w:r>
      <w:r>
        <w:rPr>
          <w:rFonts w:eastAsiaTheme="minorHAnsi"/>
          <w:lang w:eastAsia="en-US"/>
        </w:rPr>
        <w:t xml:space="preserve">бразований, набрав 171 баллов из 174. По результатам проведенной Министерством финансов Мурманской области  оценки качества управления бюджетным процессом муниципальных образований Мурманской области за 2023 год Печенгскому муниципальному округу присвоена </w:t>
      </w:r>
      <w:r>
        <w:rPr>
          <w:rFonts w:eastAsiaTheme="minorHAnsi"/>
          <w:lang w:val="en-US" w:eastAsia="en-US"/>
        </w:rPr>
        <w:t xml:space="preserve">I</w:t>
      </w:r>
      <w:r>
        <w:rPr>
          <w:rFonts w:eastAsiaTheme="minorHAnsi"/>
          <w:lang w:eastAsia="en-US"/>
        </w:rPr>
        <w:t xml:space="preserve"> степень качества управления бюджетным процессом.</w:t>
      </w:r>
      <w:r>
        <w:rPr>
          <w:highlight w:val="yellow"/>
        </w:rPr>
      </w:r>
      <w:r>
        <w:rPr>
          <w:highlight w:val="yellow"/>
        </w:rPr>
      </w:r>
    </w:p>
    <w:p>
      <w:pPr>
        <w:ind w:firstLine="709"/>
        <w:jc w:val="both"/>
        <w:tabs>
          <w:tab w:val="left" w:pos="993" w:leader="none"/>
        </w:tabs>
      </w:pPr>
      <w:r>
        <w:rPr>
          <w:rFonts w:eastAsiaTheme="minorHAnsi"/>
          <w:lang w:eastAsia="en-US"/>
        </w:rPr>
        <w:t xml:space="preserve">В целях обеспечения публичности и дос</w:t>
      </w:r>
      <w:r>
        <w:rPr>
          <w:rFonts w:eastAsiaTheme="minorHAnsi"/>
          <w:lang w:eastAsia="en-US"/>
        </w:rPr>
        <w:t xml:space="preserve">тупности деятельности органов местного самоуправления и муниципальных учреждений на постоянной основе ведется работа в части наполняемости единого портала бюджетной системы Российской Федерации в соответствии с приказом Минфина России от 28.12.2016 № 243н.</w:t>
      </w:r>
      <w:r/>
    </w:p>
    <w:p>
      <w:pPr>
        <w:contextualSpacing/>
        <w:ind w:firstLine="851"/>
        <w:jc w:val="both"/>
        <w:tabs>
          <w:tab w:val="left" w:pos="426" w:leader="none"/>
        </w:tabs>
      </w:pPr>
      <w:r>
        <w:rPr>
          <w:rFonts w:eastAsiaTheme="minorHAnsi"/>
          <w:lang w:eastAsia="en-US"/>
        </w:rPr>
        <w:t xml:space="preserve">В соответствии с </w:t>
      </w:r>
      <w:r>
        <w:t xml:space="preserve">Порядком оценки налоговых расходов Печенгского муниципального округа и формирования перечня налоговых расходов Печенгского муниципального округа ежегодно проводится оценка налоговых расходов.</w:t>
      </w:r>
      <w:r/>
    </w:p>
    <w:p>
      <w:pPr>
        <w:contextualSpacing/>
        <w:ind w:firstLine="851"/>
        <w:jc w:val="both"/>
        <w:tabs>
          <w:tab w:val="left" w:pos="426" w:leader="none"/>
        </w:tabs>
        <w:rPr>
          <w:color w:val="ff0000"/>
        </w:rPr>
      </w:pPr>
      <w:r>
        <w:t xml:space="preserve">По итогам оценки налоговых расходов за 2023 год, проведенной в соответствии с Порядком оценки налоговых расходов Печенгского муниципального округа и формирования перечня налоговых расходов Печенгского муниципального округа, утвержденным постано</w:t>
      </w:r>
      <w:r>
        <w:t xml:space="preserve">влением администрации Печенгского муниципального округа от 06.08.2024 № 1238, льготы по налогу на имущество физических лиц на территории Печенгского муниципального округа были предоставлены 635 налогоплательщикам на общую сумму 153 тыс. рублей, общая сумма</w:t>
      </w:r>
      <w:r>
        <w:t xml:space="preserve"> предоставленных 43 налогоплательщикам налоговых льгот по земельному налогу составила 2 169 тыс. рублей.</w:t>
      </w:r>
      <w:r>
        <w:rPr>
          <w:color w:val="ff0000"/>
        </w:rPr>
        <w:t xml:space="preserve"> </w:t>
      </w:r>
      <w:r>
        <w:rPr>
          <w:color w:val="ff0000"/>
        </w:rPr>
      </w:r>
      <w:r>
        <w:rPr>
          <w:color w:val="ff0000"/>
        </w:rPr>
      </w:r>
    </w:p>
    <w:p>
      <w:pPr>
        <w:ind w:firstLine="709"/>
        <w:jc w:val="both"/>
        <w:tabs>
          <w:tab w:val="left" w:pos="993" w:leader="none"/>
        </w:tabs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</w:r>
      <w:r>
        <w:rPr>
          <w:bCs/>
          <w:iCs/>
          <w:sz w:val="20"/>
          <w:szCs w:val="20"/>
        </w:rPr>
      </w:r>
      <w:r>
        <w:rPr>
          <w:bCs/>
          <w:iCs/>
          <w:sz w:val="20"/>
          <w:szCs w:val="20"/>
        </w:rPr>
      </w:r>
    </w:p>
    <w:p>
      <w:pPr>
        <w:jc w:val="center"/>
        <w:tabs>
          <w:tab w:val="left" w:pos="426" w:leader="none"/>
        </w:tabs>
        <w:rPr>
          <w:b/>
          <w:bCs/>
          <w:iCs/>
        </w:rPr>
      </w:pPr>
      <w:r>
        <w:rPr>
          <w:b/>
          <w:bCs/>
          <w:iCs/>
        </w:rPr>
        <w:t xml:space="preserve">3.</w:t>
      </w:r>
      <w:r>
        <w:rPr>
          <w:b/>
          <w:bCs/>
          <w:iCs/>
        </w:rPr>
        <w:tab/>
        <w:t xml:space="preserve">Основные направления налоговой политики на 2025 год </w:t>
      </w:r>
      <w:r>
        <w:rPr>
          <w:b/>
          <w:bCs/>
          <w:iCs/>
        </w:rPr>
        <w:br/>
        <w:t xml:space="preserve">и на </w:t>
      </w:r>
      <w:r>
        <w:rPr>
          <w:b/>
        </w:rPr>
        <w:t xml:space="preserve">плановый период 2026 и 2027 годов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ind w:firstLine="709"/>
        <w:jc w:val="center"/>
        <w:shd w:val="clear" w:color="auto" w:fill="ffffff"/>
        <w:rPr>
          <w:bCs/>
          <w:iCs/>
          <w:caps/>
          <w:sz w:val="20"/>
          <w:szCs w:val="20"/>
        </w:rPr>
      </w:pPr>
      <w:r>
        <w:rPr>
          <w:bCs/>
          <w:iCs/>
          <w:caps/>
          <w:sz w:val="20"/>
          <w:szCs w:val="20"/>
        </w:rPr>
      </w:r>
      <w:r>
        <w:rPr>
          <w:bCs/>
          <w:iCs/>
          <w:caps/>
          <w:sz w:val="20"/>
          <w:szCs w:val="20"/>
        </w:rPr>
      </w:r>
      <w:r>
        <w:rPr>
          <w:bCs/>
          <w:iCs/>
          <w:caps/>
          <w:sz w:val="20"/>
          <w:szCs w:val="20"/>
        </w:rPr>
      </w:r>
    </w:p>
    <w:p>
      <w:pPr>
        <w:ind w:firstLine="709"/>
        <w:jc w:val="both"/>
        <w:shd w:val="clear" w:color="auto" w:fill="ffffff"/>
        <w:rPr>
          <w:bCs/>
          <w:iCs/>
        </w:rPr>
      </w:pPr>
      <w:r>
        <w:rPr>
          <w:bCs/>
          <w:iCs/>
        </w:rPr>
        <w:t xml:space="preserve">Основными направлениями налоговой политики муниципального образования Печенгский муниципальный округ на 2025 год и на плановый период 2026 и 2027 годов </w:t>
      </w:r>
      <w:r>
        <w:rPr>
          <w:bCs/>
          <w:iCs/>
        </w:rPr>
        <w:t xml:space="preserve">(далее – основные направления налоговой политики) в среднесрочной перспективе являются: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совершенствование налогового законодательства округа с учетом изменений в налоговое законодательство Российской Федерации  и Мурманской области;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обеспечение бюджетной, экономической и социальной эффективности налоговых расходов;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повышение эффективности управления муниципальным имуществом и земельными участками муниципального образования;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усиление мер по укреплению налоговой дисциплины налогоплательщиков;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оказание содействия среднему и малому бизнесу для развития предпринимательской деятельности.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В трехлетней перспективе будет продолжена работа по укреплению доходной базы бюджета округа за счет наращивания стабильных доходных источников и мобилизации в бюджет округа имеющихся резервов.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rPr>
          <w:bCs/>
          <w:iCs/>
        </w:rPr>
      </w:pPr>
      <w:r>
        <w:rPr>
          <w:bCs/>
          <w:iCs/>
        </w:rPr>
        <w:t xml:space="preserve">В основе налоговой политики в области доходов определяются следующие основные задачи: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совершенствование налогового администрирования, взаимодействия и совместной работы с администраторами доходов;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взаимодействие с налоговыми органами и иными территориальными п</w:t>
      </w:r>
      <w:r>
        <w:rPr>
          <w:bCs/>
          <w:iCs/>
        </w:rPr>
        <w:t xml:space="preserve">одразделениями органов государственной власти по повышению уровня собираемости налогов и сборов, сокращению недоимки, усилению налоговой дисциплины, по вопросам легализации заработной платы и доведению официальных доходов до величины прожиточного минимума;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повышение эффективности использования муниципальной собственности;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проведение работы среди населения с целью государственной регистрации недвижимости, регистрации земельных участков с целью увеличения налогооблагаемой базы для исчисления имущественных налогов.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Успешная реализация комплекса указанных мероприятий будет являться необходимым условием для повышения эффективности системы управления муниципальными финансами и минимизации </w:t>
      </w:r>
      <w:r>
        <w:rPr>
          <w:bCs/>
          <w:iCs/>
        </w:rPr>
        <w:t xml:space="preserve">рисков потери устойчивости бюджета округа</w:t>
      </w:r>
      <w:r>
        <w:rPr>
          <w:bCs/>
          <w:iCs/>
        </w:rPr>
        <w:t xml:space="preserve"> в долгосрочном периоде.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Основные направления налоговой политики формируются в условиях внесения изменений в налоговую систему, выстраиваемую на принципах предсказуемости, справедливости и стабильности, при которой должны быть учтены интересы граждан, бизнеса и государства.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При формировании налоговых и неналоговых доходов на 2025 год и на плановый период 2026 и 2027 годов учтены принятые, планируемые к принятию изменения в налоговое и бюджетное законодательство, а именно: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введение пятиступенчатой прогрессивной шкалы по налогу на доходы физических лиц в зависимости от размера и вида дохода;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увеличение размеров стандартных налоговых вычетов на второго ребенка с 1400 рублей до 2800 рублей и последующих детей с 3000 рублей до 6000 рублей;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увеличение стандартного налогового вычета с 6000 рублей до 12000 рублей на каждого ребенка-инвалида;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увеличение предельного размера доходов, до </w:t>
      </w:r>
      <w:r>
        <w:rPr>
          <w:bCs/>
          <w:iCs/>
        </w:rPr>
        <w:t xml:space="preserve">достижении</w:t>
      </w:r>
      <w:r>
        <w:rPr>
          <w:bCs/>
          <w:iCs/>
        </w:rPr>
        <w:t xml:space="preserve"> которого применяются стандартные налоговые вычеты, с 350 000 рублей до 450 000 рублей;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введение нового социального вычета в сумме 18000 р</w:t>
      </w:r>
      <w:r>
        <w:rPr>
          <w:bCs/>
          <w:iCs/>
        </w:rPr>
        <w:t xml:space="preserve">ублей для лиц, выполнивших нормативы испытаний (тестов) Всероссийского физкультурно-спортивного комплекса «Готов к труду и обороне», соответствующие их возрастной группе, и награжденных знаком отличия, а также на лиц, подтвердивших полученный знак отличия;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  <w:t xml:space="preserve">введение прогрессивной шкалы для продажи недвижимого имущества (13% - для доходов до 2,4 млн. рублей; 15% - свыше 2,4 млн. рублей);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-</w:t>
      </w:r>
      <w:r>
        <w:rPr>
          <w:bCs/>
          <w:iCs/>
        </w:rPr>
        <w:tab/>
      </w:r>
      <w:r>
        <w:rPr>
          <w:bCs/>
          <w:iCs/>
        </w:rPr>
        <w:t xml:space="preserve">для организаций и индивидуальных предпринимателей, применяющих упрощенную систему налогообложения: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1)</w:t>
      </w:r>
      <w:r>
        <w:rPr>
          <w:bCs/>
          <w:iCs/>
          <w:color w:val="ff0000"/>
        </w:rPr>
        <w:t xml:space="preserve"> </w:t>
      </w:r>
      <w:r>
        <w:rPr>
          <w:bCs/>
          <w:iCs/>
        </w:rPr>
        <w:t xml:space="preserve">увеличение предельного размера доходов налогоплательщиков, применяющих упрощенную систему налогообложения, с 200,0 млн. рублей до 450,0 млн. рублей, а также остаточной стоимости основных средств со 150,0 млн. рублей до 200,0 млн. рублей;</w:t>
      </w:r>
      <w:r>
        <w:rPr>
          <w:bCs/>
          <w:iCs/>
        </w:rPr>
      </w:r>
      <w:r>
        <w:rPr>
          <w:bCs/>
          <w:iCs/>
        </w:rPr>
      </w:r>
    </w:p>
    <w:p>
      <w:pPr>
        <w:pStyle w:val="897"/>
        <w:ind w:firstLine="709"/>
        <w:jc w:val="both"/>
        <w:spacing w:before="0" w:beforeAutospacing="0" w:after="0" w:afterAutospacing="0" w:line="288" w:lineRule="atLeast"/>
        <w:tabs>
          <w:tab w:val="left" w:pos="709" w:leader="none"/>
          <w:tab w:val="left" w:pos="851" w:leader="none"/>
          <w:tab w:val="left" w:pos="993" w:leader="none"/>
        </w:tabs>
        <w:rPr>
          <w:bCs/>
          <w:iCs/>
          <w:color w:val="ff0000"/>
        </w:rPr>
      </w:pPr>
      <w:r>
        <w:rPr>
          <w:bCs/>
          <w:iCs/>
        </w:rPr>
        <w:t xml:space="preserve">2)</w:t>
      </w:r>
      <w:r>
        <w:rPr>
          <w:bCs/>
          <w:iCs/>
          <w:color w:val="ff0000"/>
        </w:rPr>
        <w:tab/>
      </w:r>
      <w:r>
        <w:rPr>
          <w:bCs/>
          <w:iCs/>
        </w:rPr>
        <w:t xml:space="preserve">повышение со 112,5 млн. рублей до 337,5 млн. рублей величины предельного размера доходов организаций в целях перехода на упрощенную систему налогообложения по итогам девяти месяцев года,</w:t>
      </w:r>
      <w:r>
        <w:rPr>
          <w:bCs/>
          <w:iCs/>
          <w:color w:val="ff0000"/>
        </w:rPr>
        <w:t xml:space="preserve"> </w:t>
      </w:r>
      <w:r>
        <w:t xml:space="preserve">в котором подается </w:t>
      </w:r>
      <w:r>
        <w:rPr>
          <w:rFonts w:eastAsia="Arial"/>
        </w:rPr>
        <w:t xml:space="preserve">уведомление</w:t>
      </w:r>
      <w:r>
        <w:t xml:space="preserve"> о переходе на упр</w:t>
      </w:r>
      <w:r>
        <w:t xml:space="preserve">ощенную систему налогообложения</w:t>
      </w:r>
      <w:r>
        <w:rPr>
          <w:bCs/>
          <w:iCs/>
        </w:rPr>
        <w:t xml:space="preserve">;</w:t>
      </w:r>
      <w:r>
        <w:rPr>
          <w:bCs/>
          <w:iCs/>
          <w:color w:val="ff0000"/>
        </w:rPr>
      </w:r>
      <w:r>
        <w:rPr>
          <w:bCs/>
          <w:iCs/>
          <w:color w:val="ff0000"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  <w:color w:val="ff0000"/>
        </w:rPr>
      </w:pPr>
      <w:r>
        <w:rPr>
          <w:bCs/>
          <w:iCs/>
        </w:rPr>
        <w:t xml:space="preserve">3)</w:t>
      </w:r>
      <w:r>
        <w:rPr>
          <w:bCs/>
          <w:iCs/>
          <w:color w:val="ff0000"/>
        </w:rPr>
        <w:tab/>
      </w:r>
      <w:r>
        <w:rPr>
          <w:bCs/>
          <w:iCs/>
        </w:rPr>
        <w:t xml:space="preserve">ежегодная индексация величины предельного размера доходов и остаточной стоимости основных средств на коэффициент-дефлятор;</w:t>
      </w:r>
      <w:r>
        <w:rPr>
          <w:bCs/>
          <w:iCs/>
          <w:color w:val="ff0000"/>
        </w:rPr>
      </w:r>
      <w:r>
        <w:rPr>
          <w:bCs/>
          <w:iCs/>
          <w:color w:val="ff0000"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  <w:color w:val="ff0000"/>
        </w:rPr>
      </w:pPr>
      <w:r>
        <w:rPr>
          <w:bCs/>
          <w:iCs/>
        </w:rPr>
        <w:t xml:space="preserve">4)</w:t>
      </w:r>
      <w:r>
        <w:rPr>
          <w:bCs/>
          <w:iCs/>
          <w:color w:val="ff0000"/>
        </w:rPr>
        <w:tab/>
      </w:r>
      <w:r>
        <w:rPr>
          <w:bCs/>
          <w:iCs/>
        </w:rPr>
        <w:t xml:space="preserve">увеличение средней численности работников с 100 человек до 130 человек в целях возможности применения упрощенной системы налогообложения</w:t>
      </w:r>
      <w:r>
        <w:rPr>
          <w:bCs/>
          <w:iCs/>
          <w:color w:val="ff0000"/>
        </w:rPr>
        <w:t xml:space="preserve">;</w:t>
      </w:r>
      <w:r>
        <w:rPr>
          <w:bCs/>
          <w:iCs/>
          <w:color w:val="ff0000"/>
        </w:rPr>
      </w:r>
      <w:r>
        <w:rPr>
          <w:bCs/>
          <w:iCs/>
          <w:color w:val="ff0000"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bCs/>
          <w:iCs/>
        </w:rPr>
        <w:t xml:space="preserve">-</w:t>
      </w:r>
      <w:r>
        <w:rPr>
          <w:bCs/>
          <w:iCs/>
        </w:rPr>
        <w:tab/>
      </w:r>
      <w:r>
        <w:rPr>
          <w:color w:val="000000"/>
          <w:shd w:val="clear" w:color="auto" w:fill="ffffff"/>
        </w:rPr>
        <w:t xml:space="preserve">продление до 01.01.2027</w:t>
      </w:r>
      <w:r>
        <w:rPr>
          <w:color w:val="000000"/>
          <w:shd w:val="clear" w:color="auto" w:fill="ffffff"/>
        </w:rPr>
        <w:t xml:space="preserve"> года</w:t>
      </w:r>
      <w:r>
        <w:rPr>
          <w:color w:val="000000"/>
          <w:shd w:val="clear" w:color="auto" w:fill="ffffff"/>
        </w:rPr>
        <w:t xml:space="preserve"> права для регионов вводить на своей территории налоговые каникулы для вновь зарегистрированных индивидуальных предпринимателей, применяющих патентную систему налогообложения;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</w:t>
      </w:r>
      <w:r>
        <w:rPr>
          <w:color w:val="000000"/>
          <w:shd w:val="clear" w:color="auto" w:fill="ffffff"/>
        </w:rPr>
        <w:tab/>
        <w:t xml:space="preserve">введение с 1 января 2025 года туристического налога,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налоговые ставки по которому</w:t>
      </w:r>
      <w:r>
        <w:rPr>
          <w:color w:val="000000"/>
          <w:shd w:val="clear" w:color="auto" w:fill="ffffff"/>
        </w:rPr>
        <w:t xml:space="preserve"> муниципальный округ будет</w:t>
      </w:r>
      <w:r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устанавливать самостоятельно;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</w:t>
      </w:r>
      <w:r>
        <w:rPr>
          <w:color w:val="000000"/>
          <w:shd w:val="clear" w:color="auto" w:fill="ffffff"/>
        </w:rPr>
        <w:tab/>
        <w:t xml:space="preserve">сохранение ранее установленных налоговых расходов (налоговые льготы и налоговые вычеты) для физических </w:t>
      </w:r>
      <w:r>
        <w:rPr>
          <w:color w:val="000000"/>
          <w:shd w:val="clear" w:color="auto" w:fill="ffffff"/>
        </w:rPr>
        <w:t xml:space="preserve">и юридических лиц</w:t>
      </w:r>
      <w:r>
        <w:rPr>
          <w:color w:val="000000"/>
          <w:shd w:val="clear" w:color="auto" w:fill="ffffff"/>
        </w:rPr>
        <w:t xml:space="preserve"> по налогу на имущество физических лиц и земельно</w:t>
      </w:r>
      <w:r>
        <w:rPr>
          <w:color w:val="000000"/>
          <w:shd w:val="clear" w:color="auto" w:fill="ffffff"/>
        </w:rPr>
        <w:t xml:space="preserve">му</w:t>
      </w:r>
      <w:r>
        <w:rPr>
          <w:color w:val="000000"/>
          <w:shd w:val="clear" w:color="auto" w:fill="ffffff"/>
        </w:rPr>
        <w:t xml:space="preserve"> налог</w:t>
      </w:r>
      <w:r>
        <w:rPr>
          <w:color w:val="000000"/>
          <w:shd w:val="clear" w:color="auto" w:fill="ffffff"/>
        </w:rPr>
        <w:t xml:space="preserve">у</w:t>
      </w:r>
      <w:r>
        <w:rPr>
          <w:color w:val="000000"/>
          <w:shd w:val="clear" w:color="auto" w:fill="ffffff"/>
        </w:rPr>
        <w:t xml:space="preserve">.</w:t>
      </w:r>
      <w:r>
        <w:rPr>
          <w:color w:val="000000"/>
          <w:shd w:val="clear" w:color="auto" w:fill="ffffff"/>
        </w:rPr>
      </w:r>
      <w:r>
        <w:rPr>
          <w:color w:val="000000"/>
          <w:shd w:val="clear" w:color="auto" w:fill="ffffff"/>
        </w:rPr>
      </w:r>
    </w:p>
    <w:p>
      <w:pPr>
        <w:ind w:firstLine="709"/>
        <w:jc w:val="both"/>
        <w:shd w:val="clear" w:color="auto" w:fill="ffffff"/>
        <w:tabs>
          <w:tab w:val="left" w:pos="993" w:leader="none"/>
        </w:tabs>
        <w:rPr>
          <w:bCs/>
          <w:iCs/>
        </w:rPr>
      </w:pPr>
      <w:r>
        <w:rPr>
          <w:bCs/>
          <w:iCs/>
        </w:rPr>
        <w:t xml:space="preserve">Основные направления налоговой политики являются</w:t>
      </w:r>
      <w:r>
        <w:rPr>
          <w:bCs/>
          <w:iCs/>
        </w:rPr>
        <w:t xml:space="preserve"> основополагающим документом при бюджетном планировании и служат ориентиром для </w:t>
      </w:r>
      <w:r>
        <w:rPr>
          <w:bCs/>
          <w:iCs/>
        </w:rPr>
        <w:t xml:space="preserve">бизнес-сообществ</w:t>
      </w:r>
      <w:r>
        <w:rPr>
          <w:bCs/>
          <w:iCs/>
        </w:rPr>
        <w:t xml:space="preserve"> в налоговых условиях ведения предпринимательской деятельности на территории Печенгского муниципального округа.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shd w:val="clear" w:color="auto" w:fill="ffffff"/>
        <w:tabs>
          <w:tab w:val="left" w:pos="1276" w:leader="none"/>
        </w:tabs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</w:r>
      <w:r>
        <w:rPr>
          <w:sz w:val="20"/>
          <w:szCs w:val="20"/>
          <w:highlight w:val="yellow"/>
        </w:rPr>
      </w:r>
      <w:r>
        <w:rPr>
          <w:sz w:val="20"/>
          <w:szCs w:val="20"/>
          <w:highlight w:val="yellow"/>
        </w:rPr>
      </w:r>
    </w:p>
    <w:p>
      <w:pPr>
        <w:jc w:val="center"/>
        <w:shd w:val="clear" w:color="auto" w:fill="ffffff"/>
        <w:tabs>
          <w:tab w:val="left" w:pos="426" w:leader="none"/>
        </w:tabs>
        <w:rPr>
          <w:b/>
        </w:rPr>
      </w:pPr>
      <w:r>
        <w:rPr>
          <w:b/>
        </w:rPr>
        <w:t xml:space="preserve">4.</w:t>
      </w:r>
      <w:r>
        <w:rPr>
          <w:b/>
        </w:rPr>
        <w:tab/>
        <w:t xml:space="preserve">Основные направления бюджетной политики на 2025 год </w:t>
      </w:r>
      <w:r>
        <w:rPr>
          <w:b/>
        </w:rPr>
        <w:br/>
        <w:t xml:space="preserve">и на плановый период 2026 и 2027 годов</w:t>
      </w:r>
      <w:r>
        <w:rPr>
          <w:b/>
        </w:rPr>
      </w:r>
      <w:r>
        <w:rPr>
          <w:b/>
        </w:rPr>
      </w:r>
    </w:p>
    <w:p>
      <w:pPr>
        <w:ind w:firstLine="709"/>
        <w:jc w:val="center"/>
        <w:shd w:val="clear" w:color="auto" w:fill="ffffff"/>
        <w:rPr>
          <w:bCs/>
          <w:iCs/>
          <w:caps/>
          <w:sz w:val="20"/>
          <w:szCs w:val="20"/>
          <w:highlight w:val="yellow"/>
        </w:rPr>
      </w:pPr>
      <w:r>
        <w:rPr>
          <w:bCs/>
          <w:iCs/>
          <w:caps/>
          <w:sz w:val="20"/>
          <w:szCs w:val="20"/>
          <w:highlight w:val="yellow"/>
        </w:rPr>
      </w:r>
      <w:r>
        <w:rPr>
          <w:bCs/>
          <w:iCs/>
          <w:caps/>
          <w:sz w:val="20"/>
          <w:szCs w:val="20"/>
          <w:highlight w:val="yellow"/>
        </w:rPr>
      </w:r>
      <w:r>
        <w:rPr>
          <w:bCs/>
          <w:iCs/>
          <w:caps/>
          <w:sz w:val="20"/>
          <w:szCs w:val="20"/>
          <w:highlight w:val="yellow"/>
        </w:rPr>
      </w:r>
    </w:p>
    <w:p>
      <w:pPr>
        <w:ind w:left="-15" w:firstLine="709"/>
        <w:jc w:val="both"/>
        <w:rPr>
          <w:color w:val="000000"/>
        </w:rPr>
      </w:pPr>
      <w:r>
        <w:rPr>
          <w:color w:val="000000"/>
        </w:rPr>
        <w:t xml:space="preserve">Основные направления бюджетной политики Печенгского муниципального округа на 2025 год и на пла</w:t>
      </w:r>
      <w:r>
        <w:rPr>
          <w:color w:val="000000"/>
        </w:rPr>
        <w:t xml:space="preserve">новый период 2026 и 2027 годов (далее – основные направления бюджетной политики) сохраняют преемственность в отношении ранее определенных приоритетов и скорректированы с учетом текущей экономической ситуации и необходимости реализации первоочередных задач.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rPr>
          <w:color w:val="000000"/>
        </w:rPr>
      </w:pPr>
      <w:r>
        <w:rPr>
          <w:color w:val="000000"/>
        </w:rPr>
        <w:t xml:space="preserve">В связи с этим меры бюджетной политики должны быть направлены на поддержание устойчивости и сбалансированности бюджетной системы с обеспечением возможности оперативного реагирования на изменения экономической ситуации.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rPr>
          <w:color w:val="000000"/>
        </w:rPr>
      </w:pPr>
      <w:r>
        <w:rPr>
          <w:color w:val="000000"/>
        </w:rPr>
        <w:t xml:space="preserve">Основным приоритетом бюджетной политики является достижение национальных целей развития Российской Федерации на период до 2030 года, социально-экономического развития Печенгского муниципального округа.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rPr>
          <w:color w:val="000000"/>
        </w:rPr>
      </w:pPr>
      <w:r>
        <w:rPr>
          <w:color w:val="000000"/>
        </w:rPr>
        <w:t xml:space="preserve">В целях обеспечения основных направлений бюджетной политики необходимо продолжить работу, направленную на решение следующих задач: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проведение отве</w:t>
      </w:r>
      <w:r>
        <w:rPr>
          <w:color w:val="000000"/>
        </w:rPr>
        <w:t xml:space="preserve">тственной бюджетной политики, направленной на максимально эффективное использование имеющихся финансовых ресурсов, расстановку приоритетов в расходовании бюджетных средств на реализацию современных целей и задач, оптимизацию и повышение бюджетных расходов;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безусловное исполнение действующих расходных обязательств и ответственный подход к принятию новых расходных обязательств;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повышение стратегической и операционной эффективности бюджетных расходов путем совершенствования нормативных правовых актов и методической базы в сфере разработки и реализации муниципальных программ Печенгского муниципального округа;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обеспечение открытости бюджетного процесса и вовлечения в него граждан Печенгского муниципального округа, в том числе путем развития инициативных проектов и инициативного бюджетирования на территории округа.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Реализация поставленных задач позволит достичь конечной цели бюджетной политики Печенгского муниципального округа, состоящей в улучшен</w:t>
      </w:r>
      <w:r>
        <w:rPr>
          <w:color w:val="000000"/>
        </w:rPr>
        <w:t xml:space="preserve">ии условий и качества жизни населения Печенгского муниципального округа, создания комфортных условий для их проживания. Эта цель была приоритетной в бюджете Печенгского муниципального округа в предыдущие годы и остается приоритетной на период до 2027 года.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Для повышения эффективности и результативности использования бюджетных средств округа необходимо осуществление следующих мероприятий: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обязатель</w:t>
      </w:r>
      <w:r>
        <w:rPr>
          <w:color w:val="000000"/>
        </w:rPr>
        <w:t xml:space="preserve">ное отражение в муниципальных программах показателей стратегических документов федерального и регионального уровней и их целевых значений, что должно обеспечить полное соответствие муниципальных программ приоритетам государственной и региональной политики;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проведение комплексной оценки эффективности муниципальных программ, включающей оценку эффективности их реализации в разрезе подпрограмм, оценку финансового обеспечения и качества планирования каждой муниципальной программы;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своевременное составление на основе утвержденного бюджета округа сводной бюджетной росписи в соответствии с бюджетной классификацией Российской Федерации;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контроль за принятием получателями бюджетных средств денежных расходных обязательств, в пределах</w:t>
      </w:r>
      <w:bookmarkStart w:id="1" w:name="_GoBack"/>
      <w:r/>
      <w:bookmarkEnd w:id="1"/>
      <w:r>
        <w:rPr>
          <w:color w:val="000000"/>
        </w:rPr>
        <w:t xml:space="preserve"> доведенных до них лимитов бюджетных обязательств и смет расходов и доходов;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проверка целевого использования бюджетных средств;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соблюдение лимитов потребления коммунальных ресурсов;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анализ состояния дебиторской и кредиторской задолженности;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установление новых расходных обязательств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ограничений;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сохранение подходов к формированию расходов на оплату труда с учетом требований действующего законодательства.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В рамках подготовки и рассмотрения проекта бюджета округа необходимо четко определить приоритеты, предусмотреть объемы их финансирования в соответствии с реальными возможностями бюджета округа, а именно исходя из соблюдения следующих положений: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-</w:t>
      </w:r>
      <w:r>
        <w:rPr>
          <w:color w:val="000000"/>
        </w:rPr>
        <w:tab/>
        <w:t xml:space="preserve">формирование объема дефицита бюджета округа, объема му</w:t>
      </w:r>
      <w:r>
        <w:rPr>
          <w:color w:val="000000"/>
        </w:rPr>
        <w:t xml:space="preserve">ниципального долга Печенгского муниципального округа, объема планируемых кредитов от кредитных организаций с учетом соглашений с Министерством финансов Мурманской области, а также с учетом ограничений, установленных Бюджетным кодексом Российской Федерации;</w:t>
      </w:r>
      <w:r>
        <w:rPr>
          <w:color w:val="000000"/>
        </w:rPr>
      </w:r>
      <w:r>
        <w:rPr>
          <w:color w:val="000000"/>
        </w:rPr>
      </w:r>
    </w:p>
    <w:p>
      <w:pPr>
        <w:ind w:left="-15" w:firstLine="709"/>
        <w:jc w:val="both"/>
        <w:tabs>
          <w:tab w:val="left" w:pos="993" w:leader="none"/>
        </w:tabs>
      </w:pPr>
      <w:r>
        <w:rPr>
          <w:rFonts w:eastAsiaTheme="minorEastAsia"/>
        </w:rPr>
        <w:t xml:space="preserve">-</w:t>
      </w:r>
      <w:r>
        <w:rPr>
          <w:rFonts w:eastAsiaTheme="minorEastAsia"/>
        </w:rPr>
        <w:tab/>
        <w:t xml:space="preserve">поддержание достигнутых уровней заработной платы отдельных категорий работников, установленных Указом </w:t>
      </w:r>
      <w:r>
        <w:t xml:space="preserve">Президента Российской Федерации от 07.05.2012 </w:t>
      </w:r>
      <w:r>
        <w:br/>
        <w:t xml:space="preserve">№ 597;</w:t>
      </w:r>
      <w:r/>
    </w:p>
    <w:p>
      <w:pPr>
        <w:ind w:left="-15" w:firstLine="709"/>
        <w:jc w:val="both"/>
        <w:tabs>
          <w:tab w:val="left" w:pos="993" w:leader="none"/>
        </w:tabs>
      </w:pPr>
      <w:r>
        <w:t xml:space="preserve">-</w:t>
      </w:r>
      <w:r>
        <w:tab/>
        <w:t xml:space="preserve">обеспечение расходов на повышение </w:t>
      </w:r>
      <w:r>
        <w:t xml:space="preserve">оплаты труда отдельных категорий работников бюджетной сферы</w:t>
      </w:r>
      <w:r>
        <w:t xml:space="preserve"> в связи с увеличением минимального размера оплаты труда с 1 января 2025 года;</w:t>
      </w:r>
      <w:r/>
    </w:p>
    <w:p>
      <w:pPr>
        <w:ind w:left="-15" w:firstLine="709"/>
        <w:jc w:val="both"/>
        <w:tabs>
          <w:tab w:val="left" w:pos="993" w:leader="none"/>
        </w:tabs>
      </w:pPr>
      <w:r>
        <w:t xml:space="preserve">-</w:t>
      </w:r>
      <w:r>
        <w:tab/>
        <w:t xml:space="preserve">ежегодная индексация текущих расходов на оплату коммунальных услуг в соответствии с прогнозными среднегодовыми показателями инфляции на услуги жилищно-коммунального хозяйства;</w:t>
      </w:r>
      <w:r/>
    </w:p>
    <w:p>
      <w:pPr>
        <w:ind w:left="-15" w:firstLine="709"/>
        <w:jc w:val="both"/>
        <w:tabs>
          <w:tab w:val="left" w:pos="993" w:leader="none"/>
        </w:tabs>
      </w:pPr>
      <w:r>
        <w:t xml:space="preserve">-</w:t>
      </w:r>
      <w:r>
        <w:tab/>
        <w:t xml:space="preserve">увеличение бюджетных ассигнований на индексацию расходов по проведению оздоровительной кампании детей исходя из прогнозного уровня инфляции;</w:t>
      </w:r>
      <w:r/>
    </w:p>
    <w:p>
      <w:pPr>
        <w:ind w:left="-15" w:firstLine="709"/>
        <w:jc w:val="both"/>
        <w:tabs>
          <w:tab w:val="left" w:pos="993" w:leader="none"/>
        </w:tabs>
      </w:pPr>
      <w:r>
        <w:rPr>
          <w:sz w:val="28"/>
          <w:szCs w:val="28"/>
        </w:rPr>
        <w:t xml:space="preserve">-</w:t>
      </w:r>
      <w:r>
        <w:tab/>
        <w:t xml:space="preserve">увеличение бюджетных ассигнований на обеспечение бесплатным питанием в учреждениях образования </w:t>
      </w:r>
      <w:r>
        <w:t xml:space="preserve">исходя из прогнозного уровня инфляции, за исключением расходов на предоставление бесплатного питания отдельным категориям обучающихся, расчет которых осуществляется</w:t>
      </w:r>
      <w:r>
        <w:t xml:space="preserve"> в соответствии с отдельными нормативными правовыми актами Мурманской области.</w:t>
      </w:r>
      <w:r/>
    </w:p>
    <w:p>
      <w:pPr>
        <w:ind w:left="-15" w:firstLine="709"/>
        <w:jc w:val="both"/>
        <w:tabs>
          <w:tab w:val="left" w:pos="993" w:leader="none"/>
        </w:tabs>
        <w:rPr>
          <w:color w:val="000000"/>
        </w:rPr>
      </w:pPr>
      <w:r>
        <w:rPr>
          <w:color w:val="000000"/>
        </w:rPr>
        <w:t xml:space="preserve">Формирование объемов и структуры расходов бюджета округа проводится с учетом использования внутренних ресурсов, полученных в результате мер по оптимизации расходов и привлечения средств из внебюджетных источников, а также с учетом </w:t>
      </w:r>
      <w:r>
        <w:rPr>
          <w:color w:val="000000"/>
        </w:rPr>
        <w:t xml:space="preserve">мер,</w:t>
      </w:r>
      <w:r>
        <w:rPr>
          <w:color w:val="000000"/>
        </w:rPr>
        <w:t xml:space="preserve"> предусмотренных Планом консолидации бюджетных средств.</w:t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tabs>
          <w:tab w:val="left" w:pos="426" w:leader="none"/>
        </w:tabs>
        <w:rPr>
          <w:b/>
          <w:sz w:val="20"/>
          <w:szCs w:val="20"/>
          <w:highlight w:val="yellow"/>
        </w:rPr>
      </w:pPr>
      <w:r>
        <w:rPr>
          <w:b/>
          <w:sz w:val="20"/>
          <w:szCs w:val="20"/>
          <w:highlight w:val="yellow"/>
        </w:rPr>
      </w:r>
      <w:r>
        <w:rPr>
          <w:b/>
          <w:sz w:val="20"/>
          <w:szCs w:val="20"/>
          <w:highlight w:val="yellow"/>
        </w:rPr>
      </w:r>
      <w:r>
        <w:rPr>
          <w:b/>
          <w:sz w:val="20"/>
          <w:szCs w:val="20"/>
          <w:highlight w:val="yellow"/>
        </w:rPr>
      </w:r>
    </w:p>
    <w:p>
      <w:pPr>
        <w:jc w:val="center"/>
        <w:tabs>
          <w:tab w:val="left" w:pos="426" w:leader="none"/>
        </w:tabs>
        <w:rPr>
          <w:b/>
        </w:rPr>
      </w:pPr>
      <w:r>
        <w:rPr>
          <w:b/>
        </w:rPr>
        <w:t xml:space="preserve">5.</w:t>
      </w:r>
      <w:r>
        <w:rPr>
          <w:b/>
        </w:rPr>
        <w:tab/>
        <w:t xml:space="preserve">Основные направления в сфере управления муниципальным долгом </w:t>
      </w:r>
      <w:r>
        <w:rPr>
          <w:b/>
        </w:rPr>
        <w:br/>
        <w:t xml:space="preserve">на 2025 год и плановый период 2026 и 2027 годов</w:t>
      </w:r>
      <w:r>
        <w:rPr>
          <w:b/>
        </w:rPr>
      </w:r>
      <w:r>
        <w:rPr>
          <w:b/>
        </w:rPr>
      </w:r>
    </w:p>
    <w:p>
      <w:pPr>
        <w:ind w:firstLine="724"/>
        <w:jc w:val="both"/>
        <w:tabs>
          <w:tab w:val="left" w:pos="1134" w:leader="none"/>
        </w:tabs>
        <w:rPr>
          <w:sz w:val="20"/>
          <w:szCs w:val="20"/>
          <w:highlight w:val="yellow"/>
        </w:rPr>
      </w:pPr>
      <w:r>
        <w:rPr>
          <w:sz w:val="20"/>
          <w:szCs w:val="20"/>
          <w:highlight w:val="yellow"/>
        </w:rPr>
      </w:r>
      <w:r>
        <w:rPr>
          <w:sz w:val="20"/>
          <w:szCs w:val="20"/>
          <w:highlight w:val="yellow"/>
        </w:rPr>
      </w:r>
      <w:r>
        <w:rPr>
          <w:sz w:val="20"/>
          <w:szCs w:val="20"/>
          <w:highlight w:val="yellow"/>
        </w:rPr>
      </w:r>
    </w:p>
    <w:p>
      <w:pPr>
        <w:ind w:firstLine="724"/>
        <w:jc w:val="both"/>
        <w:tabs>
          <w:tab w:val="left" w:pos="1134" w:leader="none"/>
        </w:tabs>
      </w:pPr>
      <w:r>
        <w:t xml:space="preserve">Долговая политика Печенгского муниципального округа на 2025 год и на плановый период 2026 и 2027 годов (далее – долговая политика), как и в предыдущие периоды, будет направлена на обеспечение сбалансированности и долговой устойчивости бюджета округа.</w:t>
      </w:r>
      <w:r/>
    </w:p>
    <w:p>
      <w:pPr>
        <w:ind w:firstLine="724"/>
        <w:jc w:val="both"/>
        <w:tabs>
          <w:tab w:val="left" w:pos="1134" w:leader="none"/>
        </w:tabs>
      </w:pPr>
      <w:r>
        <w:t xml:space="preserve">Целью долговой политики будет являться поддержание объема и структуры муниципального долга на экономически безопасном уровне.</w:t>
      </w:r>
      <w:r/>
    </w:p>
    <w:p>
      <w:pPr>
        <w:ind w:firstLine="724"/>
        <w:jc w:val="both"/>
        <w:tabs>
          <w:tab w:val="left" w:pos="1134" w:leader="none"/>
        </w:tabs>
      </w:pPr>
      <w:r>
        <w:t xml:space="preserve">Задачами долговой политики будут являться:</w:t>
      </w:r>
      <w:r/>
    </w:p>
    <w:p>
      <w:pPr>
        <w:ind w:firstLine="724"/>
        <w:jc w:val="both"/>
        <w:tabs>
          <w:tab w:val="left" w:pos="993" w:leader="none"/>
        </w:tabs>
      </w:pPr>
      <w:r>
        <w:t xml:space="preserve">-</w:t>
      </w:r>
      <w:r>
        <w:tab/>
        <w:t xml:space="preserve">поддержание объема  муниципального долга на оптимальном уровне;</w:t>
      </w:r>
      <w:r/>
    </w:p>
    <w:p>
      <w:pPr>
        <w:ind w:firstLine="724"/>
        <w:jc w:val="both"/>
        <w:tabs>
          <w:tab w:val="left" w:pos="993" w:leader="none"/>
        </w:tabs>
      </w:pPr>
      <w:r>
        <w:t xml:space="preserve">-</w:t>
      </w:r>
      <w:r>
        <w:tab/>
        <w:t xml:space="preserve">обеспечение информационной открытости проводимой долговой политики и доступности </w:t>
      </w:r>
      <w:r>
        <w:t xml:space="preserve">информации о муниципальном долге Печенгского муниципального округа;</w:t>
      </w:r>
      <w:r/>
    </w:p>
    <w:p>
      <w:pPr>
        <w:ind w:firstLine="724"/>
        <w:jc w:val="both"/>
        <w:tabs>
          <w:tab w:val="left" w:pos="993" w:leader="none"/>
        </w:tabs>
      </w:pPr>
      <w:r>
        <w:t xml:space="preserve">-</w:t>
      </w:r>
      <w:r>
        <w:tab/>
        <w:t xml:space="preserve">обеспечение взаимосвязи принятия решения о заимствованиях с реальными потребностями бюджета округа в привлечении заемных средств.</w:t>
      </w:r>
      <w:r/>
    </w:p>
    <w:p>
      <w:pPr>
        <w:ind w:firstLine="724"/>
        <w:jc w:val="both"/>
        <w:tabs>
          <w:tab w:val="left" w:pos="993" w:leader="none"/>
        </w:tabs>
      </w:pPr>
      <w:r>
        <w:rPr>
          <w:rFonts w:eastAsiaTheme="minorEastAsia"/>
        </w:rPr>
        <w:t xml:space="preserve">В качестве </w:t>
      </w:r>
      <w:r>
        <w:rPr>
          <w:rFonts w:eastAsiaTheme="minorEastAsia"/>
        </w:rPr>
        <w:t xml:space="preserve">и</w:t>
      </w:r>
      <w:r>
        <w:rPr>
          <w:rFonts w:eastAsiaTheme="minorEastAsia"/>
        </w:rPr>
        <w:t xml:space="preserve">сточник</w:t>
      </w:r>
      <w:r>
        <w:rPr>
          <w:rFonts w:eastAsiaTheme="minorEastAsia"/>
        </w:rPr>
        <w:t xml:space="preserve">ов</w:t>
      </w:r>
      <w:r>
        <w:rPr>
          <w:rFonts w:eastAsiaTheme="minorEastAsia"/>
        </w:rPr>
        <w:t xml:space="preserve"> финансирования дефицита бюджета округа</w:t>
      </w:r>
      <w:r>
        <w:rPr>
          <w:rFonts w:eastAsiaTheme="minorEastAsia"/>
        </w:rPr>
        <w:t xml:space="preserve"> на 2025 год и на плановый период 2026 и 2027 годов,  во  избежание возникновения кассовых разрывов, будут привлекаться остатки временно свободных средств на счетах муниципальных бюджетных и автономных учреждений</w:t>
      </w:r>
      <w:r>
        <w:rPr>
          <w:rFonts w:eastAsiaTheme="minorEastAsia"/>
        </w:rPr>
        <w:t xml:space="preserve">.</w:t>
      </w:r>
      <w:r/>
    </w:p>
    <w:p>
      <w:pPr>
        <w:ind w:firstLine="724"/>
        <w:jc w:val="both"/>
        <w:tabs>
          <w:tab w:val="left" w:pos="1134" w:leader="none"/>
        </w:tabs>
      </w:pPr>
      <w:r>
        <w:t xml:space="preserve">Важное место в достижении целей долговой политики занимает оценка потенциальных рисков, возникающих в процессе её реализации. Основными рисками при управлении муниципальным долгом являются:</w:t>
      </w:r>
      <w:r/>
    </w:p>
    <w:p>
      <w:pPr>
        <w:ind w:firstLine="724"/>
        <w:jc w:val="both"/>
        <w:tabs>
          <w:tab w:val="left" w:pos="993" w:leader="none"/>
        </w:tabs>
      </w:pPr>
      <w:r>
        <w:t xml:space="preserve">-</w:t>
      </w:r>
      <w:r>
        <w:tab/>
        <w:t xml:space="preserve">риск </w:t>
      </w:r>
      <w:r>
        <w:t xml:space="preserve">недостижения</w:t>
      </w:r>
      <w:r>
        <w:t xml:space="preserve"> планируемых объемов поступлений доходов бюджета округа, поскольку это потребует поиск альтернативных источников для исполнения расходных обязательств бюджета округа и обеспечение его сбалансированности;</w:t>
      </w:r>
      <w:r/>
    </w:p>
    <w:p>
      <w:pPr>
        <w:ind w:firstLine="724"/>
        <w:jc w:val="both"/>
        <w:tabs>
          <w:tab w:val="left" w:pos="993" w:leader="none"/>
        </w:tabs>
      </w:pPr>
      <w:r>
        <w:t xml:space="preserve">-</w:t>
      </w:r>
      <w:r>
        <w:tab/>
        <w:t xml:space="preserve">процентный риск - вероятность </w:t>
      </w:r>
      <w:r>
        <w:t xml:space="preserve">увеличения суммы расходов бюджета округа</w:t>
      </w:r>
      <w:r>
        <w:t xml:space="preserve"> на обслуживание муниципального долга вследствие привлечения коммерческих кредитов для выполнения расходных обязательств;</w:t>
      </w:r>
      <w:r/>
    </w:p>
    <w:p>
      <w:pPr>
        <w:ind w:firstLine="724"/>
        <w:jc w:val="both"/>
        <w:tabs>
          <w:tab w:val="left" w:pos="993" w:leader="none"/>
        </w:tabs>
      </w:pPr>
      <w:r>
        <w:t xml:space="preserve">-</w:t>
      </w:r>
      <w:r>
        <w:tab/>
        <w:t xml:space="preserve">риск ликвидности - отсутствие в бюджете округа сре</w:t>
      </w:r>
      <w:r>
        <w:t xml:space="preserve">дств дл</w:t>
      </w:r>
      <w:r>
        <w:t xml:space="preserve">я полного исполнения расходных обязательств муниципального образования.</w:t>
      </w:r>
      <w:r/>
    </w:p>
    <w:p>
      <w:pPr>
        <w:ind w:firstLine="724"/>
        <w:jc w:val="both"/>
        <w:tabs>
          <w:tab w:val="left" w:pos="993" w:leader="none"/>
        </w:tabs>
      </w:pPr>
      <w:r>
        <w:t xml:space="preserve">Основной ме</w:t>
      </w:r>
      <w:r>
        <w:t xml:space="preserve">рой, принимаемой в отношении управления рисками, связанными с реализацией долговой политики, является осуществление достоверного прогнозирования доходов бюджета округа и поступлений по источникам финансирования дефицита бюджета округа, а также принятие взв</w:t>
      </w:r>
      <w:r>
        <w:t xml:space="preserve">ешенных и экономически обоснованных решений по принятию долговых обязательств муниципального округа. Планируется в 2025 году и плановом периоде 2026 и 2027 годах сохранить достигнутый высокий уровень долговой устойчивости Печенгского муниципального округа.</w:t>
      </w:r>
      <w:r/>
    </w:p>
    <w:p>
      <w:pPr>
        <w:ind w:firstLine="724"/>
        <w:jc w:val="both"/>
        <w:tabs>
          <w:tab w:val="left" w:pos="1134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tabs>
          <w:tab w:val="left" w:pos="426" w:leader="none"/>
        </w:tabs>
        <w:rPr>
          <w:b/>
          <w:caps/>
        </w:rPr>
      </w:pPr>
      <w:r>
        <w:rPr>
          <w:b/>
        </w:rPr>
        <w:t xml:space="preserve">6.</w:t>
      </w:r>
      <w:r>
        <w:rPr>
          <w:b/>
        </w:rPr>
        <w:tab/>
        <w:t xml:space="preserve">Заключительные положения</w:t>
      </w:r>
      <w:r>
        <w:rPr>
          <w:b/>
          <w:caps/>
        </w:rPr>
      </w:r>
      <w:r>
        <w:rPr>
          <w:b/>
          <w:caps/>
        </w:rPr>
      </w:r>
    </w:p>
    <w:p>
      <w:pPr>
        <w:ind w:firstLine="724"/>
        <w:jc w:val="center"/>
        <w:shd w:val="clear" w:color="auto" w:fill="ffffff"/>
        <w:rPr>
          <w:b/>
          <w:caps/>
          <w:sz w:val="20"/>
          <w:szCs w:val="20"/>
          <w:highlight w:val="yellow"/>
        </w:rPr>
      </w:pPr>
      <w:r>
        <w:rPr>
          <w:b/>
          <w:caps/>
          <w:sz w:val="20"/>
          <w:szCs w:val="20"/>
          <w:highlight w:val="yellow"/>
        </w:rPr>
      </w:r>
      <w:r>
        <w:rPr>
          <w:b/>
          <w:caps/>
          <w:sz w:val="20"/>
          <w:szCs w:val="20"/>
          <w:highlight w:val="yellow"/>
        </w:rPr>
      </w:r>
      <w:r>
        <w:rPr>
          <w:b/>
          <w:caps/>
          <w:sz w:val="20"/>
          <w:szCs w:val="20"/>
          <w:highlight w:val="yellow"/>
        </w:rPr>
      </w:r>
    </w:p>
    <w:p>
      <w:pPr>
        <w:ind w:firstLine="709"/>
        <w:jc w:val="both"/>
        <w:tabs>
          <w:tab w:val="left" w:pos="142" w:leader="none"/>
        </w:tabs>
        <w:outlineLvl w:val="0"/>
      </w:pPr>
      <w:r>
        <w:t xml:space="preserve">Сформированный на основе изложенных выше направлений бюджетной политики проект бюджета округа на 2025 год и на плановый период 2026 и 2027 годов предполагает </w:t>
      </w:r>
      <w:r>
        <w:t xml:space="preserve">реализацию комплексного подхода к обеспечению устойчивости бюджета, повышению гибкости бюджетных расходов.</w:t>
      </w:r>
      <w:r/>
    </w:p>
    <w:p>
      <w:pPr>
        <w:ind w:firstLine="709"/>
        <w:jc w:val="both"/>
        <w:tabs>
          <w:tab w:val="left" w:pos="142" w:leader="none"/>
        </w:tabs>
        <w:outlineLvl w:val="0"/>
      </w:pPr>
      <w:r>
        <w:t xml:space="preserve">Реализация мер по повышению эффективности бюджетных расходов предполагает формирование более тесной взаимосвязи между результативностью и объемами бюджетных ассигнований, реформирование применяемых инструментов реализации бюджетной политики.</w:t>
      </w:r>
      <w:r/>
    </w:p>
    <w:p>
      <w:pPr>
        <w:ind w:firstLine="709"/>
        <w:jc w:val="both"/>
        <w:tabs>
          <w:tab w:val="left" w:pos="142" w:leader="none"/>
        </w:tabs>
        <w:outlineLvl w:val="0"/>
      </w:pPr>
      <w:r>
        <w:rPr>
          <w:rFonts w:eastAsiaTheme="minorEastAsia"/>
        </w:rPr>
        <w:t xml:space="preserve">Благодаря реализации комплексного подхода к обеспечению устойчивости бюджета округа долговая нагрузка на бюджет округа будет оставаться на безопасном уровне.</w:t>
      </w:r>
      <w:r/>
    </w:p>
    <w:p>
      <w:pPr>
        <w:ind w:right="63" w:firstLine="709"/>
        <w:jc w:val="both"/>
        <w:tabs>
          <w:tab w:val="left" w:pos="851" w:leader="none"/>
        </w:tabs>
      </w:pPr>
      <w:r>
        <w:t xml:space="preserve">Для обеспечения публичности управления общественными финансами будет продолжена работа по размещению информации о бюджетном процессе на едином портале бюджетной системы Российской Федерации, сайте Печенгского муниципального округа.</w:t>
      </w:r>
      <w:r/>
    </w:p>
    <w:p>
      <w:pPr>
        <w:ind w:right="61" w:firstLine="709"/>
        <w:jc w:val="both"/>
        <w:tabs>
          <w:tab w:val="left" w:pos="567" w:leader="none"/>
          <w:tab w:val="left" w:pos="709" w:leader="none"/>
          <w:tab w:val="left" w:pos="851" w:leader="none"/>
        </w:tabs>
      </w:pPr>
      <w:r>
        <w:t xml:space="preserve">С целью повышения эффективности бюджетных расходов через вовлечение общественности в процессы принятия конкретных бюджетных решений планируется продолжить реализацию</w:t>
      </w:r>
      <w:r>
        <w:t xml:space="preserve"> проектов поддержки местных инициатив в рамках проекта «Инициативное бюджетирование», что позволит решать задачи создания и восстановления объектов социальной и инженерной инфраструктуры, развивать механизмы практического взаимодействия власти и населения.</w:t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DejaVuSerif">
    <w:panose1 w:val="02060603050605020204"/>
  </w:font>
  <w:font w:name="Verdana">
    <w:panose1 w:val="020B06040305040402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5" w:hanging="106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num w:numId="1">
    <w:abstractNumId w:val="1"/>
  </w:num>
  <w:num w:numId="2">
    <w:abstractNumId w:val="11"/>
  </w:num>
  <w:num w:numId="3">
    <w:abstractNumId w:val="9"/>
  </w:num>
  <w:num w:numId="4">
    <w:abstractNumId w:val="4"/>
  </w:num>
  <w:num w:numId="5">
    <w:abstractNumId w:val="8"/>
  </w:num>
  <w:num w:numId="6">
    <w:abstractNumId w:val="7"/>
  </w:num>
  <w:num w:numId="7">
    <w:abstractNumId w:val="12"/>
  </w:num>
  <w:num w:numId="8">
    <w:abstractNumId w:val="10"/>
  </w:num>
  <w:num w:numId="9">
    <w:abstractNumId w:val="0"/>
  </w:num>
  <w:num w:numId="10">
    <w:abstractNumId w:val="6"/>
  </w:num>
  <w:num w:numId="11">
    <w:abstractNumId w:val="5"/>
  </w:num>
  <w:num w:numId="12">
    <w:abstractNumId w:val="3"/>
  </w:num>
  <w:num w:numId="13">
    <w:abstractNumId w:val="2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1">
    <w:name w:val="Heading 1 Char"/>
    <w:basedOn w:val="707"/>
    <w:link w:val="698"/>
    <w:uiPriority w:val="9"/>
    <w:rPr>
      <w:rFonts w:ascii="Arial" w:hAnsi="Arial" w:eastAsia="Arial" w:cs="Arial"/>
      <w:sz w:val="40"/>
      <w:szCs w:val="40"/>
    </w:rPr>
  </w:style>
  <w:style w:type="character" w:styleId="682">
    <w:name w:val="Heading 2 Char"/>
    <w:basedOn w:val="707"/>
    <w:link w:val="699"/>
    <w:uiPriority w:val="9"/>
    <w:rPr>
      <w:rFonts w:ascii="Arial" w:hAnsi="Arial" w:eastAsia="Arial" w:cs="Arial"/>
      <w:sz w:val="34"/>
    </w:rPr>
  </w:style>
  <w:style w:type="character" w:styleId="683">
    <w:name w:val="Heading 3 Char"/>
    <w:basedOn w:val="707"/>
    <w:link w:val="700"/>
    <w:uiPriority w:val="9"/>
    <w:rPr>
      <w:rFonts w:ascii="Arial" w:hAnsi="Arial" w:eastAsia="Arial" w:cs="Arial"/>
      <w:sz w:val="30"/>
      <w:szCs w:val="30"/>
    </w:rPr>
  </w:style>
  <w:style w:type="character" w:styleId="684">
    <w:name w:val="Heading 5 Char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685">
    <w:name w:val="Heading 6 Char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686">
    <w:name w:val="Heading 7 Char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7">
    <w:name w:val="Heading 8 Char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688">
    <w:name w:val="Heading 9 Char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character" w:styleId="689">
    <w:name w:val="Title Char"/>
    <w:basedOn w:val="707"/>
    <w:link w:val="720"/>
    <w:uiPriority w:val="10"/>
    <w:rPr>
      <w:sz w:val="48"/>
      <w:szCs w:val="48"/>
    </w:rPr>
  </w:style>
  <w:style w:type="character" w:styleId="690">
    <w:name w:val="Subtitle Char"/>
    <w:basedOn w:val="707"/>
    <w:link w:val="722"/>
    <w:uiPriority w:val="11"/>
    <w:rPr>
      <w:sz w:val="24"/>
      <w:szCs w:val="24"/>
    </w:rPr>
  </w:style>
  <w:style w:type="character" w:styleId="691">
    <w:name w:val="Quote Char"/>
    <w:link w:val="724"/>
    <w:uiPriority w:val="29"/>
    <w:rPr>
      <w:i/>
    </w:rPr>
  </w:style>
  <w:style w:type="character" w:styleId="692">
    <w:name w:val="Intense Quote Char"/>
    <w:link w:val="726"/>
    <w:uiPriority w:val="30"/>
    <w:rPr>
      <w:i/>
    </w:rPr>
  </w:style>
  <w:style w:type="character" w:styleId="693">
    <w:name w:val="Header Char"/>
    <w:basedOn w:val="707"/>
    <w:link w:val="728"/>
    <w:uiPriority w:val="99"/>
  </w:style>
  <w:style w:type="character" w:styleId="694">
    <w:name w:val="Caption Char"/>
    <w:basedOn w:val="875"/>
    <w:link w:val="730"/>
    <w:uiPriority w:val="99"/>
  </w:style>
  <w:style w:type="character" w:styleId="695">
    <w:name w:val="Footnote Text Char"/>
    <w:link w:val="858"/>
    <w:uiPriority w:val="99"/>
    <w:rPr>
      <w:sz w:val="18"/>
    </w:rPr>
  </w:style>
  <w:style w:type="character" w:styleId="696">
    <w:name w:val="Endnote Text Char"/>
    <w:link w:val="861"/>
    <w:uiPriority w:val="99"/>
    <w:rPr>
      <w:sz w:val="20"/>
    </w:rPr>
  </w:style>
  <w:style w:type="paragraph" w:styleId="697" w:default="1">
    <w:name w:val="Normal"/>
    <w:qFormat/>
    <w:rPr>
      <w:sz w:val="24"/>
      <w:szCs w:val="24"/>
    </w:rPr>
  </w:style>
  <w:style w:type="paragraph" w:styleId="698">
    <w:name w:val="Heading 1"/>
    <w:basedOn w:val="697"/>
    <w:next w:val="697"/>
    <w:link w:val="710"/>
    <w:qFormat/>
    <w:pPr>
      <w:jc w:val="both"/>
      <w:keepNext/>
      <w:outlineLvl w:val="0"/>
    </w:pPr>
    <w:rPr>
      <w:sz w:val="28"/>
    </w:rPr>
  </w:style>
  <w:style w:type="paragraph" w:styleId="699">
    <w:name w:val="Heading 2"/>
    <w:basedOn w:val="697"/>
    <w:next w:val="697"/>
    <w:link w:val="711"/>
    <w:qFormat/>
    <w:pPr>
      <w:jc w:val="center"/>
      <w:keepNext/>
      <w:outlineLvl w:val="1"/>
    </w:pPr>
    <w:rPr>
      <w:b/>
      <w:sz w:val="44"/>
    </w:rPr>
  </w:style>
  <w:style w:type="paragraph" w:styleId="700">
    <w:name w:val="Heading 3"/>
    <w:basedOn w:val="697"/>
    <w:next w:val="697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1">
    <w:name w:val="Heading 4"/>
    <w:basedOn w:val="697"/>
    <w:next w:val="697"/>
    <w:link w:val="884"/>
    <w:qFormat/>
    <w:pPr>
      <w:ind w:firstLine="709"/>
      <w:keepNext/>
      <w:outlineLvl w:val="3"/>
    </w:pPr>
    <w:rPr>
      <w:sz w:val="28"/>
      <w:szCs w:val="20"/>
    </w:rPr>
  </w:style>
  <w:style w:type="paragraph" w:styleId="702">
    <w:name w:val="Heading 5"/>
    <w:basedOn w:val="697"/>
    <w:next w:val="697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03">
    <w:name w:val="Heading 6"/>
    <w:basedOn w:val="697"/>
    <w:next w:val="697"/>
    <w:link w:val="7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697"/>
    <w:next w:val="697"/>
    <w:link w:val="71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5">
    <w:name w:val="Heading 8"/>
    <w:basedOn w:val="697"/>
    <w:next w:val="697"/>
    <w:link w:val="7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6">
    <w:name w:val="Heading 9"/>
    <w:basedOn w:val="697"/>
    <w:next w:val="697"/>
    <w:link w:val="71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Заголовок 1 Знак"/>
    <w:basedOn w:val="707"/>
    <w:link w:val="698"/>
    <w:uiPriority w:val="9"/>
    <w:rPr>
      <w:rFonts w:ascii="Arial" w:hAnsi="Arial" w:eastAsia="Arial" w:cs="Arial"/>
      <w:sz w:val="40"/>
      <w:szCs w:val="40"/>
    </w:rPr>
  </w:style>
  <w:style w:type="character" w:styleId="711" w:customStyle="1">
    <w:name w:val="Заголовок 2 Знак"/>
    <w:basedOn w:val="707"/>
    <w:link w:val="699"/>
    <w:uiPriority w:val="9"/>
    <w:rPr>
      <w:rFonts w:ascii="Arial" w:hAnsi="Arial" w:eastAsia="Arial" w:cs="Arial"/>
      <w:sz w:val="34"/>
    </w:rPr>
  </w:style>
  <w:style w:type="character" w:styleId="712" w:customStyle="1">
    <w:name w:val="Заголовок 3 Знак"/>
    <w:basedOn w:val="707"/>
    <w:link w:val="700"/>
    <w:uiPriority w:val="9"/>
    <w:rPr>
      <w:rFonts w:ascii="Arial" w:hAnsi="Arial" w:eastAsia="Arial" w:cs="Arial"/>
      <w:sz w:val="30"/>
      <w:szCs w:val="30"/>
    </w:rPr>
  </w:style>
  <w:style w:type="character" w:styleId="713" w:customStyle="1">
    <w:name w:val="Heading 4 Char"/>
    <w:basedOn w:val="707"/>
    <w:uiPriority w:val="9"/>
    <w:rPr>
      <w:rFonts w:ascii="Arial" w:hAnsi="Arial" w:eastAsia="Arial" w:cs="Arial"/>
      <w:b/>
      <w:bCs/>
      <w:sz w:val="26"/>
      <w:szCs w:val="26"/>
    </w:rPr>
  </w:style>
  <w:style w:type="character" w:styleId="714" w:customStyle="1">
    <w:name w:val="Заголовок 5 Знак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Заголовок 6 Знак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Заголовок 7 Знак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Заголовок 8 Знак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Заголовок 9 Знак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19">
    <w:name w:val="No Spacing"/>
    <w:uiPriority w:val="1"/>
    <w:qFormat/>
  </w:style>
  <w:style w:type="paragraph" w:styleId="720">
    <w:name w:val="Title"/>
    <w:basedOn w:val="697"/>
    <w:next w:val="697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 w:customStyle="1">
    <w:name w:val="Название Знак"/>
    <w:basedOn w:val="707"/>
    <w:link w:val="720"/>
    <w:uiPriority w:val="10"/>
    <w:rPr>
      <w:sz w:val="48"/>
      <w:szCs w:val="48"/>
    </w:rPr>
  </w:style>
  <w:style w:type="paragraph" w:styleId="722">
    <w:name w:val="Subtitle"/>
    <w:basedOn w:val="697"/>
    <w:next w:val="697"/>
    <w:link w:val="723"/>
    <w:uiPriority w:val="11"/>
    <w:qFormat/>
    <w:pPr>
      <w:spacing w:before="200" w:after="200"/>
    </w:pPr>
  </w:style>
  <w:style w:type="character" w:styleId="723" w:customStyle="1">
    <w:name w:val="Подзаголовок Знак"/>
    <w:basedOn w:val="707"/>
    <w:link w:val="722"/>
    <w:uiPriority w:val="11"/>
    <w:rPr>
      <w:sz w:val="24"/>
      <w:szCs w:val="24"/>
    </w:rPr>
  </w:style>
  <w:style w:type="paragraph" w:styleId="724">
    <w:name w:val="Quote"/>
    <w:basedOn w:val="697"/>
    <w:next w:val="697"/>
    <w:link w:val="725"/>
    <w:uiPriority w:val="29"/>
    <w:qFormat/>
    <w:pPr>
      <w:ind w:left="720" w:right="720"/>
    </w:pPr>
    <w:rPr>
      <w:i/>
    </w:r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7"/>
    <w:next w:val="697"/>
    <w:link w:val="7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 w:customStyle="1">
    <w:name w:val="Выделенная цитата Знак"/>
    <w:link w:val="726"/>
    <w:uiPriority w:val="30"/>
    <w:rPr>
      <w:i/>
    </w:rPr>
  </w:style>
  <w:style w:type="paragraph" w:styleId="728">
    <w:name w:val="Header"/>
    <w:basedOn w:val="697"/>
    <w:link w:val="72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9" w:customStyle="1">
    <w:name w:val="Верхний колонтитул Знак"/>
    <w:basedOn w:val="707"/>
    <w:link w:val="728"/>
    <w:uiPriority w:val="99"/>
  </w:style>
  <w:style w:type="paragraph" w:styleId="730">
    <w:name w:val="Footer"/>
    <w:basedOn w:val="697"/>
    <w:link w:val="73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Footer Char"/>
    <w:basedOn w:val="707"/>
    <w:uiPriority w:val="99"/>
  </w:style>
  <w:style w:type="character" w:styleId="732" w:customStyle="1">
    <w:name w:val="Нижний колонтитул Знак"/>
    <w:link w:val="730"/>
    <w:uiPriority w:val="99"/>
  </w:style>
  <w:style w:type="table" w:styleId="733" w:customStyle="1">
    <w:name w:val="Table Grid Light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4" w:customStyle="1">
    <w:name w:val="Plain Table 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Plain Table 2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 w:customStyle="1">
    <w:name w:val="Plain Table 3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7" w:customStyle="1">
    <w:name w:val="Plain Table 4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Plain Table 5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1 Light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2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4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1" w:customStyle="1">
    <w:name w:val="Grid Table 4 - Accent 1"/>
    <w:basedOn w:val="70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2" w:customStyle="1">
    <w:name w:val="Grid Table 4 - Accent 2"/>
    <w:basedOn w:val="70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3" w:customStyle="1">
    <w:name w:val="Grid Table 4 - Accent 3"/>
    <w:basedOn w:val="70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4" w:customStyle="1">
    <w:name w:val="Grid Table 4 - Accent 4"/>
    <w:basedOn w:val="70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5" w:customStyle="1">
    <w:name w:val="Grid Table 4 - Accent 5"/>
    <w:basedOn w:val="70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6" w:customStyle="1">
    <w:name w:val="Grid Table 4 - Accent 6"/>
    <w:basedOn w:val="70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7" w:customStyle="1">
    <w:name w:val="Grid Table 5 Dark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2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3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- Accent 4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5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6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6 Colorful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5" w:customStyle="1">
    <w:name w:val="Grid Table 6 Colorful - Accent 1"/>
    <w:basedOn w:val="70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6" w:customStyle="1">
    <w:name w:val="Grid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7" w:customStyle="1">
    <w:name w:val="Grid Table 6 Colorful - Accent 3"/>
    <w:basedOn w:val="70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8" w:customStyle="1">
    <w:name w:val="Grid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9" w:customStyle="1">
    <w:name w:val="Grid Table 6 Colorful - Accent 5"/>
    <w:basedOn w:val="70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0" w:customStyle="1">
    <w:name w:val="Grid Table 6 Colorful - Accent 6"/>
    <w:basedOn w:val="70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1" w:customStyle="1">
    <w:name w:val="Grid Table 7 Colorful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1"/>
    <w:basedOn w:val="70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5"/>
    <w:basedOn w:val="70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7 Colorful - Accent 6"/>
    <w:basedOn w:val="70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1"/>
    <w:basedOn w:val="70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2"/>
    <w:basedOn w:val="70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3"/>
    <w:basedOn w:val="70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4"/>
    <w:basedOn w:val="70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5"/>
    <w:basedOn w:val="70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6"/>
    <w:basedOn w:val="70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2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2" w:customStyle="1">
    <w:name w:val="List Table 3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5 Dark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1"/>
    <w:basedOn w:val="70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6 Colorful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4" w:customStyle="1">
    <w:name w:val="List Table 6 Colorful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5" w:customStyle="1">
    <w:name w:val="List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List Table 6 Colorful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7" w:customStyle="1">
    <w:name w:val="List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List Table 6 Colorful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9" w:customStyle="1">
    <w:name w:val="List Table 6 Colorful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0" w:customStyle="1">
    <w:name w:val="List Table 7 Colorful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1"/>
    <w:basedOn w:val="70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2"/>
    <w:basedOn w:val="70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3"/>
    <w:basedOn w:val="70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4"/>
    <w:basedOn w:val="70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5"/>
    <w:basedOn w:val="70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7 Colorful - Accent 6"/>
    <w:basedOn w:val="70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ned - Accent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8" w:customStyle="1">
    <w:name w:val="Lined - Accent 1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9" w:customStyle="1">
    <w:name w:val="Lined - Accent 2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0" w:customStyle="1">
    <w:name w:val="Lined - Accent 3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1" w:customStyle="1">
    <w:name w:val="Lined - Accent 4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2" w:customStyle="1">
    <w:name w:val="Lined - Accent 5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3" w:customStyle="1">
    <w:name w:val="Lined - Accent 6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4" w:customStyle="1">
    <w:name w:val="Bordered &amp; Lined - Accent"/>
    <w:basedOn w:val="70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Bordered &amp; Lined - Accent 1"/>
    <w:basedOn w:val="70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Bordered &amp; Lined - Accent 2"/>
    <w:basedOn w:val="70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Bordered &amp; Lined - Accent 3"/>
    <w:basedOn w:val="70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Bordered &amp; Lined - Accent 4"/>
    <w:basedOn w:val="70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Bordered &amp; Lined - Accent 5"/>
    <w:basedOn w:val="70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Bordered &amp; Lined - Accent 6"/>
    <w:basedOn w:val="70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"/>
    <w:basedOn w:val="70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2" w:customStyle="1">
    <w:name w:val="Bordered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3" w:customStyle="1">
    <w:name w:val="Bordered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4" w:customStyle="1">
    <w:name w:val="Bordered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5" w:customStyle="1">
    <w:name w:val="Bordered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6" w:customStyle="1">
    <w:name w:val="Bordered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7" w:customStyle="1">
    <w:name w:val="Bordered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8">
    <w:name w:val="footnote text"/>
    <w:basedOn w:val="697"/>
    <w:link w:val="859"/>
    <w:uiPriority w:val="99"/>
    <w:semiHidden/>
    <w:unhideWhenUsed/>
    <w:pPr>
      <w:spacing w:after="40"/>
    </w:pPr>
    <w:rPr>
      <w:sz w:val="18"/>
    </w:rPr>
  </w:style>
  <w:style w:type="character" w:styleId="859" w:customStyle="1">
    <w:name w:val="Текст сноски Знак"/>
    <w:link w:val="858"/>
    <w:uiPriority w:val="99"/>
    <w:rPr>
      <w:sz w:val="18"/>
    </w:rPr>
  </w:style>
  <w:style w:type="character" w:styleId="860">
    <w:name w:val="footnote reference"/>
    <w:basedOn w:val="707"/>
    <w:uiPriority w:val="99"/>
    <w:unhideWhenUsed/>
    <w:rPr>
      <w:vertAlign w:val="superscript"/>
    </w:rPr>
  </w:style>
  <w:style w:type="paragraph" w:styleId="861">
    <w:name w:val="endnote text"/>
    <w:basedOn w:val="697"/>
    <w:link w:val="862"/>
    <w:uiPriority w:val="99"/>
    <w:semiHidden/>
    <w:unhideWhenUsed/>
    <w:rPr>
      <w:sz w:val="20"/>
    </w:rPr>
  </w:style>
  <w:style w:type="character" w:styleId="862" w:customStyle="1">
    <w:name w:val="Текст концевой сноски Знак"/>
    <w:link w:val="861"/>
    <w:uiPriority w:val="99"/>
    <w:rPr>
      <w:sz w:val="20"/>
    </w:rPr>
  </w:style>
  <w:style w:type="character" w:styleId="863">
    <w:name w:val="endnote reference"/>
    <w:basedOn w:val="707"/>
    <w:uiPriority w:val="99"/>
    <w:semiHidden/>
    <w:unhideWhenUsed/>
    <w:rPr>
      <w:vertAlign w:val="superscript"/>
    </w:rPr>
  </w:style>
  <w:style w:type="paragraph" w:styleId="864">
    <w:name w:val="toc 1"/>
    <w:basedOn w:val="697"/>
    <w:next w:val="697"/>
    <w:uiPriority w:val="39"/>
    <w:unhideWhenUsed/>
    <w:pPr>
      <w:spacing w:after="57"/>
    </w:pPr>
  </w:style>
  <w:style w:type="paragraph" w:styleId="865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866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867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868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869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870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871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872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697"/>
    <w:next w:val="697"/>
    <w:uiPriority w:val="99"/>
    <w:unhideWhenUsed/>
  </w:style>
  <w:style w:type="paragraph" w:styleId="875">
    <w:name w:val="Caption"/>
    <w:basedOn w:val="697"/>
    <w:next w:val="697"/>
    <w:qFormat/>
    <w:pPr>
      <w:jc w:val="center"/>
    </w:pPr>
    <w:rPr>
      <w:b/>
      <w:sz w:val="32"/>
      <w:szCs w:val="20"/>
    </w:rPr>
  </w:style>
  <w:style w:type="paragraph" w:styleId="876">
    <w:name w:val="Body Text"/>
    <w:basedOn w:val="697"/>
    <w:link w:val="881"/>
    <w:pPr>
      <w:jc w:val="both"/>
    </w:pPr>
    <w:rPr>
      <w:sz w:val="28"/>
    </w:rPr>
  </w:style>
  <w:style w:type="paragraph" w:styleId="877">
    <w:name w:val="Body Text Indent"/>
    <w:basedOn w:val="697"/>
    <w:pPr>
      <w:ind w:firstLine="900"/>
      <w:jc w:val="both"/>
    </w:pPr>
    <w:rPr>
      <w:sz w:val="28"/>
    </w:rPr>
  </w:style>
  <w:style w:type="paragraph" w:styleId="878">
    <w:name w:val="Balloon Text"/>
    <w:basedOn w:val="697"/>
    <w:link w:val="888"/>
    <w:uiPriority w:val="99"/>
    <w:semiHidden/>
    <w:rPr>
      <w:rFonts w:ascii="Tahoma" w:hAnsi="Tahoma" w:cs="Tahoma"/>
      <w:sz w:val="16"/>
      <w:szCs w:val="16"/>
    </w:rPr>
  </w:style>
  <w:style w:type="paragraph" w:styleId="879">
    <w:name w:val="Body Text Indent 2"/>
    <w:basedOn w:val="697"/>
    <w:pPr>
      <w:ind w:left="283"/>
      <w:spacing w:after="120" w:line="480" w:lineRule="auto"/>
    </w:pPr>
  </w:style>
  <w:style w:type="table" w:styleId="880">
    <w:name w:val="Table Grid"/>
    <w:basedOn w:val="70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1" w:customStyle="1">
    <w:name w:val="Основной текст Знак"/>
    <w:link w:val="876"/>
    <w:rPr>
      <w:sz w:val="28"/>
      <w:szCs w:val="24"/>
    </w:rPr>
  </w:style>
  <w:style w:type="character" w:styleId="882">
    <w:name w:val="Hyperlink"/>
    <w:basedOn w:val="707"/>
    <w:uiPriority w:val="99"/>
    <w:rPr>
      <w:color w:val="0000ff" w:themeColor="hyperlink"/>
      <w:u w:val="single"/>
    </w:rPr>
  </w:style>
  <w:style w:type="table" w:styleId="883" w:customStyle="1">
    <w:name w:val="Сетка таблицы1"/>
    <w:basedOn w:val="708"/>
    <w:next w:val="880"/>
    <w:uiPriority w:val="59"/>
    <w:rPr>
      <w:rFonts w:ascii="Calibri" w:hAnsi="Calibri"/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4" w:customStyle="1">
    <w:name w:val="Заголовок 4 Знак"/>
    <w:basedOn w:val="707"/>
    <w:link w:val="701"/>
    <w:rPr>
      <w:sz w:val="28"/>
    </w:rPr>
  </w:style>
  <w:style w:type="numbering" w:styleId="885" w:customStyle="1">
    <w:name w:val="Нет списка1"/>
    <w:next w:val="709"/>
    <w:uiPriority w:val="99"/>
    <w:semiHidden/>
    <w:unhideWhenUsed/>
  </w:style>
  <w:style w:type="paragraph" w:styleId="886" w:customStyle="1">
    <w:name w:val="Стиль1"/>
    <w:basedOn w:val="697"/>
    <w:qFormat/>
    <w:rPr>
      <w:szCs w:val="20"/>
    </w:rPr>
  </w:style>
  <w:style w:type="paragraph" w:styleId="887" w:customStyle="1">
    <w:name w:val="ConsPlusTitle"/>
    <w:pPr>
      <w:widowControl w:val="off"/>
    </w:pPr>
    <w:rPr>
      <w:b/>
      <w:bCs/>
      <w:sz w:val="28"/>
      <w:szCs w:val="28"/>
    </w:rPr>
  </w:style>
  <w:style w:type="character" w:styleId="888" w:customStyle="1">
    <w:name w:val="Текст выноски Знак"/>
    <w:link w:val="878"/>
    <w:uiPriority w:val="99"/>
    <w:semiHidden/>
    <w:rPr>
      <w:rFonts w:ascii="Tahoma" w:hAnsi="Tahoma" w:cs="Tahoma"/>
      <w:sz w:val="16"/>
      <w:szCs w:val="16"/>
    </w:rPr>
  </w:style>
  <w:style w:type="paragraph" w:styleId="889">
    <w:name w:val="List Paragraph"/>
    <w:basedOn w:val="697"/>
    <w:uiPriority w:val="34"/>
    <w:qFormat/>
    <w:pPr>
      <w:contextualSpacing/>
      <w:ind w:left="720"/>
    </w:pPr>
    <w:rPr>
      <w:sz w:val="20"/>
      <w:szCs w:val="20"/>
    </w:rPr>
  </w:style>
  <w:style w:type="paragraph" w:styleId="890" w:customStyle="1">
    <w:name w:val="Знак Знак Знак Знак Знак Знак Знак Знак Знак Знак"/>
    <w:basedOn w:val="69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891" w:customStyle="1">
    <w:name w:val="Знак Знак Знак Знак"/>
    <w:basedOn w:val="69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892" w:customStyle="1">
    <w:name w:val="Знак Знак1 Знак Знак Знак Знак"/>
    <w:basedOn w:val="69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93" w:customStyle="1">
    <w:name w:val="Сетка таблицы11"/>
    <w:basedOn w:val="708"/>
    <w:next w:val="880"/>
    <w:uiPriority w:val="59"/>
    <w:rPr>
      <w:rFonts w:ascii="Calibri" w:hAnsi="Calibri"/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94" w:customStyle="1">
    <w:name w:val="Сетка таблицы2"/>
    <w:basedOn w:val="708"/>
    <w:next w:val="880"/>
    <w:uiPriority w:val="59"/>
    <w:rPr>
      <w:rFonts w:ascii="Calibri" w:hAnsi="Calibri"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5" w:customStyle="1">
    <w:name w:val="Основной текст_"/>
    <w:basedOn w:val="707"/>
    <w:link w:val="896"/>
    <w:rPr>
      <w:sz w:val="28"/>
      <w:szCs w:val="28"/>
      <w:shd w:val="clear" w:color="auto" w:fill="ffffff"/>
    </w:rPr>
  </w:style>
  <w:style w:type="paragraph" w:styleId="896" w:customStyle="1">
    <w:name w:val="Основной текст1"/>
    <w:basedOn w:val="697"/>
    <w:link w:val="895"/>
    <w:pPr>
      <w:ind w:firstLine="400"/>
      <w:spacing w:after="320"/>
      <w:shd w:val="clear" w:color="auto" w:fill="ffffff"/>
      <w:widowControl w:val="off"/>
    </w:pPr>
    <w:rPr>
      <w:sz w:val="28"/>
      <w:szCs w:val="28"/>
    </w:rPr>
  </w:style>
  <w:style w:type="paragraph" w:styleId="897">
    <w:name w:val="Normal (Web)"/>
    <w:basedOn w:val="697"/>
    <w:uiPriority w:val="99"/>
    <w:unhideWhenUsed/>
    <w:pPr>
      <w:spacing w:before="100" w:beforeAutospacing="1" w:after="100" w:afterAutospacing="1"/>
    </w:pPr>
  </w:style>
  <w:style w:type="paragraph" w:styleId="898" w:customStyle="1">
    <w:name w:val="block__block-3c"/>
    <w:basedOn w:val="697"/>
    <w:pPr>
      <w:spacing w:before="100" w:beforeAutospacing="1" w:after="100" w:afterAutospacing="1"/>
    </w:pPr>
  </w:style>
  <w:style w:type="character" w:styleId="899" w:customStyle="1">
    <w:name w:val="fontstyle01"/>
    <w:basedOn w:val="707"/>
    <w:rPr>
      <w:rFonts w:hint="default" w:ascii="DejaVuSerif" w:hAnsi="DejaVuSerif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0BC59-ADEB-45B8-9DE6-9127260B2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revision>6</cp:revision>
  <dcterms:created xsi:type="dcterms:W3CDTF">2024-10-08T07:04:00Z</dcterms:created>
  <dcterms:modified xsi:type="dcterms:W3CDTF">2024-10-21T07:31:44Z</dcterms:modified>
</cp:coreProperties>
</file>