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afterAutospacing="0" w:line="240" w:lineRule="auto"/>
        <w:rPr>
          <w:rFonts w:ascii="Times New Roman" w:hAnsi="Times New Roman" w:eastAsia="Times New Roman" w:cs="Times New Roman"/>
          <w:b/>
          <w:sz w:val="32"/>
          <w:szCs w:val="24"/>
          <w:lang w:eastAsia="ru-RU"/>
          <w14:ligatures w14:val="none"/>
        </w:rPr>
      </w:pPr>
      <w:r>
        <w:rPr>
          <w:rFonts w:ascii="Calibri" w:hAnsi="Calibri" w:eastAsia="Calibri" w:cs="Times New Roman"/>
          <w:lang w:eastAsia="ru-RU"/>
          <w14:ligatures w14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46125"/>
                <wp:effectExtent l="0" t="0" r="0" b="0"/>
                <wp:docPr id="1" name="Рисунок 1" descr="Описание: 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 descr="Описание: 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0075" cy="746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75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32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32"/>
          <w:szCs w:val="24"/>
          <w:lang w:eastAsia="ru-RU"/>
          <w14:ligatures w14:val="none"/>
        </w:rPr>
      </w:r>
    </w:p>
    <w:p>
      <w:pPr>
        <w:jc w:val="center"/>
        <w:spacing w:after="0" w:afterAutospacing="0" w:line="240" w:lineRule="auto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</w:p>
    <w:p>
      <w:pPr>
        <w:spacing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spacing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spacing w:after="0" w:afterAutospacing="0" w:line="240" w:lineRule="auto"/>
        <w:rPr>
          <w:rFonts w:ascii="Calibri" w:hAnsi="Calibri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  <w:t xml:space="preserve">от 22.10.2024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  <w:t xml:space="preserve"> </w:t>
        <w:tab/>
        <w:tab/>
        <w:tab/>
        <w:tab/>
        <w:tab/>
        <w:tab/>
        <w:tab/>
        <w:tab/>
        <w:tab/>
        <w:tab/>
        <w:t xml:space="preserve"> № 1612</w:t>
      </w:r>
      <w:r>
        <w:rPr>
          <w:rFonts w:ascii="Calibri" w:hAnsi="Calibri" w:eastAsia="Calibri" w:cs="Times New Roman"/>
          <w:sz w:val="24"/>
          <w:szCs w:val="24"/>
          <w14:ligatures w14:val="none"/>
        </w:rPr>
      </w:r>
      <w:r>
        <w:rPr>
          <w:rFonts w:ascii="Calibri" w:hAnsi="Calibri" w:eastAsia="Calibri" w:cs="Times New Roman"/>
          <w:sz w:val="24"/>
          <w:szCs w:val="24"/>
          <w14:ligatures w14:val="none"/>
        </w:rPr>
      </w:r>
    </w:p>
    <w:p>
      <w:pPr>
        <w:jc w:val="center"/>
        <w:spacing w:after="0" w:afterAutospacing="0" w:line="240" w:lineRule="auto"/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</w:r>
    </w:p>
    <w:p>
      <w:pPr>
        <w:ind w:right="21" w:firstLine="720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right="21" w:firstLine="720"/>
        <w:jc w:val="center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right="21"/>
        <w:jc w:val="center"/>
        <w:spacing w:after="0" w:afterAutospacing="0" w:line="240" w:lineRule="auto"/>
        <w:rPr>
          <w:rFonts w:ascii="Times New Roman" w:hAnsi="Times New Roman" w:eastAsia="Calibri" w:cs="Times New Roman"/>
          <w:b/>
          <w:bCs/>
          <w:sz w:val="20"/>
          <w:szCs w:val="20"/>
          <w14:ligatures w14:val="none"/>
        </w:rPr>
      </w:pPr>
      <w:r/>
      <w:bookmarkStart w:id="0" w:name="_Hlk178843401"/>
      <w:r>
        <w:rPr>
          <w:rFonts w:ascii="Times New Roman" w:hAnsi="Times New Roman" w:eastAsia="Calibri" w:cs="Times New Roman"/>
          <w:b/>
          <w:sz w:val="20"/>
          <w:szCs w:val="20"/>
          <w14:ligatures w14:val="none"/>
        </w:rPr>
        <w:t xml:space="preserve">О создании комиссии по</w:t>
      </w:r>
      <w:r>
        <w:rPr>
          <w:rFonts w:ascii="Times New Roman" w:hAnsi="Times New Roman" w:eastAsia="Calibri" w:cs="Times New Roman"/>
          <w:b/>
          <w:sz w:val="20"/>
          <w:szCs w:val="20"/>
          <w14:ligatures w14:val="none"/>
        </w:rPr>
        <w:t xml:space="preserve"> принятию решений о предоставлении выплаты на приобретение благоустроенного жилого помещения в </w:t>
      </w:r>
      <w:r>
        <w:rPr>
          <w:rFonts w:ascii="Times New Roman" w:hAnsi="Times New Roman" w:eastAsia="Calibri" w:cs="Times New Roman"/>
          <w:b/>
          <w:sz w:val="20"/>
          <w:szCs w:val="20"/>
          <w14:ligatures w14:val="none"/>
        </w:rPr>
        <w:t xml:space="preserve">собственность</w:t>
      </w:r>
      <w:r>
        <w:rPr>
          <w:rFonts w:ascii="Times New Roman" w:hAnsi="Times New Roman" w:eastAsia="Calibri" w:cs="Times New Roman"/>
          <w:b/>
          <w:sz w:val="20"/>
          <w:szCs w:val="20"/>
          <w14:ligatures w14:val="none"/>
        </w:rPr>
        <w:t xml:space="preserve"> или для полного погашения предоставленного на приобретение жилого помещения кредита (займа) по договору, </w:t>
      </w:r>
      <w:r>
        <w:rPr>
          <w:rFonts w:ascii="Times New Roman" w:hAnsi="Times New Roman" w:eastAsia="Calibri" w:cs="Times New Roman"/>
          <w:b/>
          <w:sz w:val="20"/>
          <w:szCs w:val="20"/>
          <w14:ligatures w14:val="none"/>
        </w:rPr>
        <w:t xml:space="preserve">обязательства</w:t>
      </w:r>
      <w:r>
        <w:rPr>
          <w:rFonts w:ascii="Times New Roman" w:hAnsi="Times New Roman" w:eastAsia="Calibri" w:cs="Times New Roman"/>
          <w:b/>
          <w:sz w:val="20"/>
          <w:szCs w:val="20"/>
          <w14:ligatures w14:val="none"/>
        </w:rPr>
        <w:t xml:space="preserve"> заемщика </w:t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b/>
          <w:bCs/>
          <w:sz w:val="20"/>
          <w:szCs w:val="20"/>
          <w14:ligatures w14:val="none"/>
        </w:rPr>
      </w:r>
    </w:p>
    <w:p>
      <w:pPr>
        <w:ind w:right="21"/>
        <w:jc w:val="center"/>
        <w:spacing w:after="0" w:afterAutospacing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b/>
          <w:sz w:val="20"/>
          <w:szCs w:val="20"/>
          <w14:ligatures w14:val="none"/>
        </w:rPr>
        <w:t xml:space="preserve">по которому обеспечены ипотекой, лицам, которые относились к категории детей-сирот и детей, </w:t>
      </w:r>
      <w:r>
        <w:rPr>
          <w:rFonts w:ascii="Times New Roman" w:hAnsi="Times New Roman" w:eastAsia="Calibri" w:cs="Times New Roman"/>
          <w:b/>
          <w:sz w:val="20"/>
          <w:szCs w:val="20"/>
          <w14:ligatures w14:val="none"/>
        </w:rPr>
        <w:t xml:space="preserve">оставшихся без попечения родителей, </w:t>
      </w:r>
      <w:r>
        <w:rPr>
          <w:rFonts w:ascii="Times New Roman" w:hAnsi="Times New Roman" w:eastAsia="Calibri" w:cs="Times New Roman"/>
          <w:b/>
          <w:sz w:val="20"/>
          <w:szCs w:val="20"/>
          <w14:ligatures w14:val="none"/>
        </w:rPr>
        <w:t xml:space="preserve">и достигли возраста 23 лет, или об отказе в ее предоставлении </w:t>
      </w:r>
      <w:bookmarkEnd w:id="0"/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ind w:right="21" w:firstLine="720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right="21" w:firstLine="720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firstLine="720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В соответствии с Федеральным законом от 21.12.1996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№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159-ФЗ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«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»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, приказом Министерства просвещения Российской Федерации от 22.11.2023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                   №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883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«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Об утверждении Положен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ия о комиссии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которому обеспечены ипотекой,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или об отказе в ее предоставлении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»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, Законом Мурманской области от 28.12.2004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                 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№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568-01-ЗМО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«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О дополнительных гарантиях по социальной поддержке детей-сирот и детей, оставшихся без попечения родителей, лиц из числа детей-сирот и детей, оставшихся без попечения родителей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»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,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right="21"/>
        <w:jc w:val="both"/>
        <w:spacing w:after="0" w:afterAutospacing="0" w:line="24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right="21"/>
        <w:jc w:val="both"/>
        <w:spacing w:after="0" w:afterAutospacing="0" w:line="240" w:lineRule="auto"/>
        <w:rPr>
          <w:rFonts w:ascii="Times New Roman" w:hAnsi="Times New Roman" w:eastAsia="Calibri" w:cs="Times New Roman"/>
          <w:b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:szCs w:val="24"/>
          <w14:ligatures w14:val="none"/>
        </w:rPr>
        <w:t xml:space="preserve">ПОСТАНОВЛЯЮ:</w:t>
      </w:r>
      <w:r>
        <w:rPr>
          <w:rFonts w:ascii="Times New Roman" w:hAnsi="Times New Roman" w:eastAsia="Calibri" w:cs="Times New Roman"/>
          <w:b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:szCs w:val="24"/>
          <w14:ligatures w14:val="none"/>
        </w:rPr>
      </w:r>
    </w:p>
    <w:p>
      <w:pPr>
        <w:ind w:right="21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numPr>
          <w:ilvl w:val="0"/>
          <w:numId w:val="1"/>
        </w:numPr>
        <w:contextualSpacing/>
        <w:ind w:left="0" w:right="0" w:firstLine="709"/>
        <w:jc w:val="both"/>
        <w:spacing w:after="0" w:afterAutospacing="0" w:line="240" w:lineRule="auto"/>
        <w:tabs>
          <w:tab w:val="left" w:pos="992" w:leader="none"/>
          <w:tab w:val="left" w:pos="1080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Создать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комисси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ю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по принятию решений о предоставлении выплаты на приобретение благоустроенного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которому обеспечены ипотекой,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или об отказе в ее предоставлении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numPr>
          <w:ilvl w:val="0"/>
          <w:numId w:val="1"/>
        </w:numPr>
        <w:contextualSpacing/>
        <w:ind w:left="0" w:right="0" w:firstLine="709"/>
        <w:jc w:val="both"/>
        <w:spacing w:after="0" w:afterAutospacing="0" w:line="240" w:lineRule="auto"/>
        <w:tabs>
          <w:tab w:val="left" w:pos="992" w:leader="none"/>
          <w:tab w:val="left" w:pos="1080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Определить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отдел образования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администрации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, уполномоченным осуществлять реализацию до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полнительных гарантий права на жилые помещения в виде предоставления выплаты на приобретение благоустроенного жилого помещения в собственность или для полного погашения кредита (займа) по договору, обязательства для заемщика по которому обеспечены ипотекой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contextualSpacing/>
        <w:ind w:left="0" w:right="0" w:firstLine="709"/>
        <w:jc w:val="both"/>
        <w:spacing w:after="0" w:afterAutospacing="0" w:line="240" w:lineRule="auto"/>
        <w:tabs>
          <w:tab w:val="left" w:pos="851" w:leader="none"/>
          <w:tab w:val="left" w:pos="1080" w:leader="none"/>
        </w:tabs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2.1.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Возложить на отдел образования администрации Печенгского муниципального округа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о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рганизационно-техническое обеспечение деятельности комиссии по принятию решений о предоставлении выпла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лицам, которые относились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или об отказе в ее предоставлении, а также хранение протоколов заседаний и иных до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кументов, связанных с деятельностью комиссии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ору, обязательства заемщика по которому обеспечены ипотекой,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и об отказе в ее предоставлении.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pStyle w:val="837"/>
        <w:ind w:left="0" w:right="0" w:firstLine="709"/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Утвердить </w:t>
      </w:r>
      <w:hyperlink w:tooltip="ПОЛОЖЕНИЕ" w:anchor="Par50" w:history="1">
        <w:r>
          <w:rPr>
            <w:sz w:val="24"/>
            <w:szCs w:val="24"/>
          </w:rPr>
          <w:t xml:space="preserve">Положение</w:t>
        </w:r>
      </w:hyperlink>
      <w:r>
        <w:rPr>
          <w:sz w:val="24"/>
          <w:szCs w:val="24"/>
        </w:rPr>
        <w:t xml:space="preserve"> о комиссии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</w:t>
      </w:r>
      <w:r>
        <w:rPr>
          <w:sz w:val="24"/>
          <w:szCs w:val="24"/>
        </w:rPr>
        <w:t xml:space="preserve">у, обязательства заемщика по которому обеспечены ипотекой,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или </w:t>
      </w:r>
      <w:r>
        <w:rPr>
          <w:sz w:val="24"/>
          <w:szCs w:val="24"/>
        </w:rPr>
        <w:t xml:space="preserve">об отказе в ее предоставлении согласно приложению 1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7"/>
        <w:ind w:left="0" w:right="0" w:firstLine="709"/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Утвердить </w:t>
      </w:r>
      <w:hyperlink w:tooltip="СОСТАВ" w:anchor="Par121" w:history="1">
        <w:r>
          <w:rPr>
            <w:sz w:val="24"/>
            <w:szCs w:val="24"/>
          </w:rPr>
          <w:t xml:space="preserve">состав</w:t>
        </w:r>
      </w:hyperlink>
      <w:r>
        <w:rPr>
          <w:sz w:val="24"/>
          <w:szCs w:val="24"/>
        </w:rPr>
        <w:t xml:space="preserve"> комиссии по принятию решений о предоставлении</w:t>
      </w:r>
      <w:r>
        <w:rPr>
          <w:sz w:val="24"/>
          <w:szCs w:val="24"/>
        </w:rPr>
        <w:t xml:space="preserve">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лицам, которые относ</w:t>
      </w:r>
      <w:r>
        <w:rPr>
          <w:sz w:val="24"/>
          <w:szCs w:val="24"/>
        </w:rPr>
        <w:t xml:space="preserve">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или об отказе в ее предоставлении согласно приложению 2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4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.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Настоящее постановление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вступает в силу со дня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подписания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и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подлежит</w:t>
      </w:r>
      <w:r>
        <w:rPr>
          <w:rFonts w:ascii="Times New Roman" w:hAnsi="Times New Roman" w:eastAsia="Calibri" w:cs="Times New Roman"/>
          <w:color w:val="ff0000"/>
          <w:sz w:val="24"/>
          <w:szCs w:val="24"/>
          <w14:ligatures w14:val="none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размещению на официальном сайте Печенгского муниципального округа http://pechengamr.gov-murman.ru/.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5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. Контроль за исполнением настоящего постановления оставляю за собой.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ind w:right="21"/>
        <w:spacing w:after="0" w:afterAutospacing="0" w:line="240" w:lineRule="auto"/>
        <w:rPr>
          <w:rFonts w:ascii="Times New Roman" w:hAnsi="Times New Roman" w:eastAsia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14:ligatures w14:val="none"/>
        </w:rPr>
      </w:r>
    </w:p>
    <w:p>
      <w:pPr>
        <w:jc w:val="both"/>
        <w:spacing w:after="0" w:afterAutospacing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  <w:t xml:space="preserve">Никитина И.В., 50572 </w:t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ind w:firstLine="5529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Приложение № 1 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firstLine="5529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к постановлению администрации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firstLine="5529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firstLine="5529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от 22.10.2024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№ 1612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-284" w:right="-142"/>
        <w:jc w:val="center"/>
        <w:spacing w:after="0" w:afterAutospacing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jc w:val="center"/>
        <w:spacing w:after="0" w:afterAutospacing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jc w:val="center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t xml:space="preserve">ПОЛОЖЕНИЕ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  <w:br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О комиссии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лого помещения кредита (займа) по договору, обязательства заемщика по которому обеспечены ипотекой, лицам, которые относились к категории детей-сирот и детей, оставшихся без попечения родителей, и достигли возраста 23 лет, или об отказе в ее предоставлении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jc w:val="center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1. Комиссия по принятию решений о предоставлении выплат</w:t>
      </w:r>
      <w:r>
        <w:t xml:space="preserve">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лицам, которые относились к</w:t>
      </w:r>
      <w:r>
        <w:t xml:space="preserve">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или об отказе в ее предоставлении (далее соответственно - Комиссия, выплата), создается в </w:t>
      </w:r>
      <w:r>
        <w:t xml:space="preserve">целях реализации дополнительной гарантии права лиц, указанных в </w:t>
      </w:r>
      <w:hyperlink r:id="rId10" w:tooltip="https://login.consultant.ru/link/?req=doc&amp;base=LAW&amp;n=466513&amp;dst=60&amp;field=134&amp;date=02.10.2024" w:history="1">
        <w:r>
          <w:t xml:space="preserve">пункте 9 статьи 8</w:t>
        </w:r>
      </w:hyperlink>
      <w:r>
        <w:t xml:space="preserve"> Федерального закона от 21 декабря 1996 г. № 159-ФЗ «О дополнительных гарантиях по социальной поддержке детей-сирот и детей, оставшихся без попечения родителей» (далее - лицо), на жилое помещение.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2. Комиссия в своей деятельности руководствуется </w:t>
      </w:r>
      <w:hyperlink r:id="rId11" w:tooltip="https://login.consultant.ru/link/?req=doc&amp;base=LAW&amp;n=2875&amp;date=02.10.2024" w:history="1">
        <w:r>
          <w:t xml:space="preserve">Конституцией</w:t>
        </w:r>
      </w:hyperlink>
      <w:r>
        <w:t xml:space="preserve"> Российской Федерации, федеральными конст</w:t>
      </w:r>
      <w:r>
        <w:t xml:space="preserve">итуционными законами, федеральными законами, актами Президента Российской Федерации и Правительства Российской Федерации, нормативными правовыми актами федеральных органов исполнительной власти субъектов Российской Федерации, а также настоящим Положением.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3</w:t>
      </w:r>
      <w:r>
        <w:t xml:space="preserve">. Организационно-техническое обеспечение деятельности Комиссии, а также хранение протоколов заседаний Комиссии и иных документов, связанных с деятельностью Комиссии, осуществляется </w:t>
      </w:r>
      <w:r>
        <w:t xml:space="preserve">отделом образования администрации Печенгского муниципального округа</w:t>
      </w:r>
      <w:r>
        <w:t xml:space="preserve"> (далее </w:t>
      </w:r>
      <w:r>
        <w:t xml:space="preserve">–</w:t>
      </w:r>
      <w:r>
        <w:t xml:space="preserve"> </w:t>
      </w:r>
      <w:r>
        <w:t xml:space="preserve">отдел образования</w:t>
      </w:r>
      <w:r>
        <w:t xml:space="preserve">).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4</w:t>
      </w:r>
      <w:r>
        <w:t xml:space="preserve">. Основной задачей Комиссии является принятие по результатам рассмотрения заявления и документов, представленных </w:t>
      </w:r>
      <w:r>
        <w:t xml:space="preserve">отделом образования</w:t>
      </w:r>
      <w:r>
        <w:t xml:space="preserve"> в соответствии с </w:t>
      </w:r>
      <w:hyperlink w:tooltip="#p6" w:anchor="p6" w:history="1">
        <w:r>
          <w:t xml:space="preserve">пунктом </w:t>
        </w:r>
        <w:r>
          <w:t xml:space="preserve">5</w:t>
        </w:r>
      </w:hyperlink>
      <w:r>
        <w:t xml:space="preserve"> настоящего Положения, решения о предоставлении выплаты либо об отказе в предоставлении выплаты.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/>
      <w:bookmarkStart w:id="1" w:name="p5"/>
      <w:r/>
      <w:bookmarkEnd w:id="1"/>
      <w:r>
        <w:t xml:space="preserve">Решение о предоставлении выплаты или об отказе в предоставлении выплаты принимается Комиссией и оформляется протоколом Комиссии в течение 20 дней со дня поступления заявления и документов, указанных в </w:t>
      </w:r>
      <w:hyperlink w:tooltip="#p6" w:anchor="p6" w:history="1">
        <w:r>
          <w:t xml:space="preserve">пункте </w:t>
        </w:r>
        <w:r>
          <w:t xml:space="preserve">5</w:t>
        </w:r>
      </w:hyperlink>
      <w:r>
        <w:t xml:space="preserve"> настоящего Положения, в Комиссию.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/>
      <w:bookmarkStart w:id="2" w:name="p6"/>
      <w:r/>
      <w:bookmarkEnd w:id="2"/>
      <w:r>
        <w:t xml:space="preserve">5</w:t>
      </w:r>
      <w:r>
        <w:t xml:space="preserve">. Для принятия решения о предоставлении выплаты либо об отказе в предоставлении выплаты </w:t>
      </w:r>
      <w:r>
        <w:t xml:space="preserve">отделом образования </w:t>
      </w:r>
      <w:r>
        <w:t xml:space="preserve">представляется на рассмотрение Комиссии заявление лица о предоставлении выплаты (далее - заявление) и прилагаемые к нему документы в соответствии с перечнем, утвержденным </w:t>
      </w:r>
      <w:r>
        <w:t xml:space="preserve">Постановление</w:t>
      </w:r>
      <w:r>
        <w:t xml:space="preserve">м</w:t>
      </w:r>
      <w:r>
        <w:t xml:space="preserve"> Правительства РФ от 21.12.2023 </w:t>
      </w:r>
      <w:r>
        <w:t xml:space="preserve">№</w:t>
      </w:r>
      <w:r>
        <w:t xml:space="preserve"> 2227</w:t>
      </w:r>
      <w:r>
        <w:t xml:space="preserve"> «</w:t>
      </w:r>
      <w:r>
        <w:t xml:space="preserve">Об отдельных вопросах предоставления лицам, указанным в пункте 1 статьи 8.1 Федерального закона</w:t>
      </w:r>
      <w:r>
        <w:t xml:space="preserve"> «</w:t>
      </w:r>
      <w:r>
        <w:t xml:space="preserve">О дополнительных гарантиях по социальной поддержке детей-сирот и детей, оставшихся без попечения родителей</w:t>
      </w:r>
      <w:r>
        <w:t xml:space="preserve">»</w:t>
      </w:r>
      <w:r>
        <w:t xml:space="preserve">,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</w:t>
      </w:r>
      <w:r>
        <w:t xml:space="preserve">»</w:t>
      </w:r>
      <w:r>
        <w:t xml:space="preserve">.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6</w:t>
      </w:r>
      <w:r>
        <w:t xml:space="preserve">. Основанием для принятия Комиссией решения об отказе в предоставлении выплаты является отсутствие на дату подачи заявления одного или нескольких обсто</w:t>
      </w:r>
      <w:r>
        <w:t xml:space="preserve">ятельств, установленных </w:t>
      </w:r>
      <w:hyperlink r:id="rId12" w:tooltip="https://login.consultant.ru/link/?req=doc&amp;base=LAW&amp;n=466513&amp;dst=171&amp;field=134&amp;date=02.10.2024" w:history="1">
        <w:r>
          <w:t xml:space="preserve">пунктом 2 статьи 8.1</w:t>
        </w:r>
      </w:hyperlink>
      <w:r>
        <w:t xml:space="preserve"> Федерального закона от 21 декабря 1996 г. </w:t>
      </w:r>
      <w:r>
        <w:t xml:space="preserve">№</w:t>
      </w:r>
      <w:r>
        <w:t xml:space="preserve"> 159-ФЗ </w:t>
      </w:r>
      <w:r>
        <w:t xml:space="preserve">«</w:t>
      </w:r>
      <w:r>
        <w:t xml:space="preserve">О дополнительных гарантиях по социальной поддержке детей-сирот и детей, оставшихся без попечения родителей</w:t>
      </w:r>
      <w:r>
        <w:t xml:space="preserve">»</w:t>
      </w:r>
      <w:r>
        <w:t xml:space="preserve">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7</w:t>
      </w:r>
      <w:r>
        <w:t xml:space="preserve">. Комиссия формируется в составе девяти человек. В состав Комиссии входят председатель Комиссии, заместитель председателя Комиссии, секретарь Комиссии и иные члены Комиссии.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8</w:t>
      </w:r>
      <w:r>
        <w:t xml:space="preserve">. Председатель Комиссии: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а) осуществляет общее руководство деятельностью Комиссии;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б) определяет дату, время, место, форму и порядок проведения заседаний Комиссии, председательствует на заседаниях Комиссии, организует контроль выполнения решений, принятых Комиссией;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в) подписывает протоколы заседания Комиссии.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9</w:t>
      </w:r>
      <w:r>
        <w:t xml:space="preserve">. В случае отсутствия председателя Комиссии его обязанности исполняет заместитель председателя Комиссии.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1</w:t>
      </w:r>
      <w:r>
        <w:t xml:space="preserve">0</w:t>
      </w:r>
      <w:r>
        <w:t xml:space="preserve">. Секретарь Комиссии обеспечивает: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а) подготовку и проведение заседаний Комиссии;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б) представление членам Комиссии материалов по повестке дня заседания Комиссии;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в) информирование членов Комиссии о дате, месте и времени проведения заседания Комиссии и повестке дня заседания Комиссии;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г) ведение и оформление протоколов заседаний Комиссии.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1</w:t>
      </w:r>
      <w:r>
        <w:t xml:space="preserve">1</w:t>
      </w:r>
      <w:r>
        <w:t xml:space="preserve">. В случае отсутствия секретаря Комиссии его обязанности возлагаются на одного из членов Комиссии решением председательствующего на заседании Комиссии.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1</w:t>
      </w:r>
      <w:r>
        <w:t xml:space="preserve">2</w:t>
      </w:r>
      <w:r>
        <w:t xml:space="preserve">. Заседания Комиссии проводятся в очной форме. Возможно проведение заседания Комиссии с использованием видео-конференц-связи.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1</w:t>
      </w:r>
      <w:r>
        <w:t xml:space="preserve">3</w:t>
      </w:r>
      <w:r>
        <w:t xml:space="preserve">. Заседания Комиссии проводятся по мере поступления </w:t>
      </w:r>
      <w:r>
        <w:t xml:space="preserve">в отдел образования</w:t>
      </w:r>
      <w:r>
        <w:t xml:space="preserve"> заявлений и документов, указанных в </w:t>
      </w:r>
      <w:hyperlink w:tooltip="#p6" w:anchor="p6" w:history="1">
        <w:r>
          <w:t xml:space="preserve">пункте </w:t>
        </w:r>
        <w:r>
          <w:t xml:space="preserve">5</w:t>
        </w:r>
      </w:hyperlink>
      <w:r>
        <w:t xml:space="preserve"> настоящего Положения. Дата проведения заседания Комиссии определяется председателем Комиссии с учетом срока рассмотрения поступивших в </w:t>
      </w:r>
      <w:r>
        <w:t xml:space="preserve">отдел образования</w:t>
      </w:r>
      <w:r>
        <w:t xml:space="preserve"> заявлений и документов, указанных в </w:t>
      </w:r>
      <w:hyperlink w:tooltip="#p6" w:anchor="p6" w:history="1">
        <w:r>
          <w:t xml:space="preserve">пункте </w:t>
        </w:r>
        <w:r>
          <w:t xml:space="preserve">5</w:t>
        </w:r>
      </w:hyperlink>
      <w:r>
        <w:t xml:space="preserve"> настоящего Положения, установленного </w:t>
      </w:r>
      <w:hyperlink w:tooltip="#p5" w:anchor="p5" w:history="1">
        <w:r>
          <w:t xml:space="preserve">абзацем вторым пункта </w:t>
        </w:r>
        <w:r>
          <w:t xml:space="preserve">4</w:t>
        </w:r>
      </w:hyperlink>
      <w:r>
        <w:t xml:space="preserve"> настоящего Положения.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1</w:t>
      </w:r>
      <w:r>
        <w:t xml:space="preserve">4</w:t>
      </w:r>
      <w:r>
        <w:t xml:space="preserve">. Заседание Комиссии считается правомочным, если на нем присутствуют не менее 2/3 состава Комиссии.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1</w:t>
      </w:r>
      <w:r>
        <w:t xml:space="preserve">5</w:t>
      </w:r>
      <w:r>
        <w:t xml:space="preserve">. Решения Комиссии принимаются открытым голосованием большинством голосов присутствующих на заседании членов Комиссии. При равенстве голосов решающим является голос председательствующего на заседании Комиссии.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1</w:t>
      </w:r>
      <w:r>
        <w:t xml:space="preserve">6</w:t>
      </w:r>
      <w:r>
        <w:t xml:space="preserve">. Решение Комиссии оформляется протоколом заседания Комиссии, который подписывают председательствующий на заседании Комиссии и секретарь Комиссии. Особое мнение членов Комиссии подлежит приобщению к протоколу заседания Комиссии.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1</w:t>
      </w:r>
      <w:r>
        <w:t xml:space="preserve">7</w:t>
      </w:r>
      <w:r>
        <w:t xml:space="preserve">. Секретарь Комиссии в течение 3 рабочих дней со дня проведения заседания Комиссии представляет протокол заседания Комиссии в </w:t>
      </w:r>
      <w:r>
        <w:t xml:space="preserve">отдел образования</w:t>
      </w:r>
      <w:r>
        <w:t xml:space="preserve">. </w:t>
      </w:r>
      <w:r/>
    </w:p>
    <w:p>
      <w:pPr>
        <w:pStyle w:val="838"/>
        <w:ind w:left="0" w:right="0" w:firstLine="709"/>
        <w:jc w:val="both"/>
        <w:spacing w:before="0" w:beforeAutospacing="0" w:after="0" w:afterAutospacing="0" w:line="240" w:lineRule="auto"/>
      </w:pPr>
      <w:r>
        <w:t xml:space="preserve">18</w:t>
      </w:r>
      <w:r>
        <w:t xml:space="preserve">. Решение Комиссии может быть обжаловано в судебном порядке. </w:t>
      </w:r>
      <w:r/>
    </w:p>
    <w:p>
      <w:pPr>
        <w:shd w:val="nil" w:color="auto"/>
        <w:rPr>
          <w:rFonts w:ascii="Times New Roman" w:hAnsi="Times New Roman" w:eastAsia="Calibri" w:cs="Times New Roman"/>
          <w:sz w:val="24"/>
          <w:szCs w:val="24"/>
          <w14:ligatures w14:val="none"/>
        </w:rPr>
        <w:outlineLvl w:val="2"/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br w:type="page" w:clear="all"/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5529" w:right="-142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  <w:outlineLvl w:val="2"/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Приложение № 2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5529" w:right="-142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  <w:outlineLvl w:val="2"/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firstLine="5529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от 22.10.2024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 № 1612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-284" w:right="-142"/>
        <w:jc w:val="center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-284" w:right="-142"/>
        <w:jc w:val="center"/>
        <w:spacing w:after="0" w:afterAutospacing="0" w:line="240" w:lineRule="auto"/>
        <w:rPr>
          <w:rFonts w:ascii="Times New Roman" w:hAnsi="Times New Roman" w:eastAsia="Calibri" w:cs="Times New Roman"/>
          <w:b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b/>
          <w:sz w:val="24"/>
          <w:szCs w:val="24"/>
          <w14:ligatures w14:val="none"/>
        </w:rPr>
        <w:t xml:space="preserve">СОСТАВ</w:t>
      </w:r>
      <w:r>
        <w:rPr>
          <w:rFonts w:ascii="Times New Roman" w:hAnsi="Times New Roman" w:eastAsia="Calibri" w:cs="Times New Roman"/>
          <w:b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b/>
          <w:sz w:val="24"/>
          <w:szCs w:val="24"/>
          <w14:ligatures w14:val="none"/>
        </w:rPr>
      </w:r>
    </w:p>
    <w:p>
      <w:pPr>
        <w:ind w:left="-142"/>
        <w:jc w:val="center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К</w:t>
      </w:r>
      <w:bookmarkStart w:id="3" w:name="_GoBack"/>
      <w:r/>
      <w:bookmarkEnd w:id="3"/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  <w:t xml:space="preserve">лого помещения кредита (займа) по договору, обязательства заемщика по которому обеспечены ипотекой, лицам, которые относились к категории детей-сирот и детей, оставшихся без попечения родителей, и достигли возраста 23 лет, или об отказе в ее предоставлении</w:t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p>
      <w:pPr>
        <w:ind w:left="-142"/>
        <w:jc w:val="center"/>
        <w:spacing w:after="0" w:afterAutospacing="0" w:line="240" w:lineRule="auto"/>
        <w:rPr>
          <w:rFonts w:ascii="Times New Roman" w:hAnsi="Times New Roman" w:eastAsia="Calibri" w:cs="Times New Roman"/>
          <w:color w:val="ff0000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color w:val="ff0000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color w:val="ff0000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color w:val="ff0000"/>
          <w:sz w:val="24"/>
          <w:szCs w:val="24"/>
          <w14:ligatures w14:val="none"/>
        </w:rPr>
      </w:r>
    </w:p>
    <w:p>
      <w:pPr>
        <w:ind w:left="-284" w:right="-142"/>
        <w:jc w:val="center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  <w14:ligatures w14:val="none"/>
        </w:rPr>
      </w:pP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  <w:r>
        <w:rPr>
          <w:rFonts w:ascii="Times New Roman" w:hAnsi="Times New Roman" w:eastAsia="Calibri" w:cs="Times New Roman"/>
          <w:sz w:val="24"/>
          <w:szCs w:val="24"/>
          <w14:ligatures w14:val="none"/>
        </w:rPr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185"/>
        <w:gridCol w:w="427"/>
        <w:gridCol w:w="6743"/>
      </w:tblGrid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Пономарев А.В.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заместитель Главы Печенгского муниципального округа, председатель комиссии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Веверица В.А.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заместитель председателя комитета по управлению имуществом администрации Печенгского муниципального округа - начальник отдела управления имуществом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, заместитель председателя комиссии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Головина З.А.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главный специалист сектора по охране прав детей отдела образования администрации Печенгского муниципального округа, секретарь комиссии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Члены комиссии: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Лотышева Л.И.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заместитель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начальник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 отдела образования администрации Печенгского муниципального округа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Долгачева Т.А.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заместитель директора МКУ «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Управление благоустройства и развития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»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 Печенгского муниципального округа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Баковнева Н.Г.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заведующий сектором по охране прав детей отдела образования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администрации Печенгского муниципального округа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Сосина Т.М.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главный специалист сектора правовой работы юридического отдела администрации Печенгского муниципального округа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Мишина Ю.В.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г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лавный специалист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б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юджетн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ого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 отдел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а ф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инансово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го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 управлени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я</w:t>
            </w:r>
            <w: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администрации Печенгского муниципального округа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Дробот Е.С.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с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пециалист 1 категории по работе с населением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о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тдел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 работы с населением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ab/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администрации Печенгского муниципального округа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  <w:tr>
        <w:tblPrEx/>
        <w:trPr/>
        <w:tc>
          <w:tcPr>
            <w:shd w:val="clear" w:color="auto" w:fill="auto"/>
            <w:tcW w:w="116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Федотова Е.В.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228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-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3604" w:type="pc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tabs>
                <w:tab w:val="left" w:pos="1080" w:leader="none"/>
              </w:tabs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с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пециалист 1 категории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о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тдел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 строительства и ЖКХ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  <w:t xml:space="preserve">администрации Печенгского муниципального округа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14:ligatures w14:val="none"/>
              </w:rPr>
            </w:r>
          </w:p>
        </w:tc>
      </w:tr>
    </w:tbl>
    <w:p>
      <w:pPr>
        <w:shd w:val="nil" w:color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79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1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23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95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67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39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1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83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3"/>
    <w:next w:val="833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4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3"/>
    <w:next w:val="833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4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4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3"/>
    <w:next w:val="833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4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4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4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3"/>
    <w:next w:val="833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4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3"/>
    <w:next w:val="833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3"/>
    <w:next w:val="833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4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List Paragraph"/>
    <w:basedOn w:val="833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3"/>
    <w:next w:val="833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4"/>
    <w:link w:val="678"/>
    <w:uiPriority w:val="10"/>
    <w:rPr>
      <w:sz w:val="48"/>
      <w:szCs w:val="48"/>
    </w:rPr>
  </w:style>
  <w:style w:type="paragraph" w:styleId="680">
    <w:name w:val="Subtitle"/>
    <w:basedOn w:val="833"/>
    <w:next w:val="833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4"/>
    <w:link w:val="680"/>
    <w:uiPriority w:val="11"/>
    <w:rPr>
      <w:sz w:val="24"/>
      <w:szCs w:val="24"/>
    </w:rPr>
  </w:style>
  <w:style w:type="paragraph" w:styleId="682">
    <w:name w:val="Quote"/>
    <w:basedOn w:val="833"/>
    <w:next w:val="833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3"/>
    <w:next w:val="833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4"/>
    <w:link w:val="840"/>
    <w:uiPriority w:val="99"/>
  </w:style>
  <w:style w:type="character" w:styleId="687">
    <w:name w:val="Footer Char"/>
    <w:basedOn w:val="834"/>
    <w:link w:val="842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2"/>
    <w:uiPriority w:val="99"/>
  </w:style>
  <w:style w:type="table" w:styleId="690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790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1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2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3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794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5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7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8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9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0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01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2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04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5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6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7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08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9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  <w14:ligatures w14:val="none"/>
    </w:rPr>
  </w:style>
  <w:style w:type="paragraph" w:styleId="838">
    <w:name w:val="Normal (Web)"/>
    <w:basedOn w:val="833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  <w14:ligatures w14:val="none"/>
    </w:rPr>
  </w:style>
  <w:style w:type="character" w:styleId="839">
    <w:name w:val="Hyperlink"/>
    <w:basedOn w:val="834"/>
    <w:uiPriority w:val="99"/>
    <w:semiHidden/>
    <w:unhideWhenUsed/>
    <w:rPr>
      <w:color w:val="0000ff"/>
      <w:u w:val="single"/>
    </w:rPr>
  </w:style>
  <w:style w:type="paragraph" w:styleId="840">
    <w:name w:val="Header"/>
    <w:basedOn w:val="833"/>
    <w:link w:val="84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1" w:customStyle="1">
    <w:name w:val="Верхний колонтитул Знак"/>
    <w:basedOn w:val="834"/>
    <w:link w:val="840"/>
    <w:uiPriority w:val="99"/>
  </w:style>
  <w:style w:type="paragraph" w:styleId="842">
    <w:name w:val="Footer"/>
    <w:basedOn w:val="833"/>
    <w:link w:val="84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3" w:customStyle="1">
    <w:name w:val="Нижний колонтитул Знак"/>
    <w:basedOn w:val="834"/>
    <w:link w:val="842"/>
    <w:uiPriority w:val="99"/>
  </w:style>
  <w:style w:type="paragraph" w:styleId="844">
    <w:name w:val="Balloon Text"/>
    <w:basedOn w:val="833"/>
    <w:link w:val="84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5" w:customStyle="1">
    <w:name w:val="Текст выноски Знак"/>
    <w:basedOn w:val="834"/>
    <w:link w:val="844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login.consultant.ru/link/?req=doc&amp;base=LAW&amp;n=466513&amp;dst=60&amp;field=134&amp;date=02.10.2024" TargetMode="External"/><Relationship Id="rId11" Type="http://schemas.openxmlformats.org/officeDocument/2006/relationships/hyperlink" Target="https://login.consultant.ru/link/?req=doc&amp;base=LAW&amp;n=2875&amp;date=02.10.2024" TargetMode="External"/><Relationship Id="rId12" Type="http://schemas.openxmlformats.org/officeDocument/2006/relationships/hyperlink" Target="https://login.consultant.ru/link/?req=doc&amp;base=LAW&amp;n=466513&amp;dst=171&amp;field=134&amp;date=02.10.202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Головина Зоя Александровна</dc:creator>
  <cp:keywords/>
  <dc:description/>
  <cp:revision>4</cp:revision>
  <dcterms:created xsi:type="dcterms:W3CDTF">2024-10-10T12:41:00Z</dcterms:created>
  <dcterms:modified xsi:type="dcterms:W3CDTF">2024-10-31T08:53:00Z</dcterms:modified>
</cp:coreProperties>
</file>