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28.10.2024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№ 1662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проведении общественных обсуждений (в форме опроса)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на территории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9 Федерального закона от 23.11.1995 № 174-ФЗ </w:t>
      </w:r>
      <w:r>
        <w:rPr>
          <w:sz w:val="24"/>
          <w:szCs w:val="24"/>
        </w:rPr>
        <w:br/>
        <w:t xml:space="preserve">«Об экологической экспертизе», статьей 16 Федерального закона от 06.10.2003 № 131-ФЗ «Об общих принципах организации местного самоуправления в Российской Федерации», постановлением </w:t>
      </w:r>
      <w:bookmarkStart w:id="0" w:name="_Hlk157510370"/>
      <w:r>
        <w:rPr>
          <w:sz w:val="24"/>
          <w:szCs w:val="24"/>
        </w:rPr>
        <w:t xml:space="preserve">администрации муниципального образования Печенгский район Мурманской области </w:t>
      </w:r>
      <w:bookmarkEnd w:id="0"/>
      <w:r>
        <w:rPr>
          <w:sz w:val="24"/>
          <w:szCs w:val="24"/>
        </w:rPr>
        <w:t xml:space="preserve">от 18.12.2012 № 1394 «О</w:t>
      </w:r>
      <w:r>
        <w:rPr>
          <w:sz w:val="24"/>
          <w:szCs w:val="24"/>
        </w:rPr>
        <w:t xml:space="preserve">б утверждении Положения об организации общественного обсуждения и общественных слушаний по вопросам охраны окружающей среды, природопользования и экологической безопасности на территории муниципального образования Печенгский район», на основании заявления </w:t>
      </w:r>
      <w:r>
        <w:rPr>
          <w:sz w:val="24"/>
          <w:szCs w:val="24"/>
        </w:rPr>
        <w:t xml:space="preserve">и.о. генерального директора акционерного общества «Энергосервис Северо-Запада»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А.А. Скворцова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11.10.</w:t>
      </w:r>
      <w:r>
        <w:rPr>
          <w:sz w:val="24"/>
          <w:szCs w:val="24"/>
        </w:rPr>
        <w:t xml:space="preserve">2024 </w:t>
        <w:br/>
        <w:t xml:space="preserve">№ </w:t>
      </w:r>
      <w:r>
        <w:rPr>
          <w:sz w:val="24"/>
          <w:szCs w:val="24"/>
        </w:rPr>
        <w:t xml:space="preserve">1833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 Организовать общественные обсуждения (в форме опроса) объекта государственной экологической экспертизы 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«Реконструкция ВЛ 150 кВ Верхн</w:t>
      </w:r>
      <w:r>
        <w:rPr>
          <w:sz w:val="24"/>
          <w:szCs w:val="24"/>
        </w:rPr>
        <w:t xml:space="preserve">е-Туломская ГЭС-12 - Заполярный №1 (Л-163) и ВЛ 150 кВ Верхне-Туломская ГЭС-12 - Заполярный №2 (Л-164) на пяти участках (в пролетах опор №№78-85, 116-139, 239-243, 300-310, 337-341)», включая предварительные материалы оценки воздействия на окружающую среду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Заказчик работ:</w:t>
      </w:r>
      <w:bookmarkStart w:id="1" w:name="_Hlk179468569"/>
      <w:r>
        <w:rPr>
          <w:rFonts w:ascii="Arial" w:hAnsi="Arial" w:eastAsia="Calibri" w:cs="Arial"/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Публичное акционерное общество «Россети Северо-Запад»</w:t>
      </w:r>
      <w:bookmarkEnd w:id="1"/>
      <w:r>
        <w:rPr>
          <w:sz w:val="24"/>
          <w:szCs w:val="24"/>
        </w:rPr>
        <w:t xml:space="preserve"> (ПАО «Россети Северо-Запад»).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Исполнитель работ по оценке воздействия на окружающую среду: </w:t>
      </w:r>
      <w:bookmarkStart w:id="2" w:name="_Hlk179468581"/>
      <w:r>
        <w:rPr>
          <w:sz w:val="24"/>
          <w:szCs w:val="24"/>
        </w:rPr>
        <w:t xml:space="preserve">Акционерное общество «Энергосервис Северо-Запада» (АО «Энергосервис Северо-Запада»).</w:t>
      </w:r>
      <w:bookmarkEnd w:id="2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Наименование планируемой (намечаемой) хозяйственной и иной деятельности: </w:t>
      </w:r>
      <w:r>
        <w:rPr>
          <w:sz w:val="24"/>
          <w:szCs w:val="24"/>
        </w:rPr>
        <w:t xml:space="preserve">«Реконструкция ВЛ 150 кВ Верхне-Туломская ГЭС-12 - Заполярный №1 (Л-163) и ВЛ 150 кВ Верхне-Туломская ГЭС-12 - Заполярный №2 (Л-164) на пяти участках (в пролетах опор №№78-85, 116-139, 239-243, 300-310, 337-341)».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Цель планируемой (намечаемой) хозяйственной и иной деятельности:</w:t>
      </w:r>
      <w:r>
        <w:rPr>
          <w:rFonts w:ascii="Arial" w:hAnsi="Arial" w:eastAsia="Calibri" w:cs="Arial"/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Обеспечение надёжного электроснабжения потребителей.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Предварительное место реализации планируемой (намечаемой) хозяйственной и иной деятельности: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оссийская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едерация</w:t>
      </w:r>
      <w:r>
        <w:rPr>
          <w:sz w:val="24"/>
          <w:szCs w:val="24"/>
        </w:rPr>
        <w:t xml:space="preserve">, Мурманская область, Печенгский и Кольский район.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Планируемые сроки проведения оценки воздействия на окружающую среду: </w:t>
      </w:r>
      <w:r>
        <w:rPr>
          <w:sz w:val="24"/>
          <w:szCs w:val="24"/>
        </w:rPr>
        <w:t xml:space="preserve">сентябрь 2024 г. - январь 2025 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 Установить продолжительность общественных обсуждений (в форме опроса) с </w:t>
      </w:r>
      <w:r>
        <w:rPr>
          <w:sz w:val="24"/>
          <w:szCs w:val="24"/>
        </w:rPr>
        <w:t xml:space="preserve">01 ноября</w:t>
      </w:r>
      <w:r>
        <w:rPr>
          <w:sz w:val="24"/>
          <w:szCs w:val="24"/>
        </w:rPr>
        <w:t xml:space="preserve"> 2024 года по </w:t>
      </w:r>
      <w:r>
        <w:rPr>
          <w:sz w:val="24"/>
          <w:szCs w:val="24"/>
        </w:rPr>
        <w:t xml:space="preserve">01 декабря</w:t>
      </w:r>
      <w:r>
        <w:rPr>
          <w:sz w:val="24"/>
          <w:szCs w:val="24"/>
        </w:rPr>
        <w:t xml:space="preserve"> 2024 года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По итогам проведения общественных обсуждений составить протокол и разместить </w:t>
      </w:r>
      <w:r>
        <w:rPr>
          <w:color w:val="auto"/>
          <w:sz w:val="24"/>
          <w:szCs w:val="24"/>
        </w:rPr>
        <w:t xml:space="preserve">в сети Интернет </w:t>
      </w:r>
      <w:r>
        <w:rPr>
          <w:sz w:val="24"/>
          <w:szCs w:val="24"/>
        </w:rPr>
        <w:t xml:space="preserve">на официальном сайте </w:t>
      </w:r>
      <w:bookmarkStart w:id="3" w:name="_Hlk157506068"/>
      <w:r>
        <w:rPr>
          <w:sz w:val="24"/>
          <w:szCs w:val="24"/>
        </w:rPr>
        <w:t xml:space="preserve">Печенгского муниципального округа https://pechengamr.gov-murman.ru/ в разделе Главная/Открытая Администрация/Общественные обсуждения (ссылка: https://pechengamr.gov-murman.ru/PublicDiscussion/). </w:t>
      </w:r>
      <w:bookmarkEnd w:id="3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Журнал учета замечаний и предложений общественности, протокол общественных обсуждений в форме опроса, опросные листы направить </w:t>
      </w:r>
      <w:r>
        <w:rPr>
          <w:sz w:val="24"/>
          <w:szCs w:val="24"/>
        </w:rPr>
        <w:t xml:space="preserve">АО «Энергосервис Северо-Запада»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адресу:</w:t>
      </w:r>
      <w:r>
        <w:t xml:space="preserve"> </w:t>
      </w:r>
      <w:r>
        <w:rPr>
          <w:sz w:val="24"/>
          <w:szCs w:val="24"/>
        </w:rPr>
        <w:t xml:space="preserve">196247, г. Санкт-Петербург, площадь Конституции, д.3, литер А.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 xml:space="preserve">email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lang w:val="en-US"/>
        </w:rPr>
        <w:t xml:space="preserve">essz</w:t>
      </w:r>
      <w:r>
        <w:rPr>
          <w:sz w:val="24"/>
          <w:szCs w:val="24"/>
        </w:rPr>
        <w:t xml:space="preserve">@</w:t>
      </w:r>
      <w:r>
        <w:rPr>
          <w:sz w:val="24"/>
          <w:szCs w:val="24"/>
          <w:lang w:val="en-US"/>
        </w:rPr>
        <w:t xml:space="preserve">mrsksevzap</w:t>
      </w:r>
      <w:r>
        <w:rPr>
          <w:sz w:val="24"/>
          <w:szCs w:val="24"/>
        </w:rPr>
        <w:t xml:space="preserve">.</w:t>
      </w:r>
      <w:r>
        <w:rPr>
          <w:sz w:val="24"/>
          <w:szCs w:val="24"/>
          <w:lang w:val="en-US"/>
        </w:rPr>
        <w:t xml:space="preserve">ru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 Утвердить состав комиссии подведения итогов общественных обсуждений (в форме опроса) (далее – комиссия) согласно приложению № 1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 Подведение итогов общественных обсуждений (в форме опроса) поручить комиссии, указанной в пункте 3 настоящего постановления.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5. Разместить опросный лист </w:t>
      </w:r>
      <w:r>
        <w:rPr>
          <w:color w:val="auto"/>
          <w:sz w:val="24"/>
          <w:szCs w:val="24"/>
        </w:rPr>
        <w:t xml:space="preserve">в сети Интернет </w:t>
      </w:r>
      <w:r>
        <w:rPr>
          <w:sz w:val="24"/>
          <w:szCs w:val="24"/>
        </w:rPr>
        <w:t xml:space="preserve">на официальном сайте Печенгского муниципального округа </w:t>
      </w:r>
      <w:hyperlink r:id="rId11" w:tooltip="http://www.pechengamr.gov-murman.ru/" w:history="1">
        <w:r>
          <w:rPr>
            <w:rStyle w:val="865"/>
            <w:color w:val="auto"/>
            <w:sz w:val="24"/>
            <w:szCs w:val="24"/>
            <w:u w:val="none"/>
          </w:rPr>
          <w:t xml:space="preserve">http://www.pechengamr.gov-murman.ru/</w:t>
        </w:r>
      </w:hyperlink>
      <w:r>
        <w:rPr>
          <w:color w:val="auto"/>
        </w:rPr>
        <w:t xml:space="preserve"> </w:t>
      </w:r>
      <w:r>
        <w:rPr>
          <w:rStyle w:val="865"/>
          <w:color w:val="auto"/>
          <w:sz w:val="24"/>
          <w:szCs w:val="24"/>
          <w:u w:val="none"/>
        </w:rPr>
        <w:t xml:space="preserve">в разделе Главная/Открытая Администрация/Общественные обсуждения</w:t>
      </w:r>
      <w:r>
        <w:rPr>
          <w:sz w:val="24"/>
          <w:szCs w:val="24"/>
        </w:rPr>
        <w:t xml:space="preserve"> (ссылка: </w:t>
      </w:r>
      <w:hyperlink r:id="rId12" w:tooltip="https://pechengamr.gov-murman.ru/PublicDiscussion/" w:history="1">
        <w:r>
          <w:rPr>
            <w:rStyle w:val="865"/>
            <w:sz w:val="24"/>
            <w:szCs w:val="24"/>
          </w:rPr>
          <w:t xml:space="preserve">https://pechengamr.gov-murman.ru/PublicDiscussion/</w:t>
        </w:r>
      </w:hyperlink>
      <w:r>
        <w:rPr>
          <w:sz w:val="24"/>
          <w:szCs w:val="24"/>
        </w:rPr>
        <w:t xml:space="preserve">) согласно приложению № 2 к настоящему постановлению.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Рекомендовать АО «Энергосервис Северо-Запада»</w:t>
      </w:r>
      <w:r>
        <w:rPr>
          <w:sz w:val="24"/>
          <w:szCs w:val="24"/>
        </w:rPr>
        <w:t xml:space="preserve"> в срок не позднее чем за 3 календарных дня до начала проведения об</w:t>
      </w:r>
      <w:r>
        <w:rPr>
          <w:sz w:val="24"/>
          <w:szCs w:val="24"/>
        </w:rPr>
        <w:t xml:space="preserve">щественных обсуждений обеспечить информирование общественности и других участников общественных обсуждений по объекту государственной экологической экспертизы проектной документации, включая предварительные материалы оценки воздействия на окружающую среду: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муниципальном уровне – официальный сайт Печенгского муниципального </w:t>
      </w:r>
      <w:r>
        <w:rPr>
          <w:sz w:val="24"/>
          <w:szCs w:val="24"/>
        </w:rPr>
        <w:t xml:space="preserve">округа </w:t>
      </w:r>
      <w:hyperlink r:id="rId13" w:tooltip="https://pechengamr.gov-murman.ru/" w:history="1">
        <w:r>
          <w:rPr>
            <w:rStyle w:val="865"/>
            <w:sz w:val="24"/>
            <w:szCs w:val="24"/>
          </w:rPr>
          <w:t xml:space="preserve">https://pechengamr.gov-murman.ru/</w:t>
        </w:r>
      </w:hyperlink>
      <w:r>
        <w:rPr>
          <w:sz w:val="24"/>
          <w:szCs w:val="24"/>
        </w:rPr>
        <w:t xml:space="preserve"> в разделе Главная/Открытая Администрация/Общественные обсуждения (ссылка: https://pechengamr.gov-murman.ru/PublicDiscussion/);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- на региональном уровне - </w:t>
      </w:r>
      <w:r>
        <w:rPr>
          <w:color w:val="auto"/>
          <w:sz w:val="24"/>
          <w:szCs w:val="24"/>
        </w:rPr>
        <w:t xml:space="preserve">на официальном сайте территориального органа Росприроднадзора (Балтийско-Арктическое межрегиональное управление Росприроднадзора) </w:t>
      </w:r>
      <w:hyperlink r:id="rId14" w:tooltip="https://rpn.gov.ru/regions/51" w:history="1">
        <w:r>
          <w:rPr>
            <w:rStyle w:val="865"/>
            <w:color w:val="auto"/>
            <w:sz w:val="24"/>
            <w:szCs w:val="24"/>
          </w:rPr>
          <w:t xml:space="preserve">https://rpn.gov.ru/regions/51</w:t>
        </w:r>
      </w:hyperlink>
      <w:r>
        <w:rPr>
          <w:color w:val="auto"/>
          <w:sz w:val="24"/>
          <w:szCs w:val="24"/>
        </w:rPr>
        <w:t xml:space="preserve"> и на официальном сайте органа исполнительной власти соответствующего субъекта Российской Федерации в области охраны окружающей среды Министерства природных ресурсов, экологии и рыбного хозяйства Мурманской области </w:t>
      </w:r>
      <w:r>
        <w:rPr>
          <w:color w:val="auto"/>
          <w:sz w:val="24"/>
          <w:szCs w:val="24"/>
          <w:u w:val="single"/>
        </w:rPr>
        <w:t xml:space="preserve"> </w:t>
      </w:r>
      <w:hyperlink r:id="rId15" w:tooltip="https://mpr.gov-murman.ru/" w:history="1">
        <w:r>
          <w:rPr>
            <w:color w:val="auto"/>
            <w:sz w:val="24"/>
            <w:szCs w:val="24"/>
            <w:u w:val="single"/>
          </w:rPr>
          <w:t xml:space="preserve">https://mpr.gov-murman.ru/</w:t>
        </w:r>
      </w:hyperlink>
      <w:r>
        <w:rPr>
          <w:color w:val="auto"/>
          <w:sz w:val="24"/>
          <w:szCs w:val="24"/>
        </w:rPr>
        <w:t xml:space="preserve">;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b/>
          <w:i/>
          <w:color w:val="auto"/>
          <w:sz w:val="24"/>
          <w:szCs w:val="24"/>
        </w:rPr>
      </w:pPr>
      <w:r>
        <w:rPr>
          <w:sz w:val="24"/>
          <w:szCs w:val="24"/>
        </w:rPr>
        <w:t xml:space="preserve">- на федеральном уровне - </w:t>
      </w:r>
      <w:r>
        <w:rPr>
          <w:color w:val="auto"/>
          <w:sz w:val="24"/>
          <w:szCs w:val="24"/>
        </w:rPr>
        <w:t xml:space="preserve">на официальном сайте Росприроднадзора </w:t>
      </w:r>
      <w:r>
        <w:rPr>
          <w:bCs/>
          <w:iCs/>
          <w:color w:val="auto"/>
          <w:sz w:val="24"/>
          <w:szCs w:val="24"/>
          <w:u w:val="single"/>
        </w:rPr>
        <w:t xml:space="preserve">https://rpn.gov.ru.</w:t>
      </w:r>
      <w:r>
        <w:rPr>
          <w:b/>
          <w:i/>
          <w:color w:val="auto"/>
          <w:sz w:val="24"/>
          <w:szCs w:val="24"/>
        </w:rPr>
      </w:r>
      <w:r>
        <w:rPr>
          <w:b/>
          <w:i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- на официальном сайте </w:t>
      </w:r>
      <w:r>
        <w:rPr>
          <w:color w:val="auto"/>
          <w:sz w:val="24"/>
          <w:szCs w:val="24"/>
        </w:rPr>
        <w:t xml:space="preserve">заказчика - 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ПАО «Россети Северо-Запад».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https://rosseti-sz.ru/.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7. Место и сроки доступности объекта общественных обсуждений: ознакомиться с проектной документацией, включая предварительные </w:t>
      </w:r>
      <w:r>
        <w:rPr>
          <w:sz w:val="24"/>
          <w:szCs w:val="24"/>
        </w:rPr>
        <w:t xml:space="preserve">материалы </w:t>
      </w:r>
      <w:r>
        <w:rPr>
          <w:sz w:val="24"/>
          <w:szCs w:val="24"/>
        </w:rPr>
        <w:t xml:space="preserve">оценки воздействия на окружающую среду</w:t>
      </w:r>
      <w:r>
        <w:rPr>
          <w:sz w:val="24"/>
          <w:szCs w:val="24"/>
        </w:rPr>
        <w:t xml:space="preserve">, можно с </w:t>
      </w:r>
      <w:r>
        <w:rPr>
          <w:sz w:val="24"/>
          <w:szCs w:val="24"/>
        </w:rPr>
        <w:t xml:space="preserve">01.11</w:t>
      </w:r>
      <w:r>
        <w:rPr>
          <w:sz w:val="24"/>
          <w:szCs w:val="24"/>
        </w:rPr>
        <w:t xml:space="preserve">.2024 по </w:t>
      </w:r>
      <w:r>
        <w:rPr>
          <w:sz w:val="24"/>
          <w:szCs w:val="24"/>
        </w:rPr>
        <w:t xml:space="preserve">01.12</w:t>
      </w:r>
      <w:r>
        <w:rPr>
          <w:sz w:val="24"/>
          <w:szCs w:val="24"/>
        </w:rPr>
        <w:t xml:space="preserve">.2024</w:t>
      </w:r>
      <w:r>
        <w:rPr>
          <w:sz w:val="24"/>
          <w:szCs w:val="24"/>
        </w:rPr>
        <w:t xml:space="preserve">, а</w:t>
      </w:r>
      <w:r>
        <w:rPr>
          <w:sz w:val="24"/>
          <w:szCs w:val="24"/>
        </w:rPr>
        <w:t xml:space="preserve"> также в течение 10 дней после окончания срока общественных обсуждений с 02.12.2024 по 12.12.2024</w:t>
      </w:r>
      <w:r>
        <w:rPr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в сети Интернет: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- </w:t>
      </w:r>
      <w:r>
        <w:rPr>
          <w:sz w:val="24"/>
          <w:szCs w:val="24"/>
        </w:rPr>
        <w:t xml:space="preserve">на официальном сайте Печенгского муниципального округа https://pechengamr.gov-murman.ru, в разделе Главная/Открытая Администрация/Общественные обсуждения (ссылка: https://pechengamr.g</w:t>
      </w:r>
      <w:r>
        <w:rPr>
          <w:sz w:val="24"/>
          <w:szCs w:val="24"/>
        </w:rPr>
        <w:t xml:space="preserve">ov-murman.ru/PublicDiscussion/).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>
        <w:rPr>
          <w:sz w:val="24"/>
          <w:szCs w:val="24"/>
        </w:rPr>
        <w:t xml:space="preserve">З</w:t>
      </w:r>
      <w:r>
        <w:rPr>
          <w:sz w:val="24"/>
          <w:szCs w:val="24"/>
        </w:rPr>
        <w:t xml:space="preserve">амечания, предложения и комментарии общес</w:t>
      </w:r>
      <w:bookmarkStart w:id="4" w:name="_GoBack"/>
      <w:r/>
      <w:bookmarkEnd w:id="4"/>
      <w:r>
        <w:rPr>
          <w:sz w:val="24"/>
          <w:szCs w:val="24"/>
        </w:rPr>
        <w:t xml:space="preserve">твенности в отношении </w:t>
      </w:r>
      <w:r>
        <w:rPr>
          <w:sz w:val="24"/>
          <w:szCs w:val="24"/>
        </w:rPr>
        <w:t xml:space="preserve">материалов обсуждений, принимаются администрацией Печенгского муниципального округа Мурманской области в письменном виде с </w:t>
      </w:r>
      <w:r>
        <w:rPr>
          <w:sz w:val="24"/>
          <w:szCs w:val="24"/>
        </w:rPr>
        <w:t xml:space="preserve">01.11</w:t>
      </w:r>
      <w:r>
        <w:rPr>
          <w:sz w:val="24"/>
          <w:szCs w:val="24"/>
        </w:rPr>
        <w:t xml:space="preserve">.2024 год по </w:t>
      </w:r>
      <w:r>
        <w:rPr>
          <w:sz w:val="24"/>
          <w:szCs w:val="24"/>
        </w:rPr>
        <w:t xml:space="preserve">01.12</w:t>
      </w:r>
      <w:r>
        <w:rPr>
          <w:sz w:val="24"/>
          <w:szCs w:val="24"/>
        </w:rPr>
        <w:t xml:space="preserve">.2024 года </w:t>
      </w:r>
      <w:r>
        <w:rPr>
          <w:sz w:val="24"/>
          <w:szCs w:val="24"/>
        </w:rPr>
        <w:t xml:space="preserve">и в течение 10 дней после окончания срока общественных обсуждений с 02.12.2024 по 12.12.2024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пометкой «К общественным обсуждениям» по следующим адресам: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посредством почтового отправления по адресу: 1844</w:t>
      </w:r>
      <w:r>
        <w:rPr>
          <w:sz w:val="24"/>
          <w:szCs w:val="24"/>
        </w:rPr>
        <w:t xml:space="preserve">30</w:t>
      </w:r>
      <w:r>
        <w:rPr>
          <w:sz w:val="24"/>
          <w:szCs w:val="24"/>
        </w:rPr>
        <w:t xml:space="preserve">, Мурманская область, Печенгский район, </w:t>
      </w:r>
      <w:r>
        <w:rPr>
          <w:sz w:val="24"/>
          <w:szCs w:val="24"/>
        </w:rPr>
        <w:t xml:space="preserve">г. Заполярный</w:t>
      </w:r>
      <w:r>
        <w:rPr>
          <w:sz w:val="24"/>
          <w:szCs w:val="24"/>
        </w:rPr>
        <w:t xml:space="preserve">, ул. </w:t>
      </w:r>
      <w:r>
        <w:rPr>
          <w:sz w:val="24"/>
          <w:szCs w:val="24"/>
        </w:rPr>
        <w:t xml:space="preserve">Ленина,</w:t>
      </w:r>
      <w:r>
        <w:rPr>
          <w:sz w:val="24"/>
          <w:szCs w:val="24"/>
        </w:rPr>
        <w:t xml:space="preserve"> д.</w:t>
      </w:r>
      <w:r>
        <w:rPr>
          <w:sz w:val="24"/>
          <w:szCs w:val="24"/>
        </w:rPr>
        <w:t xml:space="preserve"> 6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электронную почту:</w:t>
      </w:r>
      <w:bookmarkStart w:id="5" w:name="_Hlk157505793"/>
      <w:r>
        <w:rPr>
          <w:sz w:val="24"/>
          <w:szCs w:val="24"/>
        </w:rPr>
        <w:t xml:space="preserve"> </w:t>
      </w:r>
      <w:bookmarkEnd w:id="5"/>
      <w:r>
        <w:rPr>
          <w:sz w:val="24"/>
          <w:szCs w:val="24"/>
        </w:rPr>
        <w:t xml:space="preserve"> </w:t>
      </w:r>
      <w:hyperlink r:id="rId16" w:tooltip="mailto:adm_pech@mail.ru" w:history="1">
        <w:r>
          <w:rPr>
            <w:rStyle w:val="865"/>
            <w:sz w:val="24"/>
            <w:szCs w:val="24"/>
          </w:rPr>
          <w:t xml:space="preserve">adm_pech@mail.ru</w:t>
        </w:r>
      </w:hyperlink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электронную почту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essz@rosseti-sz.ru</w:t>
      </w:r>
      <w:r>
        <w:rPr>
          <w:sz w:val="24"/>
          <w:szCs w:val="24"/>
        </w:rPr>
        <w:t xml:space="preserve"> 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9.Форма проведения общественных обсуждений: опрос.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Форма сбора замечаний и предложений – письменная.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Прием опросных листов осуществляется в течение всего срока общественных обсуждений с 01.11.2024. по 01.12.</w:t>
      </w:r>
      <w:r>
        <w:rPr>
          <w:sz w:val="24"/>
          <w:szCs w:val="24"/>
        </w:rPr>
        <w:t xml:space="preserve">2024: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на бумажном носителе по адресу: </w:t>
      </w:r>
      <w:r>
        <w:rPr>
          <w:sz w:val="24"/>
          <w:szCs w:val="24"/>
        </w:rPr>
        <w:t xml:space="preserve">184430, Мурманская область, </w:t>
      </w:r>
      <w:r>
        <w:rPr>
          <w:sz w:val="24"/>
          <w:szCs w:val="24"/>
        </w:rPr>
        <w:t xml:space="preserve">г. Заполярный, ул. Ленина, 6 (Администрация Печенгского муниципального округа Мурманской области);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в электронном виде по адресу электронной почты: adm_pech@mail.ru. (Администрация Печенгского муниципального округа Мурманской области);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 в электронном виде по адресу электронной почты: essz@rosseti-sz.ru (АО «Энергосервис Северо-Запада»).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Замечания, комментарии и предложения общественности также можно оставлять в «Журнале учета замечаний и предложений общественности», который размещен по адресу: </w:t>
      </w:r>
      <w:r>
        <w:rPr>
          <w:sz w:val="24"/>
          <w:szCs w:val="24"/>
        </w:rPr>
        <w:t xml:space="preserve">184430, Мурманская область, </w:t>
      </w:r>
      <w:r>
        <w:rPr>
          <w:sz w:val="24"/>
          <w:szCs w:val="24"/>
        </w:rPr>
        <w:t xml:space="preserve">г. Заполярный, ул. Ленина, 6 (Администрация Печенгского муниципального округа Мурманской области</w:t>
      </w:r>
      <w:bookmarkStart w:id="6" w:name="_Hlk180401382"/>
      <w:r>
        <w:rPr>
          <w:sz w:val="24"/>
          <w:szCs w:val="24"/>
        </w:rPr>
        <w:t xml:space="preserve">, время работы: понедельник-пятница с 09-00 до 17-00 часов (обед с 13-00 до 14-00, тел. 8 (81554) 6-32-31</w:t>
      </w:r>
      <w:r>
        <w:rPr>
          <w:sz w:val="24"/>
          <w:szCs w:val="24"/>
        </w:rPr>
        <w:t xml:space="preserve">).</w:t>
      </w:r>
      <w:bookmarkEnd w:id="6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Прием замечаний и предложений общественности осуществляется в течение всего срока общественных обсуждений с 01.11.2024 по 01.12.2024, а также и в течение 10 дней после окончания срока общественных обсуждений с 02.12.2024 по 12.12.</w:t>
      </w:r>
      <w:r>
        <w:rPr>
          <w:sz w:val="24"/>
          <w:szCs w:val="24"/>
        </w:rPr>
        <w:t xml:space="preserve">2024.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10.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11. 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12. Контроль за исполнением настоящего постановления возложить на заместителя Главы Печенгского муниципального округа А.В. Пономарева.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Печенгского муниципального округа </w:t>
        <w:tab/>
        <w:tab/>
        <w:tab/>
        <w:tab/>
        <w:tab/>
        <w:t xml:space="preserve">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Щукина Л.Я., 60718</w:t>
      </w:r>
      <w:r/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28.10.2024</w:t>
      </w:r>
      <w:r>
        <w:rPr>
          <w:sz w:val="24"/>
          <w:szCs w:val="24"/>
        </w:rPr>
        <w:t xml:space="preserve"> № 1662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комиссии по подведению итогов общественных обсуждений (в форме опроса)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2298"/>
        <w:gridCol w:w="348"/>
        <w:gridCol w:w="6459"/>
      </w:tblGrid>
      <w:tr>
        <w:tblPrEx/>
        <w:trPr>
          <w:trHeight w:val="782"/>
        </w:trPr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Андрей Валерьевич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Печенгского муниципального округа,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Стрелкова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Татьяна Игоревна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highlight w:val="red"/>
              </w:rPr>
            </w:pPr>
            <w:r/>
            <w:bookmarkStart w:id="7" w:name="_Hlk157505759"/>
            <w:r>
              <w:rPr>
                <w:sz w:val="24"/>
                <w:szCs w:val="24"/>
              </w:rPr>
              <w:t xml:space="preserve">Заведующий</w:t>
            </w:r>
            <w:r>
              <w:rPr>
                <w:sz w:val="24"/>
                <w:szCs w:val="24"/>
              </w:rPr>
              <w:t xml:space="preserve"> сектор</w:t>
            </w:r>
            <w:r>
              <w:rPr>
                <w:sz w:val="24"/>
                <w:szCs w:val="24"/>
              </w:rPr>
              <w:t xml:space="preserve">ом</w:t>
            </w:r>
            <w:r>
              <w:rPr>
                <w:sz w:val="24"/>
                <w:szCs w:val="24"/>
              </w:rPr>
              <w:t xml:space="preserve"> правовой работы юридического отдела администрации Печенгского муниципального округа, секретарь комиссии;</w:t>
            </w:r>
            <w:bookmarkEnd w:id="7"/>
            <w:r>
              <w:rPr>
                <w:sz w:val="24"/>
                <w:szCs w:val="24"/>
                <w:highlight w:val="red"/>
              </w:rPr>
            </w:r>
            <w:r>
              <w:rPr>
                <w:sz w:val="24"/>
                <w:szCs w:val="24"/>
                <w:highlight w:val="red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Лаврущик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Светлана Сергеевна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по управлению имуществом администрации Печенгского муниципального округа;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Жулидова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Натали</w:t>
            </w:r>
            <w:r>
              <w:rPr>
                <w:sz w:val="24"/>
                <w:szCs w:val="24"/>
              </w:rPr>
              <w:t xml:space="preserve">я Юрьевна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строительства и ЖКХ администрации Печенгского муниципального округа;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Олейник Михаил Александрович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директора по инвестиционной деятельности Мурманского филиала ПАО «Россети Северо-Запад»;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Гаюнов Сергей Борисович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по проектированию АО «Энергосервис Северо-Запада»;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2364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Галахов Дмитрий Николаевич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062" w:type="dxa"/>
            <w:textDirection w:val="lrTb"/>
            <w:noWrap w:val="false"/>
          </w:tcPr>
          <w:p>
            <w:pPr>
              <w:pStyle w:val="864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Группы подготовки и сопровождения проектов АО «Энергосервис Северо-Запада».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widowControl w:val="off"/>
        <w:rPr>
          <w:sz w:val="25"/>
          <w:szCs w:val="25"/>
        </w:rPr>
      </w:pPr>
      <w:r>
        <w:rPr>
          <w:sz w:val="25"/>
          <w:szCs w:val="25"/>
        </w:rPr>
      </w: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spacing w:after="200" w:line="276" w:lineRule="auto"/>
        <w:rPr>
          <w:sz w:val="25"/>
          <w:szCs w:val="25"/>
        </w:rPr>
      </w:pPr>
      <w:r>
        <w:rPr>
          <w:sz w:val="25"/>
          <w:szCs w:val="25"/>
        </w:rPr>
        <w:br w:type="page" w:clear="all"/>
      </w:r>
      <w:r>
        <w:rPr>
          <w:sz w:val="25"/>
          <w:szCs w:val="25"/>
        </w:rPr>
      </w:r>
      <w:r>
        <w:rPr>
          <w:sz w:val="25"/>
          <w:szCs w:val="25"/>
        </w:rPr>
      </w:r>
    </w:p>
    <w:p>
      <w:pPr>
        <w:ind w:left="5529"/>
        <w:jc w:val="both"/>
        <w:widowControl w:val="off"/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28.10.2024</w:t>
      </w:r>
      <w:r>
        <w:rPr>
          <w:sz w:val="24"/>
          <w:szCs w:val="24"/>
        </w:rPr>
        <w:t xml:space="preserve"> № 1662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center"/>
        <w:widowControl w:val="off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Администрация Печенгского муниципального округа Мурманской области</w: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(наименование органа муниципального образования)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Опросный лист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изучению общественного мнения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при проведении общественных обсуждений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проектной документации по объекту государственной экологической экспертизы «Реконструкция ВЛ 150 кВ Верхн</w:t>
      </w:r>
      <w:r>
        <w:rPr>
          <w:sz w:val="28"/>
          <w:szCs w:val="28"/>
        </w:rPr>
        <w:t xml:space="preserve">е-Туломская ГЭС-12 - Заполярный №1 (Л-163) и ВЛ 150 кВ Верхне-Туломская ГЭС-12 - Заполярный №2 (Л-164) на пяти участках (в пролетах опор №№78-85, 116-139, 239-243, 300-310, 337-341)», включая предварительные материалы оценки воздействия на окружающую среду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Срок проведения общественных обсуждений в форме опроса: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 «01» ноября 2024 года по «01» декабря 2024 года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Style w:val="871"/>
        <w:tblW w:w="9776" w:type="dxa"/>
        <w:tblLook w:val="04A0" w:firstRow="1" w:lastRow="0" w:firstColumn="1" w:lastColumn="0" w:noHBand="0" w:noVBand="1"/>
      </w:tblPr>
      <w:tblGrid>
        <w:gridCol w:w="9776"/>
      </w:tblGrid>
      <w:tr>
        <w:tblPrEx/>
        <w:trPr/>
        <w:tc>
          <w:tcPr>
            <w:tcW w:w="9776" w:type="dxa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Чтобы ответить на вопросы данного опросного листа, необходимо пометить соответствующие пункты клетки «галочками».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hanging="70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1. Фамилия, имя, отчество____________________________________________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2. Место жительства, адрес___________________________________________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3. Род занятий______________________________________________________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4. Контактные данные (номер телефона) 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5. Наименование организации, адрес, телефон 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/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      (заполняется в случае, если участник опроса представляет организацию)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contextualSpacing/>
        <w:ind w:firstLine="709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6. Вопросы, выносимые на общественные обсуждения: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Style w:val="871"/>
        <w:tblW w:w="9777" w:type="dxa"/>
        <w:tblLook w:val="04A0" w:firstRow="1" w:lastRow="0" w:firstColumn="1" w:lastColumn="0" w:noHBand="0" w:noVBand="1"/>
      </w:tblPr>
      <w:tblGrid>
        <w:gridCol w:w="988"/>
        <w:gridCol w:w="5953"/>
        <w:gridCol w:w="1276"/>
        <w:gridCol w:w="1560"/>
      </w:tblGrid>
      <w:tr>
        <w:tblPrEx/>
        <w:trPr/>
        <w:tc>
          <w:tcPr>
            <w:tcW w:w="988" w:type="dxa"/>
            <w:vMerge w:val="restart"/>
            <w:textDirection w:val="lrTb"/>
            <w:noWrap w:val="false"/>
          </w:tcPr>
          <w:p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№ п/п</w:t>
            </w: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5953" w:type="dxa"/>
            <w:vMerge w:val="restart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Вопрос</w:t>
            </w: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gridSpan w:val="2"/>
            <w:tcW w:w="2836" w:type="dxa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Варианты ответа</w:t>
            </w: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</w:p>
        </w:tc>
      </w:tr>
      <w:tr>
        <w:tblPrEx/>
        <w:trPr/>
        <w:tc>
          <w:tcPr>
            <w:tcW w:w="988" w:type="dxa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5953" w:type="dxa"/>
            <w:vMerge w:val="continue"/>
            <w:textDirection w:val="lrTb"/>
            <w:noWrap w:val="false"/>
          </w:tcPr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«Да»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«Нет»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5953" w:type="dxa"/>
            <w:textDirection w:val="lrTb"/>
            <w:noWrap w:val="false"/>
          </w:tcPr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Ознакомились ли Вы с документацией, выносимой на общественные обсуждения?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5953" w:type="dxa"/>
            <w:textDirection w:val="lrTb"/>
            <w:noWrap w:val="false"/>
          </w:tcPr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Считаете ли Вы, что информация о планируемой деятельности представлена                    в достаточном объеме?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5953" w:type="dxa"/>
            <w:textDirection w:val="lrTb"/>
            <w:noWrap w:val="false"/>
          </w:tcPr>
          <w:p>
            <w:pPr>
              <w:spacing w:after="160" w:line="259" w:lineRule="auto"/>
              <w:rPr>
                <w:rFonts w:eastAsia="Calibri"/>
                <w:color w:val="auto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Считаете ли Вы, что, представленная документация, в полной мере позволяет оценить воздействие на окружающую среду </w:t>
            </w:r>
            <w:r>
              <w:rPr>
                <w:rFonts w:eastAsia="Calibri"/>
                <w:color w:val="auto"/>
                <w:sz w:val="28"/>
                <w:szCs w:val="28"/>
                <w:lang w:eastAsia="en-US"/>
              </w:rPr>
              <w:t xml:space="preserve">объекта государственной экологической экспертизы?</w:t>
            </w:r>
            <w:r>
              <w:rPr>
                <w:rFonts w:eastAsia="Calibri"/>
                <w:color w:val="auto"/>
                <w:sz w:val="28"/>
                <w:szCs w:val="28"/>
                <w:lang w:eastAsia="en-US"/>
              </w:rPr>
            </w:r>
            <w:r>
              <w:rPr>
                <w:rFonts w:eastAsia="Calibri"/>
                <w:color w:val="auto"/>
                <w:sz w:val="28"/>
                <w:szCs w:val="28"/>
                <w:lang w:eastAsia="en-US"/>
              </w:rPr>
            </w:r>
          </w:p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/>
        <w:tc>
          <w:tcPr>
            <w:tcW w:w="988" w:type="dxa"/>
            <w:textDirection w:val="lrTb"/>
            <w:noWrap w:val="false"/>
          </w:tcPr>
          <w:p>
            <w:pPr>
              <w:jc w:val="center"/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5953" w:type="dxa"/>
            <w:textDirection w:val="lrTb"/>
            <w:noWrap w:val="false"/>
          </w:tcPr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Есть ли у Вас предложения и комментарии                 к документации, выносимой на общественные обсуждения?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Предложения и комментарии к вынесенной на обсуждение документации (заполняется при ответе «Да» на вопрос №4):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</w:t>
      </w: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«___» _________ 2024 г.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/>
        <w:ind w:left="1069" w:hanging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опрашиваемого</w:t>
      </w:r>
      <w:r>
        <w:rPr>
          <w:sz w:val="28"/>
          <w:szCs w:val="28"/>
          <w:vertAlign w:val="superscript"/>
        </w:rPr>
        <w:t xml:space="preserve">*</w:t>
      </w:r>
      <w:r>
        <w:rPr>
          <w:sz w:val="28"/>
          <w:szCs w:val="28"/>
        </w:rPr>
        <w:t xml:space="preserve">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/>
        <w:ind w:left="1069" w:hanging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представителя заказчика 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/>
        <w:ind w:left="1069" w:hanging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представителя органа местного самоуправления 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</w:pPr>
      <w:r/>
      <w:r/>
    </w:p>
    <w:p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сбора опросных листов: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бумажном носителе по адресу: 184430, Мурманская область, г. Заполярный, ул. Ленина, 6 (Администрация Печенгского муниципального округа Мурманской области);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электронном виде по адресу электронной почты: adm_pech@mail.ru. (Администрация Печенгского муниципального округа Мурманской области);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электронном виде по адресу электронной почты: essz@rosseti-sz.ru (АО «Энергосервис Северо-Запада»).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/>
        <w:jc w:val="both"/>
        <w:rPr>
          <w:vertAlign w:val="superscript"/>
        </w:rPr>
      </w:pPr>
      <w:r>
        <w:rPr>
          <w:vertAlign w:val="superscript"/>
        </w:rPr>
      </w:r>
      <w:r>
        <w:rPr>
          <w:vertAlign w:val="superscript"/>
        </w:rPr>
      </w:r>
      <w:r>
        <w:rPr>
          <w:vertAlign w:val="superscript"/>
        </w:rPr>
      </w:r>
    </w:p>
    <w:p>
      <w:pPr>
        <w:contextualSpacing/>
        <w:jc w:val="both"/>
      </w:pPr>
      <w:r>
        <w:rPr>
          <w:vertAlign w:val="superscript"/>
        </w:rPr>
        <w:t xml:space="preserve">*</w:t>
      </w:r>
      <w:r>
        <w:t xml:space="preserve">Подписывая настоящий опросный лист я соглашаюсь на обработку (хранение, передачу) моих персональных данных, указанных в настоящем опросном листе в соответствии с Федеральным законом </w:t>
      </w:r>
      <w:r>
        <w:br/>
        <w:t xml:space="preserve">от 27.07.2006 №152-ФЗ «О персональных данных» и исключительно в целях соблюдения моих прав в части проведения государственной экологической экспертизы указанной в настоящем опросном листе документации в соответствии с Требованиями</w:t>
      </w:r>
      <w:r>
        <w:rPr>
          <w:bCs/>
          <w:iCs/>
        </w:rPr>
        <w:t xml:space="preserve"> к материалам оценки воздействия на окружающую среду, утвержденными  приказом Минприроды России от 01.12.2020 №999. </w:t>
      </w:r>
      <w:r/>
    </w:p>
    <w:p>
      <w:pPr>
        <w:ind w:firstLine="709"/>
        <w:jc w:val="both"/>
        <w:shd w:val="clear" w:color="auto" w:fill="ffff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shd w:val="nil" w:color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42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/>
      <w:suff w:val="tab"/>
      <w:lvlText w:val="%1.%2"/>
      <w:lvlJc w:val="left"/>
      <w:pPr>
        <w:ind w:left="750" w:hanging="390"/>
      </w:p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</w:lvl>
    <w:lvl w:ilvl="5">
      <w:start w:val="1"/>
      <w:numFmt w:val="decimal"/>
      <w:isLgl/>
      <w:suff w:val="tab"/>
      <w:lvlText w:val="%1.%2.%3.%4.%5.%6"/>
      <w:lvlJc w:val="left"/>
      <w:pPr>
        <w:ind w:left="1800" w:hanging="1440"/>
      </w:p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suff w:val="tab"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3"/>
    <w:link w:val="684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3"/>
    <w:link w:val="685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3"/>
    <w:link w:val="686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5 Char"/>
    <w:basedOn w:val="693"/>
    <w:link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671">
    <w:name w:val="Heading 6 Char"/>
    <w:basedOn w:val="693"/>
    <w:link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672">
    <w:name w:val="Heading 7 Char"/>
    <w:basedOn w:val="693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8 Char"/>
    <w:basedOn w:val="693"/>
    <w:link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674">
    <w:name w:val="Heading 9 Char"/>
    <w:basedOn w:val="693"/>
    <w:link w:val="692"/>
    <w:uiPriority w:val="9"/>
    <w:rPr>
      <w:rFonts w:ascii="Arial" w:hAnsi="Arial" w:eastAsia="Arial" w:cs="Arial"/>
      <w:i/>
      <w:iCs/>
      <w:sz w:val="21"/>
      <w:szCs w:val="21"/>
    </w:rPr>
  </w:style>
  <w:style w:type="character" w:styleId="675">
    <w:name w:val="Title Char"/>
    <w:basedOn w:val="693"/>
    <w:link w:val="706"/>
    <w:uiPriority w:val="10"/>
    <w:rPr>
      <w:sz w:val="48"/>
      <w:szCs w:val="48"/>
    </w:rPr>
  </w:style>
  <w:style w:type="character" w:styleId="676">
    <w:name w:val="Subtitle Char"/>
    <w:basedOn w:val="693"/>
    <w:link w:val="708"/>
    <w:uiPriority w:val="11"/>
    <w:rPr>
      <w:sz w:val="24"/>
      <w:szCs w:val="24"/>
    </w:rPr>
  </w:style>
  <w:style w:type="character" w:styleId="677">
    <w:name w:val="Quote Char"/>
    <w:link w:val="710"/>
    <w:uiPriority w:val="29"/>
    <w:rPr>
      <w:i/>
    </w:rPr>
  </w:style>
  <w:style w:type="character" w:styleId="678">
    <w:name w:val="Intense Quote Char"/>
    <w:link w:val="712"/>
    <w:uiPriority w:val="30"/>
    <w:rPr>
      <w:i/>
    </w:rPr>
  </w:style>
  <w:style w:type="character" w:styleId="679">
    <w:name w:val="Header Char"/>
    <w:basedOn w:val="693"/>
    <w:link w:val="714"/>
    <w:uiPriority w:val="99"/>
  </w:style>
  <w:style w:type="character" w:styleId="680">
    <w:name w:val="Caption Char"/>
    <w:basedOn w:val="718"/>
    <w:link w:val="716"/>
    <w:uiPriority w:val="99"/>
  </w:style>
  <w:style w:type="character" w:styleId="681">
    <w:name w:val="Footnote Text Char"/>
    <w:link w:val="845"/>
    <w:uiPriority w:val="99"/>
    <w:rPr>
      <w:sz w:val="18"/>
    </w:rPr>
  </w:style>
  <w:style w:type="character" w:styleId="682">
    <w:name w:val="Endnote Text Char"/>
    <w:link w:val="848"/>
    <w:uiPriority w:val="99"/>
    <w:rPr>
      <w:sz w:val="20"/>
    </w:rPr>
  </w:style>
  <w:style w:type="paragraph" w:styleId="68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84">
    <w:name w:val="Heading 1"/>
    <w:basedOn w:val="683"/>
    <w:next w:val="683"/>
    <w:link w:val="69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5">
    <w:name w:val="Heading 2"/>
    <w:basedOn w:val="683"/>
    <w:next w:val="683"/>
    <w:link w:val="69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6">
    <w:name w:val="Heading 3"/>
    <w:basedOn w:val="683"/>
    <w:next w:val="683"/>
    <w:link w:val="69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7">
    <w:name w:val="Heading 4"/>
    <w:basedOn w:val="683"/>
    <w:next w:val="683"/>
    <w:link w:val="862"/>
    <w:qFormat/>
    <w:pPr>
      <w:ind w:firstLine="709"/>
      <w:keepNext/>
      <w:outlineLvl w:val="3"/>
    </w:pPr>
    <w:rPr>
      <w:sz w:val="28"/>
    </w:rPr>
  </w:style>
  <w:style w:type="paragraph" w:styleId="688">
    <w:name w:val="Heading 5"/>
    <w:basedOn w:val="683"/>
    <w:next w:val="683"/>
    <w:link w:val="70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9">
    <w:name w:val="Heading 6"/>
    <w:basedOn w:val="683"/>
    <w:next w:val="683"/>
    <w:link w:val="70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0">
    <w:name w:val="Heading 7"/>
    <w:basedOn w:val="683"/>
    <w:next w:val="68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1">
    <w:name w:val="Heading 8"/>
    <w:basedOn w:val="683"/>
    <w:next w:val="683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2">
    <w:name w:val="Heading 9"/>
    <w:basedOn w:val="683"/>
    <w:next w:val="683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 w:default="1">
    <w:name w:val="Default Paragraph Font"/>
    <w:uiPriority w:val="1"/>
    <w:semiHidden/>
    <w:unhideWhenUsed/>
  </w:style>
  <w:style w:type="table" w:styleId="6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5" w:default="1">
    <w:name w:val="No List"/>
    <w:uiPriority w:val="99"/>
    <w:semiHidden/>
    <w:unhideWhenUsed/>
  </w:style>
  <w:style w:type="character" w:styleId="696" w:customStyle="1">
    <w:name w:val="Заголовок 1 Знак"/>
    <w:basedOn w:val="693"/>
    <w:link w:val="684"/>
    <w:uiPriority w:val="9"/>
    <w:rPr>
      <w:rFonts w:ascii="Arial" w:hAnsi="Arial" w:eastAsia="Arial" w:cs="Arial"/>
      <w:sz w:val="40"/>
      <w:szCs w:val="40"/>
    </w:rPr>
  </w:style>
  <w:style w:type="character" w:styleId="697" w:customStyle="1">
    <w:name w:val="Заголовок 2 Знак"/>
    <w:basedOn w:val="693"/>
    <w:link w:val="685"/>
    <w:uiPriority w:val="9"/>
    <w:rPr>
      <w:rFonts w:ascii="Arial" w:hAnsi="Arial" w:eastAsia="Arial" w:cs="Arial"/>
      <w:sz w:val="34"/>
    </w:rPr>
  </w:style>
  <w:style w:type="character" w:styleId="698" w:customStyle="1">
    <w:name w:val="Заголовок 3 Знак"/>
    <w:basedOn w:val="693"/>
    <w:link w:val="686"/>
    <w:uiPriority w:val="9"/>
    <w:rPr>
      <w:rFonts w:ascii="Arial" w:hAnsi="Arial" w:eastAsia="Arial" w:cs="Arial"/>
      <w:sz w:val="30"/>
      <w:szCs w:val="30"/>
    </w:rPr>
  </w:style>
  <w:style w:type="character" w:styleId="699" w:customStyle="1">
    <w:name w:val="Heading 4 Char"/>
    <w:basedOn w:val="693"/>
    <w:uiPriority w:val="9"/>
    <w:rPr>
      <w:rFonts w:ascii="Arial" w:hAnsi="Arial" w:eastAsia="Arial" w:cs="Arial"/>
      <w:b/>
      <w:bCs/>
      <w:sz w:val="26"/>
      <w:szCs w:val="26"/>
    </w:rPr>
  </w:style>
  <w:style w:type="character" w:styleId="700" w:customStyle="1">
    <w:name w:val="Заголовок 5 Знак"/>
    <w:basedOn w:val="693"/>
    <w:link w:val="688"/>
    <w:uiPriority w:val="9"/>
    <w:rPr>
      <w:rFonts w:ascii="Arial" w:hAnsi="Arial" w:eastAsia="Arial" w:cs="Arial"/>
      <w:b/>
      <w:bCs/>
      <w:sz w:val="24"/>
      <w:szCs w:val="24"/>
    </w:rPr>
  </w:style>
  <w:style w:type="character" w:styleId="701" w:customStyle="1">
    <w:name w:val="Заголовок 6 Знак"/>
    <w:basedOn w:val="693"/>
    <w:link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702" w:customStyle="1">
    <w:name w:val="Заголовок 7 Знак"/>
    <w:basedOn w:val="693"/>
    <w:link w:val="6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3" w:customStyle="1">
    <w:name w:val="Заголовок 8 Знак"/>
    <w:basedOn w:val="693"/>
    <w:link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704" w:customStyle="1">
    <w:name w:val="Заголовок 9 Знак"/>
    <w:basedOn w:val="693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No Spacing"/>
    <w:uiPriority w:val="1"/>
    <w:qFormat/>
    <w:pPr>
      <w:spacing w:after="0" w:line="240" w:lineRule="auto"/>
    </w:pPr>
  </w:style>
  <w:style w:type="paragraph" w:styleId="706">
    <w:name w:val="Title"/>
    <w:basedOn w:val="683"/>
    <w:next w:val="683"/>
    <w:link w:val="70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7" w:customStyle="1">
    <w:name w:val="Название Знак"/>
    <w:basedOn w:val="693"/>
    <w:link w:val="706"/>
    <w:uiPriority w:val="10"/>
    <w:rPr>
      <w:sz w:val="48"/>
      <w:szCs w:val="48"/>
    </w:rPr>
  </w:style>
  <w:style w:type="paragraph" w:styleId="708">
    <w:name w:val="Subtitle"/>
    <w:basedOn w:val="683"/>
    <w:next w:val="683"/>
    <w:link w:val="709"/>
    <w:uiPriority w:val="11"/>
    <w:qFormat/>
    <w:pPr>
      <w:spacing w:before="200" w:after="200"/>
    </w:pPr>
    <w:rPr>
      <w:sz w:val="24"/>
      <w:szCs w:val="24"/>
    </w:rPr>
  </w:style>
  <w:style w:type="character" w:styleId="709" w:customStyle="1">
    <w:name w:val="Подзаголовок Знак"/>
    <w:basedOn w:val="693"/>
    <w:link w:val="708"/>
    <w:uiPriority w:val="11"/>
    <w:rPr>
      <w:sz w:val="24"/>
      <w:szCs w:val="24"/>
    </w:rPr>
  </w:style>
  <w:style w:type="paragraph" w:styleId="710">
    <w:name w:val="Quote"/>
    <w:basedOn w:val="683"/>
    <w:next w:val="683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3"/>
    <w:next w:val="683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3"/>
    <w:link w:val="71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3"/>
    <w:link w:val="714"/>
    <w:uiPriority w:val="99"/>
  </w:style>
  <w:style w:type="paragraph" w:styleId="716">
    <w:name w:val="Footer"/>
    <w:basedOn w:val="683"/>
    <w:link w:val="71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3"/>
    <w:uiPriority w:val="99"/>
  </w:style>
  <w:style w:type="paragraph" w:styleId="718">
    <w:name w:val="Caption"/>
    <w:basedOn w:val="683"/>
    <w:next w:val="6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1">
    <w:name w:val="Plain Table 1"/>
    <w:basedOn w:val="694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>
    <w:name w:val="List Table 1 Light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ned - Accent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3"/>
    <w:link w:val="846"/>
    <w:uiPriority w:val="99"/>
    <w:semiHidden/>
    <w:unhideWhenUsed/>
    <w:pPr>
      <w:spacing w:after="40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3"/>
    <w:uiPriority w:val="99"/>
    <w:unhideWhenUsed/>
    <w:rPr>
      <w:vertAlign w:val="superscript"/>
    </w:rPr>
  </w:style>
  <w:style w:type="paragraph" w:styleId="848">
    <w:name w:val="endnote text"/>
    <w:basedOn w:val="683"/>
    <w:link w:val="849"/>
    <w:uiPriority w:val="99"/>
    <w:semiHidden/>
    <w:unhideWhenUsed/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3"/>
    <w:uiPriority w:val="99"/>
    <w:semiHidden/>
    <w:unhideWhenUsed/>
    <w:rPr>
      <w:vertAlign w:val="superscript"/>
    </w:rPr>
  </w:style>
  <w:style w:type="paragraph" w:styleId="851">
    <w:name w:val="toc 1"/>
    <w:basedOn w:val="683"/>
    <w:next w:val="683"/>
    <w:uiPriority w:val="39"/>
    <w:unhideWhenUsed/>
    <w:pPr>
      <w:spacing w:after="57"/>
    </w:pPr>
  </w:style>
  <w:style w:type="paragraph" w:styleId="852">
    <w:name w:val="toc 2"/>
    <w:basedOn w:val="683"/>
    <w:next w:val="683"/>
    <w:uiPriority w:val="39"/>
    <w:unhideWhenUsed/>
    <w:pPr>
      <w:ind w:left="283"/>
      <w:spacing w:after="57"/>
    </w:pPr>
  </w:style>
  <w:style w:type="paragraph" w:styleId="853">
    <w:name w:val="toc 3"/>
    <w:basedOn w:val="683"/>
    <w:next w:val="683"/>
    <w:uiPriority w:val="39"/>
    <w:unhideWhenUsed/>
    <w:pPr>
      <w:ind w:left="567"/>
      <w:spacing w:after="57"/>
    </w:pPr>
  </w:style>
  <w:style w:type="paragraph" w:styleId="854">
    <w:name w:val="toc 4"/>
    <w:basedOn w:val="683"/>
    <w:next w:val="683"/>
    <w:uiPriority w:val="39"/>
    <w:unhideWhenUsed/>
    <w:pPr>
      <w:ind w:left="850"/>
      <w:spacing w:after="57"/>
    </w:pPr>
  </w:style>
  <w:style w:type="paragraph" w:styleId="855">
    <w:name w:val="toc 5"/>
    <w:basedOn w:val="683"/>
    <w:next w:val="683"/>
    <w:uiPriority w:val="39"/>
    <w:unhideWhenUsed/>
    <w:pPr>
      <w:ind w:left="1134"/>
      <w:spacing w:after="57"/>
    </w:pPr>
  </w:style>
  <w:style w:type="paragraph" w:styleId="856">
    <w:name w:val="toc 6"/>
    <w:basedOn w:val="683"/>
    <w:next w:val="683"/>
    <w:uiPriority w:val="39"/>
    <w:unhideWhenUsed/>
    <w:pPr>
      <w:ind w:left="1417"/>
      <w:spacing w:after="57"/>
    </w:pPr>
  </w:style>
  <w:style w:type="paragraph" w:styleId="857">
    <w:name w:val="toc 7"/>
    <w:basedOn w:val="683"/>
    <w:next w:val="683"/>
    <w:uiPriority w:val="39"/>
    <w:unhideWhenUsed/>
    <w:pPr>
      <w:ind w:left="1701"/>
      <w:spacing w:after="57"/>
    </w:pPr>
  </w:style>
  <w:style w:type="paragraph" w:styleId="858">
    <w:name w:val="toc 8"/>
    <w:basedOn w:val="683"/>
    <w:next w:val="683"/>
    <w:uiPriority w:val="39"/>
    <w:unhideWhenUsed/>
    <w:pPr>
      <w:ind w:left="1984"/>
      <w:spacing w:after="57"/>
    </w:pPr>
  </w:style>
  <w:style w:type="paragraph" w:styleId="859">
    <w:name w:val="toc 9"/>
    <w:basedOn w:val="683"/>
    <w:next w:val="683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3"/>
    <w:next w:val="683"/>
    <w:uiPriority w:val="99"/>
    <w:unhideWhenUsed/>
  </w:style>
  <w:style w:type="character" w:styleId="862" w:customStyle="1">
    <w:name w:val="Заголовок 4 Знак"/>
    <w:basedOn w:val="693"/>
    <w:link w:val="68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63">
    <w:name w:val="Table Grid"/>
    <w:basedOn w:val="694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64">
    <w:name w:val="List Paragraph"/>
    <w:basedOn w:val="683"/>
    <w:uiPriority w:val="99"/>
    <w:qFormat/>
    <w:pPr>
      <w:contextualSpacing/>
      <w:ind w:left="720"/>
      <w:spacing w:after="200" w:line="276" w:lineRule="auto"/>
    </w:pPr>
    <w:rPr>
      <w:rFonts w:ascii="Calibri" w:hAnsi="Calibri" w:cs="Calibri"/>
      <w:color w:val="auto"/>
      <w:sz w:val="22"/>
      <w:szCs w:val="22"/>
      <w:lang w:eastAsia="en-US"/>
    </w:rPr>
  </w:style>
  <w:style w:type="character" w:styleId="865">
    <w:name w:val="Hyperlink"/>
    <w:basedOn w:val="693"/>
    <w:uiPriority w:val="99"/>
    <w:unhideWhenUsed/>
    <w:rPr>
      <w:color w:val="0000ff" w:themeColor="hyperlink"/>
      <w:u w:val="single"/>
    </w:rPr>
  </w:style>
  <w:style w:type="character" w:styleId="866" w:customStyle="1">
    <w:name w:val="Неразрешенное упоминание1"/>
    <w:basedOn w:val="693"/>
    <w:uiPriority w:val="99"/>
    <w:semiHidden/>
    <w:unhideWhenUsed/>
    <w:rPr>
      <w:color w:val="605e5c"/>
      <w:shd w:val="clear" w:color="auto" w:fill="e1dfdd"/>
    </w:rPr>
  </w:style>
  <w:style w:type="paragraph" w:styleId="867">
    <w:name w:val="Balloon Text"/>
    <w:basedOn w:val="683"/>
    <w:link w:val="868"/>
    <w:uiPriority w:val="99"/>
    <w:semiHidden/>
    <w:unhideWhenUsed/>
    <w:rPr>
      <w:rFonts w:ascii="Tahoma" w:hAnsi="Tahoma" w:cs="Tahoma"/>
      <w:sz w:val="16"/>
      <w:szCs w:val="16"/>
    </w:rPr>
  </w:style>
  <w:style w:type="character" w:styleId="868" w:customStyle="1">
    <w:name w:val="Текст выноски Знак"/>
    <w:basedOn w:val="693"/>
    <w:link w:val="867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69" w:customStyle="1">
    <w:name w:val="Неразрешенное упоминание2"/>
    <w:basedOn w:val="693"/>
    <w:uiPriority w:val="99"/>
    <w:semiHidden/>
    <w:unhideWhenUsed/>
    <w:rPr>
      <w:color w:val="605e5c"/>
      <w:shd w:val="clear" w:color="auto" w:fill="e1dfdd"/>
    </w:rPr>
  </w:style>
  <w:style w:type="character" w:styleId="870" w:customStyle="1">
    <w:name w:val="Неразрешенное упоминание3"/>
    <w:basedOn w:val="693"/>
    <w:uiPriority w:val="99"/>
    <w:semiHidden/>
    <w:unhideWhenUsed/>
    <w:rPr>
      <w:color w:val="605e5c"/>
      <w:shd w:val="clear" w:color="auto" w:fill="e1dfdd"/>
    </w:rPr>
  </w:style>
  <w:style w:type="table" w:styleId="871" w:customStyle="1">
    <w:name w:val="Сетка таблицы1"/>
    <w:basedOn w:val="694"/>
    <w:next w:val="86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872" w:customStyle="1">
    <w:name w:val="Неразрешенное упоминание4"/>
    <w:basedOn w:val="693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pechengamr.gov-murman.ru/" TargetMode="External"/><Relationship Id="rId12" Type="http://schemas.openxmlformats.org/officeDocument/2006/relationships/hyperlink" Target="https://pechengamr.gov-murman.ru/PublicDiscussion/" TargetMode="External"/><Relationship Id="rId13" Type="http://schemas.openxmlformats.org/officeDocument/2006/relationships/hyperlink" Target="https://pechengamr.gov-murman.ru/" TargetMode="External"/><Relationship Id="rId14" Type="http://schemas.openxmlformats.org/officeDocument/2006/relationships/hyperlink" Target="https://rpn.gov.ru/regions/51" TargetMode="External"/><Relationship Id="rId15" Type="http://schemas.openxmlformats.org/officeDocument/2006/relationships/hyperlink" Target="https://mpr.gov-murman.ru/" TargetMode="External"/><Relationship Id="rId16" Type="http://schemas.openxmlformats.org/officeDocument/2006/relationships/hyperlink" Target="mailto:adm_pech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D60B-5290-4674-A571-0A9BA03F8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31</cp:revision>
  <dcterms:created xsi:type="dcterms:W3CDTF">2024-01-30T09:26:00Z</dcterms:created>
  <dcterms:modified xsi:type="dcterms:W3CDTF">2024-10-31T12:30:17Z</dcterms:modified>
</cp:coreProperties>
</file>