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color w:val="000000"/>
          <w:sz w:val="20"/>
          <w:szCs w:val="2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01.11.2024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№ 1709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rPr>
          <w:szCs w:val="18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szCs w:val="18"/>
        </w:rPr>
      </w:r>
      <w:r>
        <w:rPr>
          <w:szCs w:val="18"/>
        </w:rPr>
      </w:r>
    </w:p>
    <w:p>
      <w:pPr>
        <w:jc w:val="center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jc w:val="center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муниципальной программы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«Физическая культура</w:t>
      </w:r>
      <w:r>
        <w:rPr>
          <w:b/>
          <w:sz w:val="20"/>
          <w:szCs w:val="20"/>
        </w:rPr>
        <w:t xml:space="preserve"> и спорт» на 2025-2027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left="34" w:firstLine="675"/>
        <w:jc w:val="both"/>
      </w:pPr>
      <w:r>
        <w:t xml:space="preserve">Руководствуясь </w:t>
      </w:r>
      <w:r>
        <w:t xml:space="preserve">статьей 179 Бюджетного кодекса Российской Федерации, </w:t>
      </w:r>
      <w:r>
        <w:t xml:space="preserve">Федеральными законами от 06.10.2003 № 131-ФЗ «Об общих принципах организации местного самоуправления в Российской Федерации»,</w:t>
      </w:r>
      <w:r>
        <w:t xml:space="preserve"> </w:t>
      </w:r>
      <w:r>
        <w:t xml:space="preserve">от 04.12.2007 № 329-ФЗ </w:t>
        <w:br/>
        <w:t xml:space="preserve">«О физической культуре и спорте в Российской Федерации», </w:t>
      </w:r>
      <w:r>
        <w:rPr>
          <w:bCs/>
          <w:szCs w:val="28"/>
        </w:rPr>
        <w:t xml:space="preserve">Законом Мурманской области от 27.12.2010 № 1297-01-ЗМО «О физической культуре и спорте в Мурманской области»,</w:t>
      </w:r>
      <w:r>
        <w:t xml:space="preserve"> </w:t>
      </w:r>
      <w:r>
        <w:t xml:space="preserve">Порядком разработки, реализации и оценки эффективности муниципальных программ Печенгского муни</w:t>
      </w:r>
      <w:r>
        <w:t xml:space="preserve">ципального округа, утвержденным</w:t>
      </w:r>
      <w:r>
        <w:t xml:space="preserve"> постановлением администрации Печенгского муниципального округа от 16.08.2021 № 838,</w:t>
      </w:r>
      <w:r>
        <w:t xml:space="preserve"> в целях реализации государственной политики по эффективному развитию физической культуры и спорта</w:t>
      </w:r>
      <w:r/>
    </w:p>
    <w:p>
      <w:pPr>
        <w:ind w:firstLine="720"/>
        <w:jc w:val="both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right="-5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numPr>
          <w:ilvl w:val="0"/>
          <w:numId w:val="16"/>
        </w:numPr>
        <w:ind w:left="0" w:firstLine="709"/>
        <w:jc w:val="both"/>
        <w:widowControl w:val="off"/>
        <w:tabs>
          <w:tab w:val="left" w:pos="142" w:leader="none"/>
          <w:tab w:val="left" w:pos="993" w:leader="none"/>
        </w:tabs>
      </w:pPr>
      <w:r>
        <w:t xml:space="preserve"> </w:t>
      </w:r>
      <w:r>
        <w:t xml:space="preserve">Утвердить муниципальную программу Печенгского муниципального округа «Физическ</w:t>
      </w:r>
      <w:r>
        <w:t xml:space="preserve">ая </w:t>
      </w:r>
      <w:r>
        <w:t xml:space="preserve">культура и спорт» на 2025-2027</w:t>
      </w:r>
      <w:r>
        <w:t xml:space="preserve"> годы (далее </w:t>
      </w:r>
      <w:r>
        <w:t xml:space="preserve">-</w:t>
      </w:r>
      <w:r>
        <w:t xml:space="preserve"> программа) согласно приложению.</w:t>
      </w:r>
      <w:r/>
    </w:p>
    <w:p>
      <w:pPr>
        <w:numPr>
          <w:ilvl w:val="0"/>
          <w:numId w:val="16"/>
        </w:numPr>
        <w:ind w:left="0" w:firstLine="709"/>
        <w:jc w:val="both"/>
        <w:widowControl w:val="off"/>
        <w:tabs>
          <w:tab w:val="left" w:pos="142" w:leader="none"/>
          <w:tab w:val="left" w:pos="993" w:leader="none"/>
        </w:tabs>
      </w:pPr>
      <w:r>
        <w:t xml:space="preserve"> </w:t>
      </w:r>
      <w:r>
        <w:t xml:space="preserve">Настоящее постановление вступает в силу с 01</w:t>
      </w:r>
      <w:r>
        <w:t xml:space="preserve"> января </w:t>
      </w:r>
      <w:r>
        <w:t xml:space="preserve">2025</w:t>
      </w:r>
      <w:r>
        <w:t xml:space="preserve"> года.</w:t>
      </w:r>
      <w:r/>
    </w:p>
    <w:p>
      <w:pPr>
        <w:numPr>
          <w:ilvl w:val="0"/>
          <w:numId w:val="16"/>
        </w:numPr>
        <w:ind w:left="0" w:right="-5" w:firstLine="709"/>
        <w:jc w:val="both"/>
        <w:widowControl w:val="off"/>
        <w:tabs>
          <w:tab w:val="left" w:pos="142" w:leader="none"/>
          <w:tab w:val="left" w:pos="993" w:leader="none"/>
          <w:tab w:val="left" w:pos="1276" w:leader="none"/>
        </w:tabs>
        <w:rPr>
          <w:szCs w:val="18"/>
        </w:rPr>
      </w:pPr>
      <w:r>
        <w:t xml:space="preserve"> </w:t>
      </w:r>
      <w:r>
        <w:t xml:space="preserve">Настоящее постановление</w:t>
      </w:r>
      <w:r>
        <w:t xml:space="preserve"> опубликова</w:t>
      </w:r>
      <w:r>
        <w:t xml:space="preserve">ть в официальном издании</w:t>
      </w:r>
      <w:r>
        <w:t xml:space="preserve"> газет</w:t>
      </w:r>
      <w:r>
        <w:t xml:space="preserve">а</w:t>
      </w:r>
      <w:r>
        <w:t xml:space="preserve"> «Печенга» и разме</w:t>
      </w:r>
      <w:r>
        <w:t xml:space="preserve">стить </w:t>
      </w:r>
      <w:r>
        <w:t xml:space="preserve">на сайте </w:t>
      </w:r>
      <w:r>
        <w:t xml:space="preserve">Печенгского муниципального округа в сети Интернет.</w:t>
      </w:r>
      <w:r>
        <w:rPr>
          <w:szCs w:val="18"/>
        </w:rPr>
      </w:r>
      <w:r>
        <w:rPr>
          <w:szCs w:val="18"/>
        </w:rPr>
      </w:r>
    </w:p>
    <w:p>
      <w:pPr>
        <w:numPr>
          <w:ilvl w:val="0"/>
          <w:numId w:val="16"/>
        </w:numPr>
        <w:ind w:left="0" w:right="-5" w:firstLine="709"/>
        <w:jc w:val="both"/>
        <w:widowControl w:val="off"/>
        <w:tabs>
          <w:tab w:val="left" w:pos="142" w:leader="none"/>
          <w:tab w:val="left" w:pos="993" w:leader="none"/>
          <w:tab w:val="left" w:pos="1276" w:leader="none"/>
        </w:tabs>
        <w:rPr>
          <w:szCs w:val="18"/>
        </w:rPr>
      </w:pPr>
      <w:r>
        <w:t xml:space="preserve"> Контроль за</w:t>
      </w:r>
      <w:r>
        <w:t xml:space="preserve"> исполнением настоящего постановления оставляю за собой.</w:t>
      </w:r>
      <w:r>
        <w:rPr>
          <w:szCs w:val="18"/>
        </w:rPr>
      </w:r>
      <w:r>
        <w:rPr>
          <w:szCs w:val="18"/>
        </w:rPr>
      </w:r>
    </w:p>
    <w:p>
      <w:pPr>
        <w:ind w:right="-5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ind w:right="-5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ind w:right="-5"/>
        <w:jc w:val="both"/>
        <w:widowControl w:val="off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Глава Печенгского муниципального округа                            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                           А.В. Кузнецов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right="-5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widowControl w:val="off"/>
        <w:rPr>
          <w:sz w:val="20"/>
          <w:szCs w:val="20"/>
        </w:rPr>
      </w:pPr>
      <w:r>
        <w:rPr>
          <w:sz w:val="20"/>
          <w:szCs w:val="20"/>
        </w:rPr>
        <w:t xml:space="preserve">Большакова О.В., 52725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  <w:widowControl w:val="off"/>
      </w:pPr>
      <w:r>
        <w:rPr>
          <w:bCs/>
        </w:rPr>
        <w:t xml:space="preserve">Приложение</w:t>
      </w:r>
      <w:r>
        <w:t xml:space="preserve"> </w:t>
      </w:r>
      <w:r/>
    </w:p>
    <w:p>
      <w:pPr>
        <w:ind w:left="5529"/>
        <w:jc w:val="both"/>
        <w:widowControl w:val="off"/>
      </w:pPr>
      <w:r>
        <w:t xml:space="preserve">к постановлению администрации Печенгского муниципального округа</w:t>
      </w:r>
      <w:r/>
    </w:p>
    <w:p>
      <w:pPr>
        <w:ind w:left="5529"/>
        <w:jc w:val="both"/>
        <w:widowControl w:val="off"/>
      </w:pPr>
      <w:r>
        <w:t xml:space="preserve">от</w:t>
      </w:r>
      <w:r>
        <w:t xml:space="preserve"> 01.11.2024</w:t>
      </w:r>
      <w:r>
        <w:t xml:space="preserve"> № </w:t>
      </w:r>
      <w:r>
        <w:t xml:space="preserve">1709</w:t>
      </w:r>
      <w:r/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  <w:t xml:space="preserve">МУНИЦИПАЛЬНАЯ ПРОГРАММА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  <w:t xml:space="preserve">ПЕЧЕНГСКОГО МУНИЦИПАЛЬНОГО ОКРУГА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  <w:t xml:space="preserve">«Физическая культура и спорт» на </w:t>
      </w:r>
      <w:r>
        <w:rPr>
          <w:b/>
          <w:szCs w:val="28"/>
        </w:rPr>
        <w:t xml:space="preserve">2025</w:t>
      </w:r>
      <w:r>
        <w:rPr>
          <w:b/>
          <w:szCs w:val="28"/>
        </w:rPr>
        <w:t xml:space="preserve">-202</w:t>
      </w:r>
      <w:r>
        <w:rPr>
          <w:b/>
          <w:szCs w:val="28"/>
        </w:rPr>
        <w:t xml:space="preserve">7</w:t>
      </w:r>
      <w:r>
        <w:rPr>
          <w:b/>
          <w:szCs w:val="28"/>
        </w:rPr>
        <w:t xml:space="preserve"> годы</w:t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  <w:t xml:space="preserve">ПАСПОРТ</w:t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szCs w:val="28"/>
        </w:rPr>
      </w:pPr>
      <w:r>
        <w:rPr>
          <w:szCs w:val="28"/>
        </w:rPr>
        <w:t xml:space="preserve">м</w:t>
      </w:r>
      <w:r>
        <w:rPr>
          <w:szCs w:val="28"/>
        </w:rPr>
        <w:t xml:space="preserve">униципальной программы Печенгского муниципального округа </w:t>
      </w:r>
      <w:r>
        <w:rPr>
          <w:szCs w:val="28"/>
        </w:rPr>
      </w:r>
      <w:r>
        <w:rPr>
          <w:szCs w:val="28"/>
        </w:rPr>
      </w:r>
    </w:p>
    <w:p>
      <w:pPr>
        <w:jc w:val="center"/>
        <w:widowControl w:val="off"/>
        <w:rPr>
          <w:szCs w:val="28"/>
        </w:rPr>
      </w:pPr>
      <w:r>
        <w:rPr>
          <w:szCs w:val="28"/>
        </w:rPr>
        <w:t xml:space="preserve">«Физи</w:t>
      </w:r>
      <w:r>
        <w:rPr>
          <w:szCs w:val="28"/>
        </w:rPr>
        <w:t xml:space="preserve">ческая культура и спорт» на 2025-2027</w:t>
      </w:r>
      <w:r>
        <w:rPr>
          <w:szCs w:val="28"/>
        </w:rPr>
        <w:t xml:space="preserve"> годы</w:t>
      </w:r>
      <w:r>
        <w:rPr>
          <w:szCs w:val="28"/>
        </w:rPr>
      </w:r>
      <w:r>
        <w:rPr>
          <w:szCs w:val="28"/>
        </w:rPr>
      </w:r>
    </w:p>
    <w:p>
      <w:pPr>
        <w:jc w:val="center"/>
        <w:widowControl w:val="off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p>
      <w:pPr>
        <w:jc w:val="center"/>
        <w:widowControl w:val="off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tbl>
      <w:tblPr>
        <w:tblW w:w="4961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45"/>
        <w:gridCol w:w="708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lang w:val="en-US"/>
              </w:rPr>
            </w:pPr>
            <w:r>
              <w:t xml:space="preserve">Цель</w:t>
            </w:r>
            <w:r>
              <w:t xml:space="preserve"> программы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ind w:left="-4"/>
              <w:jc w:val="both"/>
              <w:tabs>
                <w:tab w:val="left" w:pos="280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   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vertAlign w:val="superscript"/>
              </w:rPr>
            </w:pPr>
            <w:r>
              <w:t xml:space="preserve">Задачи программы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492" w:leader="none"/>
              </w:tabs>
            </w:pPr>
            <w:r>
              <w:t xml:space="preserve">1. Создание благоприятных условий для эффективного функцио</w:t>
            </w:r>
            <w:r>
              <w:t xml:space="preserve">нирования спортивных учреждений и объектов.</w:t>
            </w:r>
            <w:r/>
          </w:p>
          <w:p>
            <w:pPr>
              <w:jc w:val="both"/>
              <w:widowControl w:val="off"/>
              <w:tabs>
                <w:tab w:val="left" w:pos="492" w:leader="none"/>
              </w:tabs>
              <w:rPr>
                <w:bCs/>
              </w:rPr>
            </w:pPr>
            <w:r>
              <w:rPr>
                <w:bCs/>
              </w:rPr>
              <w:t xml:space="preserve">2.</w:t>
            </w:r>
            <w:r>
              <w:t xml:space="preserve"> </w:t>
            </w:r>
            <w:r>
              <w:t xml:space="preserve">Повышение качества предоставляемых услуг учреждениями физической культуры и спорта.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tabs>
                <w:tab w:val="left" w:pos="492" w:leader="none"/>
              </w:tabs>
            </w:pPr>
            <w:r>
              <w:t xml:space="preserve">3. Пропаганда здорового образа жизни.</w:t>
            </w:r>
            <w:r/>
          </w:p>
          <w:p>
            <w:pPr>
              <w:jc w:val="both"/>
              <w:tabs>
                <w:tab w:val="left" w:pos="299" w:leader="none"/>
              </w:tabs>
              <w:rPr>
                <w:rFonts w:eastAsia="Calibri"/>
                <w:lang w:eastAsia="en-US"/>
              </w:rPr>
            </w:pPr>
            <w:r>
              <w:t xml:space="preserve">4. Развитие детско-юношеского спорта.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vertAlign w:val="superscript"/>
              </w:rPr>
            </w:pPr>
            <w:r>
              <w:t xml:space="preserve">Показатели программы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1.</w:t>
            </w:r>
            <w:r>
              <w:t xml:space="preserve"> </w:t>
            </w:r>
            <w:r>
              <w:t xml:space="preserve">В</w:t>
            </w:r>
            <w:r>
              <w:t xml:space="preserve">ы</w:t>
            </w:r>
            <w:r>
              <w:t xml:space="preserve">полнени</w:t>
            </w:r>
            <w:r>
              <w:t xml:space="preserve">е</w:t>
            </w:r>
            <w:r>
              <w:t xml:space="preserve"> муниципального задания учреждениями спорта.</w:t>
            </w:r>
            <w:r/>
          </w:p>
          <w:p>
            <w:pPr>
              <w:jc w:val="both"/>
              <w:widowControl w:val="off"/>
            </w:pPr>
            <w:r>
              <w:t xml:space="preserve">2. Число посещений МБУ «СК «Металлург»</w:t>
            </w:r>
            <w:r>
              <w:t xml:space="preserve">.</w:t>
            </w:r>
            <w:r/>
          </w:p>
          <w:p>
            <w:pPr>
              <w:jc w:val="both"/>
              <w:widowControl w:val="off"/>
            </w:pPr>
            <w:r>
              <w:t xml:space="preserve">3. Число посещений МБУ «СК «Дельфин»</w:t>
            </w:r>
            <w:r>
              <w:t xml:space="preserve">.</w:t>
            </w:r>
            <w:r/>
          </w:p>
          <w:p>
            <w:pPr>
              <w:jc w:val="both"/>
              <w:widowControl w:val="off"/>
            </w:pPr>
            <w:r>
              <w:t xml:space="preserve">4</w:t>
            </w:r>
            <w:r>
              <w:t xml:space="preserve">. Доля населения, регулярно занимающегося физической культурой и спортом.</w:t>
            </w:r>
            <w:r/>
          </w:p>
          <w:p>
            <w:pPr>
              <w:jc w:val="both"/>
              <w:widowControl w:val="off"/>
            </w:pPr>
            <w:r>
              <w:t xml:space="preserve">5</w:t>
            </w:r>
            <w:r>
              <w:t xml:space="preserve">. </w:t>
            </w:r>
            <w:r>
              <w:t xml:space="preserve">Выполнение указов Президента Российской Федерации </w:t>
            </w:r>
            <w:r>
              <w:t xml:space="preserve">по</w:t>
            </w:r>
            <w:r>
              <w:t xml:space="preserve"> оплат</w:t>
            </w:r>
            <w:r>
              <w:t xml:space="preserve">е</w:t>
            </w:r>
            <w:r>
              <w:t xml:space="preserve"> труда</w:t>
            </w:r>
            <w:r>
              <w:t xml:space="preserve"> и начислени</w:t>
            </w:r>
            <w:r>
              <w:t xml:space="preserve">ям</w:t>
            </w:r>
            <w:r>
              <w:t xml:space="preserve"> на выплаты по оплате труда работникам муниципальных учреждений.</w:t>
            </w:r>
            <w:r/>
          </w:p>
          <w:p>
            <w:pPr>
              <w:jc w:val="both"/>
              <w:widowControl w:val="off"/>
              <w:rPr>
                <w:sz w:val="28"/>
              </w:rPr>
            </w:pPr>
            <w:r>
              <w:t xml:space="preserve">6. </w:t>
            </w:r>
            <w:r>
              <w:rPr>
                <w:szCs w:val="22"/>
              </w:rPr>
              <w:t xml:space="preserve">Обеспечение развития и укрепления материально-технической базы учреждений физической культуры и спорта.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both"/>
              <w:widowControl w:val="off"/>
            </w:pPr>
            <w:r>
              <w:t xml:space="preserve">7</w:t>
            </w:r>
            <w:r>
              <w:t xml:space="preserve">.</w:t>
            </w:r>
            <w:r>
              <w:t xml:space="preserve"> </w:t>
            </w:r>
            <w:r>
              <w:t xml:space="preserve">Выполнение ремонтных работ спортивных объектов учреждений </w:t>
            </w:r>
            <w:r>
              <w:t xml:space="preserve">физической культуры и </w:t>
            </w:r>
            <w:r>
              <w:t xml:space="preserve">сп</w:t>
            </w:r>
            <w:r>
              <w:t xml:space="preserve">о</w:t>
            </w:r>
            <w:r>
              <w:t xml:space="preserve">рта.</w:t>
            </w:r>
            <w:r/>
          </w:p>
          <w:p>
            <w:pPr>
              <w:jc w:val="both"/>
              <w:widowControl w:val="off"/>
            </w:pPr>
            <w:r>
              <w:t xml:space="preserve">8</w:t>
            </w:r>
            <w:r>
              <w:t xml:space="preserve">. </w:t>
            </w:r>
            <w:r>
              <w:t xml:space="preserve">Количество физкультурных и спортивных</w:t>
            </w:r>
            <w:r>
              <w:t xml:space="preserve"> мероприятий, направленных на популяризацию здорового образа жизни среди различных слоев населения</w:t>
            </w:r>
            <w:r>
              <w:t xml:space="preserve">.</w:t>
            </w:r>
            <w:r>
              <w:t xml:space="preserve"> </w:t>
            </w:r>
            <w:r/>
          </w:p>
          <w:p>
            <w:pPr>
              <w:jc w:val="both"/>
              <w:widowControl w:val="off"/>
            </w:pPr>
            <w:r>
              <w:t xml:space="preserve">9. </w:t>
            </w:r>
            <w:r>
              <w:t xml:space="preserve">Количество </w:t>
            </w:r>
            <w:r>
              <w:t xml:space="preserve">физкультурных и спортивных мероприятий</w:t>
            </w:r>
            <w:r>
              <w:t xml:space="preserve"> для лиц с ограниченными возможностями здоровья.</w:t>
            </w:r>
            <w:r/>
          </w:p>
          <w:p>
            <w:pPr>
              <w:jc w:val="both"/>
              <w:widowControl w:val="off"/>
            </w:pPr>
            <w:r>
              <w:t xml:space="preserve">1</w:t>
            </w:r>
            <w:r>
              <w:t xml:space="preserve">0</w:t>
            </w:r>
            <w:r>
              <w:t xml:space="preserve">. </w:t>
            </w:r>
            <w:r>
              <w:t xml:space="preserve">Количество физкультурных и спортивны</w:t>
            </w:r>
            <w:r>
              <w:t xml:space="preserve">х мероприятий различного уровня</w:t>
            </w:r>
            <w:r>
              <w:t xml:space="preserve"> </w:t>
            </w:r>
            <w:r>
              <w:t xml:space="preserve">среди обучающихся Печенгского муниципального округа.</w:t>
            </w:r>
            <w:r/>
          </w:p>
          <w:p>
            <w:pPr>
              <w:jc w:val="both"/>
              <w:widowControl w:val="off"/>
            </w:pPr>
            <w:r>
              <w:t xml:space="preserve">11. </w:t>
            </w:r>
            <w:r>
              <w:t xml:space="preserve">Количество зданий, в отношении которых проведена реконструкция.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</w:pPr>
            <w:r>
              <w:t xml:space="preserve">Сроки и этапы реализации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widowControl w:val="off"/>
            </w:pPr>
            <w:r>
              <w:t xml:space="preserve">20</w:t>
            </w:r>
            <w:r>
              <w:t xml:space="preserve">25 - 2027</w:t>
            </w:r>
            <w:r>
              <w:t xml:space="preserve"> годы</w:t>
            </w:r>
            <w:r/>
          </w:p>
        </w:tc>
      </w:tr>
      <w:tr>
        <w:tblPrEx/>
        <w:trPr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vertAlign w:val="superscript"/>
              </w:rPr>
            </w:pPr>
            <w:r>
              <w:t xml:space="preserve">Перечень подпрограмм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</w:pPr>
            <w:r>
              <w:t xml:space="preserve">Финансовое обеспечение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</w:t>
            </w:r>
            <w:r>
              <w:rPr>
                <w:rFonts w:eastAsia="Calibri"/>
                <w:lang w:eastAsia="en-US"/>
              </w:rPr>
              <w:t xml:space="preserve">муниципальной </w:t>
            </w:r>
            <w:r>
              <w:rPr>
                <w:rFonts w:eastAsia="Calibri"/>
                <w:lang w:eastAsia="en-US"/>
              </w:rPr>
              <w:t xml:space="preserve">программе: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371 175,0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тыс. рублей,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</w:t>
            </w: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  <w:t xml:space="preserve">000</w:t>
            </w:r>
            <w:r>
              <w:rPr>
                <w:rFonts w:eastAsia="Calibri"/>
                <w:lang w:eastAsia="en-US"/>
              </w:rPr>
              <w:t xml:space="preserve">,</w:t>
            </w: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3000</w:t>
            </w: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год: </w:t>
            </w: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год: </w:t>
            </w:r>
            <w:r>
              <w:rPr>
                <w:rFonts w:eastAsia="Calibri"/>
                <w:lang w:eastAsia="en-US"/>
              </w:rPr>
              <w:t xml:space="preserve">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83612,9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год: </w:t>
            </w:r>
            <w:r>
              <w:rPr>
                <w:rFonts w:eastAsia="Calibri"/>
                <w:lang w:eastAsia="en-US"/>
              </w:rPr>
              <w:t xml:space="preserve">36260,5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год: </w:t>
            </w: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  <w:t xml:space="preserve">3676,2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  <w:t xml:space="preserve">3676,2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20</w:t>
            </w:r>
            <w:r>
              <w:rPr>
                <w:rFonts w:eastAsia="Calibri"/>
                <w:lang w:eastAsia="en-US"/>
              </w:rPr>
              <w:t xml:space="preserve">5962,1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7</w:t>
            </w:r>
            <w:r>
              <w:rPr>
                <w:rFonts w:eastAsia="Calibri"/>
                <w:lang w:eastAsia="en-US"/>
              </w:rPr>
              <w:t xml:space="preserve">5062,8</w:t>
            </w:r>
            <w:r>
              <w:rPr>
                <w:b/>
                <w:szCs w:val="22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  <w:t xml:space="preserve">5183,1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  <w:t xml:space="preserve">5716,2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51600,0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27200,0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12200,0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12200,0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</w:pPr>
            <w:r>
              <w:t xml:space="preserve">Справочно</w:t>
            </w:r>
            <w:r>
              <w:t xml:space="preserve">:  объем налоговых расходов муниципального образования в рамках реализации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Всего:</w:t>
            </w:r>
            <w:r>
              <w:t xml:space="preserve"> </w:t>
            </w:r>
            <w:r>
              <w:t xml:space="preserve">615,0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в том числе: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2025</w:t>
            </w:r>
            <w:r>
              <w:t xml:space="preserve"> год:</w:t>
            </w:r>
            <w:r>
              <w:t xml:space="preserve"> </w:t>
            </w:r>
            <w:r>
              <w:t xml:space="preserve">205,0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2026</w:t>
            </w:r>
            <w:r>
              <w:t xml:space="preserve"> год: </w:t>
            </w:r>
            <w:r>
              <w:t xml:space="preserve">205,0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2027</w:t>
            </w:r>
            <w:r>
              <w:t xml:space="preserve"> год: </w:t>
            </w:r>
            <w:r>
              <w:t xml:space="preserve">205,0</w:t>
            </w:r>
            <w:r>
              <w:t xml:space="preserve"> </w:t>
            </w:r>
            <w:r>
              <w:t xml:space="preserve">тыс. рублей.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vertAlign w:val="superscript"/>
              </w:rPr>
            </w:pPr>
            <w:r>
              <w:t xml:space="preserve">Ожидаемые конечные результаты реализации программы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- устойчивое и эффективное функционирование спортивных учреждений;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- привлечение к систематическим занятиям физической культуры и спорта наибольшего количества различных слоев населения;</w:t>
            </w:r>
            <w:r/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увеличение количества детей и подростков, занимающихся в специализированных спортивных учреждениях.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lang w:val="en-US"/>
              </w:rPr>
            </w:pPr>
            <w:r>
              <w:t xml:space="preserve">Ответственный исполнитель программы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Отдел</w:t>
            </w:r>
            <w:r>
              <w:rPr>
                <w:rFonts w:eastAsia="Calibri"/>
                <w:lang w:eastAsia="en-US"/>
              </w:rPr>
              <w:t xml:space="preserve"> культуры,</w:t>
            </w:r>
            <w:r>
              <w:rPr>
                <w:rFonts w:eastAsia="Calibri"/>
                <w:lang w:eastAsia="en-US"/>
              </w:rPr>
              <w:t xml:space="preserve"> спорта и молодежной политики администрации Печенгского муниципального округа</w:t>
            </w:r>
            <w:r>
              <w:rPr>
                <w:rFonts w:eastAsia="Calibri"/>
                <w:lang w:eastAsia="en-US"/>
              </w:rPr>
              <w:t xml:space="preserve"> (далее – </w:t>
            </w:r>
            <w:r>
              <w:rPr>
                <w:rFonts w:eastAsia="Calibri"/>
                <w:lang w:eastAsia="en-US"/>
              </w:rPr>
              <w:t xml:space="preserve">от</w:t>
            </w:r>
            <w:r>
              <w:rPr>
                <w:rFonts w:eastAsia="Calibri"/>
                <w:lang w:eastAsia="en-US"/>
              </w:rPr>
              <w:t xml:space="preserve">дел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К</w:t>
            </w:r>
            <w:r>
              <w:rPr>
                <w:rFonts w:eastAsia="Calibri"/>
                <w:lang w:eastAsia="en-US"/>
              </w:rPr>
              <w:t xml:space="preserve">Си</w:t>
            </w:r>
            <w:r>
              <w:rPr>
                <w:rFonts w:eastAsia="Calibri"/>
                <w:lang w:eastAsia="en-US"/>
              </w:rPr>
              <w:t xml:space="preserve">МП</w:t>
            </w:r>
            <w:r>
              <w:rPr>
                <w:rFonts w:eastAsia="Calibri"/>
                <w:lang w:eastAsia="en-US"/>
              </w:rPr>
              <w:t xml:space="preserve">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lang w:val="en-US"/>
              </w:rPr>
            </w:pPr>
            <w:r>
              <w:t xml:space="preserve">Исполнители программы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</w:pPr>
            <w:r>
              <w:t xml:space="preserve">Муниципальное бюджетное учреждение «Спортивный комплекс «Металлург</w:t>
            </w:r>
            <w:r>
              <w:t xml:space="preserve">» (далее - МБУ «СК «Металлург»);</w:t>
            </w:r>
            <w:r>
              <w:t xml:space="preserve"> муниципальное бюджетное учреждение «Спортивный комплекс «Дельфин» (далее - МБУ «СК «Дельфин»</w:t>
            </w:r>
            <w:r>
              <w:t xml:space="preserve">);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о</w:t>
            </w:r>
            <w:r>
              <w:t xml:space="preserve">тдел образования администрации Печенгского муниципального округа (далее – отдел образования), средние общеобразовательные школы (далее – СОШ), общеобразовательные школы (далее – ООШ</w:t>
            </w:r>
            <w:r>
              <w:t xml:space="preserve">)</w:t>
            </w:r>
            <w:r>
              <w:t xml:space="preserve">; му</w:t>
            </w:r>
            <w:r>
              <w:t xml:space="preserve">ниципальное бюджетное учреждение</w:t>
            </w:r>
            <w:r>
              <w:t xml:space="preserve"> «Ремонтно-эксплуатационная служба» (далее – МБУ «РЭС»)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lang w:val="en-US"/>
              </w:rPr>
            </w:pPr>
            <w:r>
              <w:t xml:space="preserve">Соисполнители программы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</w:pPr>
            <w:r>
              <w:t xml:space="preserve">-</w:t>
            </w:r>
            <w:r/>
          </w:p>
        </w:tc>
      </w:tr>
    </w:tbl>
    <w:p>
      <w:pPr>
        <w:ind w:firstLine="709"/>
        <w:jc w:val="both"/>
        <w:widowControl w:val="off"/>
        <w:rPr>
          <w:vertAlign w:val="superscript"/>
        </w:rPr>
      </w:pPr>
      <w:r>
        <w:rPr>
          <w:vertAlign w:val="superscript"/>
        </w:rPr>
      </w:r>
      <w:r>
        <w:rPr>
          <w:vertAlign w:val="superscript"/>
        </w:rPr>
      </w:r>
      <w:r>
        <w:rPr>
          <w:vertAlign w:val="superscript"/>
        </w:rPr>
      </w:r>
    </w:p>
    <w:p>
      <w:pPr>
        <w:numPr>
          <w:ilvl w:val="0"/>
          <w:numId w:val="20"/>
        </w:numPr>
        <w:contextualSpacing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Характеристика проблемы, на решение которой направлена программа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contextualSpacing/>
        <w:ind w:left="1080"/>
        <w:jc w:val="center"/>
        <w:widowControl w:val="off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ind w:right="32" w:firstLine="709"/>
        <w:jc w:val="both"/>
        <w:shd w:val="clear" w:color="auto" w:fill="ffffff"/>
        <w:widowControl w:val="off"/>
      </w:pPr>
      <w:r>
        <w:t xml:space="preserve">Физическая культура и спорт являются составными элементами культуры личности и здорового образа жизни, значительно влияют не</w:t>
      </w:r>
      <w:r>
        <w:t xml:space="preserve"> только на повышение физической подготовленности, улучшение здоровья, но и на поведение человека в быту, трудовом коллективе, на формирование личности и межличностных отношений. Основополагающим принципом законодательства Российской Федерации о физической </w:t>
      </w:r>
      <w:r>
        <w:t xml:space="preserve">культуре и спорте является обеспечение права каждого на свобод</w:t>
      </w:r>
      <w:r>
        <w:t xml:space="preserve">ный доступ к физической культуре и спорту как к необходимым условиям развития физических, интеллектуальных и нравственных способностей личности, права на занятия физической культурой и спортом для всех категорий граждан и групп населения. В настоящее время</w:t>
      </w:r>
      <w:r>
        <w:t xml:space="preserve"> в общественное сознание возвращаются понятия о том, что физическая активность и занятия спортом (особенно для детей и молодежи) - важнейшее условие развития человека, улучшающее качество жизни, снимающее стрессовые состояния, повышающее работоспособность.</w:t>
      </w:r>
      <w:r/>
    </w:p>
    <w:p>
      <w:pPr>
        <w:ind w:firstLine="709"/>
        <w:jc w:val="both"/>
      </w:pPr>
      <w:r>
        <w:t xml:space="preserve">Ранее</w:t>
      </w:r>
      <w:r>
        <w:t xml:space="preserve"> на территории </w:t>
      </w:r>
      <w:r>
        <w:t xml:space="preserve">Печенгского </w:t>
      </w:r>
      <w:r>
        <w:t xml:space="preserve">муниципального округа активно реализовывались муниципальные программы по развитию физической культ</w:t>
      </w:r>
      <w:r>
        <w:t xml:space="preserve">уры и спорта. Благодаря им спорт активно внедрялся в систему образования и воспитания подрастающего поколения, использовался как средство отдыха и оздоровления различных групп населения. Также можно отметить процесс постепенного повышения интереса жителей </w:t>
      </w:r>
      <w:r>
        <w:t xml:space="preserve">Печенгского </w:t>
      </w:r>
      <w:r>
        <w:t xml:space="preserve">муниципального округа к занятиям спортом и физической культурой, увеличения значимости и престижности здорового образа жизни. </w:t>
      </w:r>
      <w:r/>
    </w:p>
    <w:p>
      <w:pPr>
        <w:ind w:firstLine="709"/>
        <w:jc w:val="both"/>
      </w:pPr>
      <w:r>
        <w:t xml:space="preserve">Для развития физкультурно-спортивного движения и повышения качества жизни населения на территории </w:t>
      </w:r>
      <w:r>
        <w:t xml:space="preserve">Печенгского </w:t>
      </w:r>
      <w:r>
        <w:t xml:space="preserve">муниципального округа созданы и функционируют МБУ «СК «Металлург», МБУ «СК «Дельфин», МБУ ДО ДЮСШ, спортивные клубы. Вопросы физического воспитания детей и молодежи решаются и в образовательных организациях.</w:t>
      </w:r>
      <w:r/>
    </w:p>
    <w:p>
      <w:pPr>
        <w:ind w:firstLine="709"/>
        <w:jc w:val="both"/>
      </w:pPr>
      <w:r>
        <w:t xml:space="preserve">Однако, несмотря на позитивную динамику развития физической </w:t>
      </w:r>
      <w:r>
        <w:t xml:space="preserve">культуры</w:t>
      </w:r>
      <w:r>
        <w:t xml:space="preserve"> и спорта, сохраняют актуальность вопросы, связанные с повышением мотивации граждан к систематическим занятиям спортом, ведению здорового образа жизни. Значительна</w:t>
      </w:r>
      <w:r>
        <w:t xml:space="preserve">я часть населения не привлечена к систематическим занятиям физической культурой и спортом, что негативно сказывается на здоровье, производительности труда граждан, подготовке молодежи к защите Отечества, профилактике асоциальных явлений в молодежной среде.</w:t>
      </w:r>
      <w:r/>
    </w:p>
    <w:p>
      <w:pPr>
        <w:ind w:right="32" w:firstLine="709"/>
        <w:jc w:val="both"/>
        <w:shd w:val="clear" w:color="auto" w:fill="ffffff"/>
        <w:widowControl w:val="off"/>
      </w:pPr>
      <w:r>
        <w:t xml:space="preserve">Инструментом, позволяющим наиболее эффективным способом решить указанные выше проблемы и обеспечить динамическое развитие сферы физической </w:t>
      </w:r>
      <w:r>
        <w:t xml:space="preserve">культуры</w:t>
      </w:r>
      <w:r>
        <w:t xml:space="preserve"> и станет реализация на территории </w:t>
      </w:r>
      <w:r>
        <w:t xml:space="preserve">Печенгского </w:t>
      </w:r>
      <w:r>
        <w:t xml:space="preserve">муниципального округа данной программы.</w:t>
      </w:r>
      <w:r/>
    </w:p>
    <w:p>
      <w:pPr>
        <w:ind w:right="32" w:firstLine="709"/>
        <w:jc w:val="both"/>
        <w:shd w:val="clear" w:color="auto" w:fill="ffffff"/>
        <w:widowControl w:val="off"/>
      </w:pPr>
      <w:r>
        <w:t xml:space="preserve">Системные меры, включенные в программу, направлены на повышение мотивации населения к занятиям физической культурой и спортом. </w:t>
      </w:r>
      <w:r/>
    </w:p>
    <w:p>
      <w:pPr>
        <w:ind w:right="32" w:firstLine="709"/>
        <w:jc w:val="both"/>
        <w:shd w:val="clear" w:color="auto" w:fill="ffffff"/>
        <w:widowControl w:val="off"/>
      </w:pPr>
      <w:r>
        <w:t xml:space="preserve">Цель программы -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спортом.</w:t>
      </w:r>
      <w:r/>
    </w:p>
    <w:p>
      <w:pPr>
        <w:ind w:right="32" w:firstLine="709"/>
        <w:jc w:val="both"/>
        <w:shd w:val="clear" w:color="auto" w:fill="ffffff"/>
        <w:widowControl w:val="off"/>
      </w:pPr>
      <w:r>
        <w:t xml:space="preserve">Для достижения поставленной цели программы потребуется реализация мероприятий, направленных на решение задач </w:t>
      </w:r>
      <w:r>
        <w:t xml:space="preserve">по</w:t>
      </w:r>
      <w:r>
        <w:t xml:space="preserve">:</w:t>
      </w:r>
      <w:r/>
    </w:p>
    <w:p>
      <w:pPr>
        <w:ind w:firstLine="709"/>
        <w:jc w:val="both"/>
        <w:widowControl w:val="off"/>
        <w:tabs>
          <w:tab w:val="left" w:pos="492" w:leader="none"/>
        </w:tabs>
      </w:pPr>
      <w:r>
        <w:rPr>
          <w:bCs/>
        </w:rPr>
        <w:t xml:space="preserve">- </w:t>
      </w:r>
      <w:r>
        <w:t xml:space="preserve">созданию благоприятных условий для эффективного функцио</w:t>
      </w:r>
      <w:r>
        <w:t xml:space="preserve">нирования спортивных учреждений и объектов</w:t>
      </w:r>
      <w:r>
        <w:t xml:space="preserve">;</w:t>
      </w:r>
      <w:r/>
    </w:p>
    <w:p>
      <w:pPr>
        <w:ind w:firstLine="709"/>
        <w:jc w:val="both"/>
        <w:widowControl w:val="off"/>
        <w:tabs>
          <w:tab w:val="left" w:pos="492" w:leader="none"/>
        </w:tabs>
        <w:rPr>
          <w:bCs/>
        </w:rPr>
      </w:pPr>
      <w:r>
        <w:t xml:space="preserve">-</w:t>
      </w:r>
      <w:r>
        <w:t xml:space="preserve"> п</w:t>
      </w:r>
      <w:r>
        <w:t xml:space="preserve">овышени</w:t>
      </w:r>
      <w:r>
        <w:t xml:space="preserve">ю</w:t>
      </w:r>
      <w:r>
        <w:t xml:space="preserve"> качества предоставляемых услуг учреждения</w:t>
      </w:r>
      <w:r>
        <w:t xml:space="preserve">ми физической культуры и спорта;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widowControl w:val="off"/>
        <w:tabs>
          <w:tab w:val="left" w:pos="492" w:leader="none"/>
        </w:tabs>
      </w:pPr>
      <w:r>
        <w:t xml:space="preserve">- пропаганде здорового образа жизни;</w:t>
      </w:r>
      <w:r/>
    </w:p>
    <w:p>
      <w:pPr>
        <w:ind w:right="32" w:firstLine="709"/>
        <w:jc w:val="both"/>
        <w:shd w:val="clear" w:color="auto" w:fill="ffffff"/>
        <w:widowControl w:val="off"/>
        <w:tabs>
          <w:tab w:val="left" w:pos="709" w:leader="none"/>
          <w:tab w:val="left" w:pos="851" w:leader="none"/>
          <w:tab w:val="left" w:pos="993" w:leader="none"/>
        </w:tabs>
      </w:pPr>
      <w:r>
        <w:t xml:space="preserve">- развитию детско-юношеского спорта.</w:t>
      </w:r>
      <w:r/>
    </w:p>
    <w:p>
      <w:pPr>
        <w:ind w:right="32" w:firstLine="709"/>
        <w:jc w:val="both"/>
        <w:shd w:val="clear" w:color="auto" w:fill="ffffff"/>
        <w:widowControl w:val="off"/>
      </w:pPr>
      <w:r>
        <w:t xml:space="preserve">Данная программа является логическим продолжением реализованных в предыдущие годы муниципальных программ по развитию физической культуры и спорта. Успеш</w:t>
      </w:r>
      <w:r>
        <w:t xml:space="preserve">н</w:t>
      </w:r>
      <w:r>
        <w:t xml:space="preserve">ая</w:t>
      </w:r>
      <w:r>
        <w:t xml:space="preserve"> реализаци</w:t>
      </w:r>
      <w:r>
        <w:t xml:space="preserve">я</w:t>
      </w:r>
      <w:r>
        <w:t xml:space="preserve"> программы будет </w:t>
      </w:r>
      <w:r>
        <w:t xml:space="preserve">способствовать:</w:t>
      </w:r>
      <w:r/>
    </w:p>
    <w:p>
      <w:pPr>
        <w:ind w:right="32" w:firstLine="709"/>
        <w:jc w:val="both"/>
        <w:shd w:val="clear" w:color="auto" w:fill="ffffff"/>
        <w:widowControl w:val="off"/>
      </w:pPr>
      <w:r>
        <w:t xml:space="preserve">- устойчивому и эффективному функционированию спортивных учреждений;</w:t>
      </w:r>
      <w:r/>
    </w:p>
    <w:p>
      <w:pPr>
        <w:ind w:right="32" w:firstLine="709"/>
        <w:jc w:val="both"/>
        <w:shd w:val="clear" w:color="auto" w:fill="ffffff"/>
        <w:widowControl w:val="off"/>
      </w:pPr>
      <w:r>
        <w:t xml:space="preserve">- привлечению к систематическим занятиям физической культуры и спорта наибольшего количества различных слоев населения;</w:t>
      </w:r>
      <w:r/>
    </w:p>
    <w:p>
      <w:pPr>
        <w:ind w:right="32" w:firstLine="709"/>
        <w:jc w:val="both"/>
        <w:shd w:val="clear" w:color="auto" w:fill="ffffff"/>
        <w:widowControl w:val="off"/>
      </w:pPr>
      <w:r>
        <w:t xml:space="preserve">- увеличению количества детей и подростков, занимающихся в специализированных спортивных учреждениях.</w:t>
      </w:r>
      <w:r/>
    </w:p>
    <w:p>
      <w:pPr>
        <w:ind w:right="32" w:firstLine="709"/>
        <w:jc w:val="both"/>
        <w:shd w:val="clear" w:color="auto" w:fill="ffffff"/>
        <w:widowControl w:val="off"/>
      </w:pPr>
      <w:r/>
      <w:r/>
    </w:p>
    <w:p>
      <w:pPr>
        <w:ind w:right="32" w:firstLine="709"/>
        <w:jc w:val="both"/>
        <w:shd w:val="clear" w:color="auto" w:fill="ffffff"/>
        <w:widowControl w:val="off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numPr>
          <w:ilvl w:val="0"/>
          <w:numId w:val="20"/>
        </w:numPr>
        <w:contextualSpacing/>
        <w:ind w:left="0" w:right="32" w:firstLine="0"/>
        <w:jc w:val="center"/>
        <w:spacing w:after="200" w:line="276" w:lineRule="auto"/>
        <w:shd w:val="clear" w:color="auto" w:fill="ffffff"/>
        <w:widowControl w:val="off"/>
        <w:tabs>
          <w:tab w:val="left" w:pos="284" w:leader="none"/>
        </w:tabs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Основные цели и задачи программы с указанием сроков и этапов ее реализации, </w:t>
      </w:r>
      <w:r>
        <w:rPr>
          <w:rFonts w:eastAsia="Calibri"/>
          <w:b/>
          <w:lang w:eastAsia="en-US"/>
        </w:rPr>
        <w:br/>
      </w:r>
      <w:r>
        <w:rPr>
          <w:rFonts w:eastAsia="Calibri"/>
          <w:b/>
          <w:lang w:eastAsia="en-US"/>
        </w:rPr>
        <w:t xml:space="preserve">а также перечень основных мероприятий и показателей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contextualSpacing/>
        <w:ind w:left="786" w:right="32"/>
        <w:spacing w:after="200" w:line="276" w:lineRule="auto"/>
        <w:shd w:val="clear" w:color="auto" w:fill="ffffff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contextualSpacing/>
        <w:ind w:firstLine="709"/>
        <w:jc w:val="both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Целью </w:t>
      </w:r>
      <w:r>
        <w:rPr>
          <w:rFonts w:eastAsia="Calibri"/>
          <w:lang w:eastAsia="en-US"/>
        </w:rPr>
        <w:t xml:space="preserve">п</w:t>
      </w:r>
      <w:r>
        <w:rPr>
          <w:rFonts w:eastAsia="Calibri"/>
          <w:lang w:eastAsia="en-US"/>
        </w:rPr>
        <w:t xml:space="preserve">рограммы является </w:t>
      </w:r>
      <w:r>
        <w:rPr>
          <w:rFonts w:eastAsia="Calibri"/>
          <w:lang w:eastAsia="en-US"/>
        </w:rPr>
        <w:t xml:space="preserve">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contextualSpacing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Задачами </w:t>
      </w:r>
      <w:r>
        <w:rPr>
          <w:rFonts w:eastAsia="Calibri"/>
          <w:lang w:eastAsia="en-US"/>
        </w:rPr>
        <w:t xml:space="preserve">п</w:t>
      </w:r>
      <w:r>
        <w:rPr>
          <w:rFonts w:eastAsia="Calibri"/>
          <w:lang w:eastAsia="en-US"/>
        </w:rPr>
        <w:t xml:space="preserve">рограммы, реализация которых позволит достичь поставленной цели, являются: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widowControl w:val="off"/>
        <w:tabs>
          <w:tab w:val="left" w:pos="492" w:leader="none"/>
          <w:tab w:val="left" w:pos="709" w:leader="none"/>
        </w:tabs>
      </w:pPr>
      <w:r>
        <w:t xml:space="preserve">- создание благоприятных условий для эффективного функцио</w:t>
      </w:r>
      <w:r>
        <w:t xml:space="preserve">нирования спортивных учреждений и объектов;</w:t>
      </w:r>
      <w:r/>
    </w:p>
    <w:p>
      <w:pPr>
        <w:ind w:firstLine="709"/>
        <w:jc w:val="both"/>
        <w:widowControl w:val="off"/>
        <w:tabs>
          <w:tab w:val="left" w:pos="492" w:leader="none"/>
        </w:tabs>
        <w:rPr>
          <w:bCs/>
        </w:rPr>
      </w:pPr>
      <w:r>
        <w:rPr>
          <w:bCs/>
        </w:rPr>
        <w:t xml:space="preserve">-</w:t>
      </w:r>
      <w:r>
        <w:t xml:space="preserve"> </w:t>
      </w:r>
      <w:r>
        <w:t xml:space="preserve">п</w:t>
      </w:r>
      <w:r>
        <w:t xml:space="preserve">овышение качества предоставляемых услуг учреждения</w:t>
      </w:r>
      <w:r>
        <w:t xml:space="preserve">ми физической культуры и спорта;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widowControl w:val="off"/>
        <w:tabs>
          <w:tab w:val="left" w:pos="492" w:leader="none"/>
        </w:tabs>
      </w:pPr>
      <w:r>
        <w:t xml:space="preserve">- пропаганда здорового образа жизни;</w:t>
      </w:r>
      <w:r/>
    </w:p>
    <w:p>
      <w:pPr>
        <w:ind w:firstLine="709"/>
        <w:jc w:val="both"/>
        <w:widowControl w:val="off"/>
        <w:tabs>
          <w:tab w:val="left" w:pos="492" w:leader="none"/>
        </w:tabs>
      </w:pPr>
      <w:r>
        <w:t xml:space="preserve">- развитие детско-юношеского спорта.</w:t>
      </w:r>
      <w:r/>
    </w:p>
    <w:p>
      <w:pPr>
        <w:ind w:firstLine="709"/>
        <w:jc w:val="both"/>
        <w:widowControl w:val="off"/>
      </w:pPr>
      <w:r>
        <w:t xml:space="preserve">Реализация </w:t>
      </w:r>
      <w:r>
        <w:t xml:space="preserve">п</w:t>
      </w:r>
      <w:r>
        <w:t xml:space="preserve">рограммы </w:t>
      </w:r>
      <w:r>
        <w:t xml:space="preserve">рассчитана на 2025 – 2027</w:t>
      </w:r>
      <w:r>
        <w:t xml:space="preserve"> </w:t>
      </w:r>
      <w:r>
        <w:t xml:space="preserve">годы.</w:t>
      </w:r>
      <w:r/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32"/>
        <w:jc w:val="center"/>
        <w:shd w:val="clear" w:color="auto" w:fill="ffffff"/>
        <w:rPr>
          <w:u w:val="single"/>
        </w:rPr>
      </w:pPr>
      <w:r>
        <w:rPr>
          <w:u w:val="single"/>
        </w:rPr>
        <w:t xml:space="preserve">Основные показатели эффективности реализации программы</w:t>
      </w:r>
      <w:r>
        <w:rPr>
          <w:u w:val="single"/>
        </w:rPr>
      </w:r>
      <w:r>
        <w:rPr>
          <w:u w:val="single"/>
        </w:rPr>
      </w:r>
    </w:p>
    <w:p>
      <w:pPr>
        <w:contextualSpacing/>
        <w:ind w:left="720"/>
        <w:jc w:val="center"/>
        <w:spacing w:after="200" w:line="276" w:lineRule="auto"/>
        <w:rPr>
          <w:rFonts w:eastAsia="Calibri"/>
          <w:color w:val="0070c0"/>
          <w:sz w:val="20"/>
          <w:szCs w:val="20"/>
          <w:lang w:eastAsia="en-US"/>
        </w:rPr>
      </w:pPr>
      <w:r>
        <w:rPr>
          <w:rFonts w:eastAsia="Calibri"/>
          <w:color w:val="0070c0"/>
          <w:sz w:val="20"/>
          <w:szCs w:val="20"/>
          <w:lang w:eastAsia="en-US"/>
        </w:rPr>
      </w:r>
      <w:r>
        <w:rPr>
          <w:rFonts w:eastAsia="Calibri"/>
          <w:color w:val="0070c0"/>
          <w:sz w:val="20"/>
          <w:szCs w:val="20"/>
          <w:lang w:eastAsia="en-US"/>
        </w:rPr>
      </w:r>
      <w:r>
        <w:rPr>
          <w:rFonts w:eastAsia="Calibri"/>
          <w:color w:val="0070c0"/>
          <w:sz w:val="20"/>
          <w:szCs w:val="20"/>
          <w:lang w:eastAsia="en-US"/>
        </w:rPr>
      </w:r>
    </w:p>
    <w:p>
      <w:pPr>
        <w:contextualSpacing/>
        <w:ind w:left="720"/>
        <w:jc w:val="center"/>
        <w:spacing w:after="200" w:line="276" w:lineRule="auto"/>
        <w:rPr>
          <w:rFonts w:eastAsia="Calibri"/>
          <w:color w:val="0070c0"/>
          <w:sz w:val="20"/>
          <w:szCs w:val="20"/>
          <w:lang w:eastAsia="en-US"/>
        </w:rPr>
      </w:pPr>
      <w:r>
        <w:rPr>
          <w:rFonts w:eastAsia="Calibri"/>
          <w:color w:val="0070c0"/>
          <w:sz w:val="20"/>
          <w:szCs w:val="20"/>
          <w:lang w:eastAsia="en-US"/>
        </w:rPr>
      </w:r>
      <w:r>
        <w:rPr>
          <w:rFonts w:eastAsia="Calibri"/>
          <w:color w:val="0070c0"/>
          <w:sz w:val="20"/>
          <w:szCs w:val="20"/>
          <w:lang w:eastAsia="en-US"/>
        </w:rPr>
      </w:r>
      <w:r>
        <w:rPr>
          <w:rFonts w:eastAsia="Calibri"/>
          <w:color w:val="0070c0"/>
          <w:sz w:val="20"/>
          <w:szCs w:val="20"/>
          <w:lang w:eastAsia="en-US"/>
        </w:rPr>
      </w:r>
    </w:p>
    <w:tbl>
      <w:tblPr>
        <w:tblW w:w="9640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410"/>
        <w:gridCol w:w="709"/>
        <w:gridCol w:w="850"/>
        <w:gridCol w:w="851"/>
        <w:gridCol w:w="992"/>
        <w:gridCol w:w="850"/>
        <w:gridCol w:w="851"/>
        <w:gridCol w:w="1418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№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п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/п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Цели, 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мероприятия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и показатели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Ед. изм.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Значение показателя 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Источник данных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отчёт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оценка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Годы реализации 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п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рограммы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2023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2024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2025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2026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2027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tabs>
                <w:tab w:val="left" w:pos="280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1.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ind w:left="-4"/>
              <w:jc w:val="both"/>
              <w:tabs>
                <w:tab w:val="left" w:pos="280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Показатель цели муниципальной программы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tabs>
                <w:tab w:val="left" w:pos="280" w:leader="none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ind w:left="-4"/>
              <w:jc w:val="both"/>
              <w:tabs>
                <w:tab w:val="left" w:pos="280" w:leader="none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3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2.</w:t>
            </w:r>
            <w:r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ind w:right="22"/>
              <w:widowControl w:val="off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Показатели 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задач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муниципальной программы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2.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1.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2"/>
              <w:jc w:val="both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муниципального задания учреждениями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%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Отчеты учреждений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right="22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1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2.2.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2"/>
              <w:jc w:val="both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Число посещений МБУ «СК 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43 744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43 7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43 764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44 760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44 760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2"/>
              <w:jc w:val="both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Число посещений 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64 986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64 986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64 998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65 900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65 900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населения, регулярно занимающегося физической культурой и спортом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65,6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67,1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68,6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70,1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71,6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форма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1-ФК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развития и укрепления материально-технической базы учреждений физической культуры и спорта.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ремонтных  работ спортивных объектов учреждений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 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физкультурных и спортивных мероприятий направленных на популяризацию здорового образа жизни среди различных слоев населения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менее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физкультурных и спортивных мероприятий для лиц с огран</w:t>
            </w:r>
            <w:r>
              <w:rPr>
                <w:sz w:val="20"/>
                <w:szCs w:val="20"/>
              </w:rPr>
              <w:t xml:space="preserve">иченными возможностями здоровья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2.9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физкультурных и спортивных мероприятий</w:t>
            </w:r>
            <w:r>
              <w:rPr>
                <w:sz w:val="20"/>
                <w:szCs w:val="20"/>
              </w:rPr>
              <w:t xml:space="preserve"> различного уровня среди обучающихся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2.10.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 xml:space="preserve">зданий</w:t>
            </w:r>
            <w:r>
              <w:rPr>
                <w:sz w:val="20"/>
                <w:szCs w:val="20"/>
              </w:rPr>
              <w:t xml:space="preserve"> в отношении которых проведена реконструкция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 МБУ «СК «Дельфин»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ind w:left="1200"/>
        <w:widowControl w:val="off"/>
        <w:rPr>
          <w:b/>
          <w:bCs/>
        </w:rPr>
        <w:outlineLvl w:val="1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numPr>
          <w:ilvl w:val="0"/>
          <w:numId w:val="20"/>
        </w:numPr>
        <w:jc w:val="center"/>
        <w:widowControl w:val="off"/>
        <w:rPr>
          <w:b/>
          <w:bCs/>
        </w:rPr>
        <w:outlineLvl w:val="1"/>
      </w:pPr>
      <w:r>
        <w:rPr>
          <w:b/>
          <w:bCs/>
        </w:rPr>
        <w:t xml:space="preserve">Механизм реализации программы</w:t>
      </w:r>
      <w:r>
        <w:rPr>
          <w:b/>
          <w:bCs/>
        </w:rPr>
      </w:r>
      <w:r>
        <w:rPr>
          <w:b/>
          <w:bCs/>
        </w:rPr>
      </w:r>
    </w:p>
    <w:p>
      <w:pPr>
        <w:ind w:left="1200"/>
        <w:widowControl w:val="off"/>
        <w:rPr>
          <w:b/>
          <w:bCs/>
        </w:rPr>
        <w:outlineLvl w:val="1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widowControl w:val="off"/>
        <w:rPr>
          <w:rFonts w:eastAsia="Calibri"/>
          <w:lang w:eastAsia="en-US"/>
        </w:rPr>
        <w:outlineLvl w:val="1"/>
      </w:pPr>
      <w:r>
        <w:rPr>
          <w:rFonts w:eastAsia="Calibri"/>
          <w:lang w:eastAsia="en-US"/>
        </w:rPr>
        <w:t xml:space="preserve">Отдел </w:t>
      </w:r>
      <w:r>
        <w:rPr>
          <w:rFonts w:eastAsia="Calibri"/>
          <w:lang w:eastAsia="en-US"/>
        </w:rPr>
        <w:t xml:space="preserve">культуры, </w:t>
      </w:r>
      <w:r>
        <w:rPr>
          <w:rFonts w:eastAsia="Calibri"/>
          <w:lang w:eastAsia="en-US"/>
        </w:rPr>
        <w:t xml:space="preserve">спорта и молодежной политики администрации Печенгского муниципального округа – ответственный исполнитель программы: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tabs>
          <w:tab w:val="left" w:pos="993" w:leader="none"/>
        </w:tabs>
      </w:pPr>
      <w:r>
        <w:t xml:space="preserve">- осуществляет текущее управление мероприятиями программы, </w:t>
      </w:r>
      <w:r>
        <w:t xml:space="preserve">контроль за</w:t>
      </w:r>
      <w:r>
        <w:t xml:space="preserve"> ходом выполнения мероприятий программы, подготовку в установленном порядке отчетности по реализации программы;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 проводит мониторинг реализации программных мероприятий;</w:t>
      </w:r>
      <w:r/>
    </w:p>
    <w:p>
      <w:pPr>
        <w:ind w:firstLine="709"/>
        <w:jc w:val="both"/>
        <w:widowControl w:val="off"/>
        <w:rPr>
          <w:bCs/>
        </w:rPr>
        <w:outlineLvl w:val="1"/>
      </w:pPr>
      <w:r>
        <w:t xml:space="preserve">- </w:t>
      </w:r>
      <w:r>
        <w:t xml:space="preserve">осуществляет подготовку предложений по корректировке программы</w:t>
      </w:r>
      <w:r>
        <w:t xml:space="preserve">.</w:t>
      </w:r>
      <w:r>
        <w:rPr>
          <w:bCs/>
        </w:rPr>
      </w:r>
      <w:r>
        <w:rPr>
          <w:bCs/>
        </w:rPr>
      </w:r>
    </w:p>
    <w:p>
      <w:pPr>
        <w:ind w:left="1200"/>
        <w:widowControl w:val="off"/>
        <w:rPr>
          <w:b/>
          <w:bCs/>
        </w:rPr>
        <w:outlineLvl w:val="1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numPr>
          <w:ilvl w:val="0"/>
          <w:numId w:val="20"/>
        </w:numPr>
        <w:jc w:val="center"/>
        <w:widowControl w:val="off"/>
        <w:rPr>
          <w:b/>
          <w:bCs/>
        </w:rPr>
        <w:outlineLvl w:val="1"/>
      </w:pPr>
      <w:r>
        <w:rPr>
          <w:b/>
          <w:bCs/>
        </w:rPr>
        <w:t xml:space="preserve">Оценка эффективности программы и рисков ее реализации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  <w:outlineLvl w:val="1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widowControl w:val="off"/>
      </w:pPr>
      <w:r>
        <w:t xml:space="preserve">Оценка эффективности выполнения программы </w:t>
      </w:r>
      <w:r>
        <w:t xml:space="preserve">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  <w:r/>
    </w:p>
    <w:p>
      <w:pPr>
        <w:ind w:firstLine="709"/>
        <w:jc w:val="both"/>
        <w:widowControl w:val="off"/>
      </w:pPr>
      <w: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и индикаторов программы) при условии соблюдения обоснованного объема расходов.</w:t>
      </w:r>
      <w:r/>
    </w:p>
    <w:p>
      <w:pPr>
        <w:ind w:firstLine="709"/>
        <w:jc w:val="both"/>
        <w:widowControl w:val="off"/>
      </w:pPr>
      <w:r>
        <w:t xml:space="preserve">Реализация программы подвержена влиянию следующих групп рисков и негативных факторов:</w:t>
      </w:r>
      <w:r/>
    </w:p>
    <w:p>
      <w:pPr>
        <w:ind w:firstLine="709"/>
        <w:jc w:val="both"/>
        <w:widowControl w:val="off"/>
      </w:pPr>
      <w:r>
        <w:t xml:space="preserve">1. Значительным рис</w:t>
      </w:r>
      <w:r>
        <w:t xml:space="preserve">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/>
    </w:p>
    <w:p>
      <w:pPr>
        <w:ind w:firstLine="709"/>
        <w:jc w:val="both"/>
        <w:widowControl w:val="off"/>
      </w:pPr>
      <w:r>
        <w:t xml:space="preserve">В целях минимизации негативного влияния данного риска на ход реализации про</w:t>
      </w:r>
      <w:r>
        <w:t xml:space="preserve">граммы необходимо обеспечить сбалансированное распределение финансовых средств по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/>
    </w:p>
    <w:p>
      <w:pPr>
        <w:ind w:firstLine="709"/>
        <w:jc w:val="both"/>
        <w:widowControl w:val="off"/>
      </w:pPr>
      <w:r>
        <w:t xml:space="preserve">2. Правовые риски, связанные с внесением не предусмотренных программой изменений в федеральные</w:t>
      </w:r>
      <w:r>
        <w:t xml:space="preserve">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  <w:r/>
    </w:p>
    <w:p>
      <w:pPr>
        <w:ind w:firstLine="709"/>
        <w:jc w:val="both"/>
        <w:widowControl w:val="off"/>
      </w:pPr>
      <w: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/>
    </w:p>
    <w:p>
      <w:pPr>
        <w:contextualSpacing/>
        <w:ind w:firstLine="709"/>
        <w:jc w:val="both"/>
        <w:widowControl w:val="off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widowControl w:val="off"/>
      </w:pPr>
      <w:r>
        <w:t xml:space="preserve">Мерами по управлению данным видом рисков служит мониторинг цен и п</w:t>
      </w:r>
      <w:r>
        <w:t xml:space="preserve">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  <w:r/>
    </w:p>
    <w:p>
      <w:pPr>
        <w:ind w:firstLine="709"/>
        <w:jc w:val="both"/>
        <w:widowControl w:val="off"/>
      </w:pPr>
      <w: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  <w:r/>
    </w:p>
    <w:p>
      <w:pPr>
        <w:ind w:firstLine="709"/>
        <w:jc w:val="both"/>
        <w:widowControl w:val="off"/>
      </w:pPr>
      <w:r>
        <w:t xml:space="preserve">В целях минимизации негативного влияния данного риска на ход реализации </w:t>
      </w:r>
      <w:r>
        <w:t xml:space="preserve">п</w:t>
      </w:r>
      <w:r>
        <w:t xml:space="preserve">рограммы необходимо обеспечить оперативный мониторинг выполнения мероприятий </w:t>
      </w:r>
      <w:r>
        <w:t xml:space="preserve">п</w:t>
      </w:r>
      <w:r>
        <w:t xml:space="preserve"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/>
    </w:p>
    <w:p>
      <w:pPr>
        <w:ind w:firstLine="709"/>
        <w:jc w:val="both"/>
        <w:widowControl w:val="off"/>
      </w:pPr>
      <w: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  <w:r/>
    </w:p>
    <w:p>
      <w:pPr>
        <w:ind w:firstLine="709"/>
        <w:jc w:val="both"/>
        <w:widowControl w:val="off"/>
      </w:pPr>
      <w:r>
        <w:t xml:space="preserve">Управление рисками будет осуществляться на основе регулярного мониторинга реализации программы.</w:t>
      </w:r>
      <w:r/>
    </w:p>
    <w:p>
      <w:pPr>
        <w:rPr>
          <w:b/>
          <w:bCs/>
        </w:rPr>
        <w:sectPr>
          <w:headerReference w:type="even" r:id="rId9"/>
          <w:footnotePr/>
          <w:endnotePr/>
          <w:type w:val="nextPage"/>
          <w:pgSz w:w="11906" w:h="16838" w:orient="portrait"/>
          <w:pgMar w:top="1135" w:right="850" w:bottom="1134" w:left="1701" w:header="720" w:footer="720" w:gutter="0"/>
          <w:cols w:num="1" w:sep="0" w:space="720" w:equalWidth="1"/>
          <w:docGrid w:linePitch="360"/>
          <w:titlePg/>
        </w:sect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left="9639"/>
        <w:jc w:val="right"/>
        <w:tabs>
          <w:tab w:val="left" w:pos="993" w:leader="none"/>
        </w:tabs>
      </w:pPr>
      <w:r>
        <w:t xml:space="preserve">Приложение</w:t>
      </w:r>
      <w:r>
        <w:t xml:space="preserve"> </w:t>
      </w:r>
      <w:r>
        <w:t xml:space="preserve">1</w:t>
      </w:r>
      <w:r/>
    </w:p>
    <w:p>
      <w:pPr>
        <w:ind w:left="9639"/>
        <w:jc w:val="right"/>
        <w:tabs>
          <w:tab w:val="left" w:pos="993" w:leader="none"/>
        </w:tabs>
      </w:pPr>
      <w:r>
        <w:t xml:space="preserve"> </w:t>
      </w:r>
      <w:r>
        <w:t xml:space="preserve">к </w:t>
      </w:r>
      <w:r>
        <w:t xml:space="preserve">про</w:t>
      </w:r>
      <w:r>
        <w:t xml:space="preserve">грамме</w:t>
      </w:r>
      <w:r>
        <w:t xml:space="preserve"> </w:t>
      </w:r>
      <w:r>
        <w:t xml:space="preserve">  </w:t>
      </w:r>
      <w:r/>
    </w:p>
    <w:p>
      <w:pPr>
        <w:jc w:val="center"/>
        <w:tabs>
          <w:tab w:val="left" w:pos="993" w:leader="none"/>
        </w:tabs>
        <w:rPr>
          <w:b/>
        </w:rPr>
      </w:pPr>
      <w:r>
        <w:rPr>
          <w:b/>
        </w:rPr>
        <w:t xml:space="preserve">П</w:t>
      </w:r>
      <w:r>
        <w:rPr>
          <w:b/>
        </w:rPr>
        <w:t xml:space="preserve">ЕРЕЧЕНЬ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3" w:leader="none"/>
        </w:tabs>
      </w:pPr>
      <w:r>
        <w:t xml:space="preserve"> </w:t>
      </w:r>
      <w:r>
        <w:t xml:space="preserve">м</w:t>
      </w:r>
      <w:r>
        <w:t xml:space="preserve">ероприятий</w:t>
      </w:r>
      <w:r>
        <w:t xml:space="preserve"> </w:t>
      </w:r>
      <w:r>
        <w:t xml:space="preserve">программы</w:t>
      </w:r>
      <w:r>
        <w:t xml:space="preserve"> с объёмом финансирования</w:t>
      </w:r>
      <w:r/>
    </w:p>
    <w:p>
      <w:pPr>
        <w:jc w:val="center"/>
        <w:rPr>
          <w:bCs/>
          <w:color w:val="0070c0"/>
          <w:sz w:val="20"/>
          <w:szCs w:val="20"/>
        </w:rPr>
      </w:pP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</w:p>
    <w:p>
      <w:pPr>
        <w:jc w:val="center"/>
        <w:rPr>
          <w:bCs/>
          <w:color w:val="0070c0"/>
          <w:sz w:val="20"/>
          <w:szCs w:val="20"/>
        </w:rPr>
      </w:pP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</w:p>
    <w:tbl>
      <w:tblPr>
        <w:tblW w:w="4731" w:type="pct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4"/>
        <w:gridCol w:w="4962"/>
        <w:gridCol w:w="1277"/>
        <w:gridCol w:w="1133"/>
        <w:gridCol w:w="84"/>
        <w:gridCol w:w="117"/>
        <w:gridCol w:w="1220"/>
        <w:gridCol w:w="36"/>
        <w:gridCol w:w="24"/>
        <w:gridCol w:w="1214"/>
        <w:gridCol w:w="6"/>
        <w:gridCol w:w="57"/>
        <w:gridCol w:w="1091"/>
        <w:gridCol w:w="9"/>
        <w:gridCol w:w="1250"/>
        <w:gridCol w:w="1827"/>
      </w:tblGrid>
      <w:tr>
        <w:tblPrEx/>
        <w:trPr>
          <w:trHeight w:val="780"/>
        </w:trPr>
        <w:tc>
          <w:tcPr>
            <w:shd w:val="clear" w:color="auto" w:fill="auto"/>
            <w:tcW w:w="2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№ </w:t>
            </w:r>
            <w:r>
              <w:rPr>
                <w:bCs/>
                <w:sz w:val="23"/>
                <w:szCs w:val="23"/>
              </w:rPr>
              <w:t xml:space="preserve">п</w:t>
            </w:r>
            <w:r>
              <w:rPr>
                <w:bCs/>
                <w:sz w:val="23"/>
                <w:szCs w:val="23"/>
              </w:rPr>
              <w:t xml:space="preserve">/п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Цели, </w:t>
            </w:r>
            <w:r>
              <w:rPr>
                <w:bCs/>
                <w:sz w:val="23"/>
                <w:szCs w:val="23"/>
              </w:rPr>
              <w:t xml:space="preserve">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Источники </w:t>
            </w:r>
            <w:r>
              <w:rPr>
                <w:bCs/>
                <w:sz w:val="23"/>
                <w:szCs w:val="23"/>
              </w:rPr>
              <w:t xml:space="preserve">ф</w:t>
            </w:r>
            <w:r>
              <w:rPr>
                <w:bCs/>
                <w:sz w:val="23"/>
                <w:szCs w:val="23"/>
              </w:rPr>
              <w:t xml:space="preserve">инансирования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9"/>
            <w:shd w:val="clear" w:color="auto" w:fill="auto"/>
            <w:tcW w:w="163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тысяч рублей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Исполнител</w:t>
            </w:r>
            <w:r>
              <w:rPr>
                <w:bCs/>
                <w:sz w:val="23"/>
                <w:szCs w:val="23"/>
              </w:rPr>
              <w:t xml:space="preserve">и</w:t>
            </w:r>
            <w:r>
              <w:rPr>
                <w:bCs/>
                <w:sz w:val="23"/>
                <w:szCs w:val="23"/>
              </w:rPr>
              <w:t xml:space="preserve">, соисполнител</w:t>
            </w:r>
            <w:r>
              <w:rPr>
                <w:bCs/>
                <w:sz w:val="23"/>
                <w:szCs w:val="23"/>
              </w:rPr>
              <w:t xml:space="preserve">и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4"/>
            <w:shd w:val="clear" w:color="auto" w:fill="auto"/>
            <w:tcW w:w="38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23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4"/>
            <w:shd w:val="clear" w:color="auto" w:fill="auto"/>
            <w:tcW w:w="38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6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</w:t>
            </w:r>
            <w:r>
              <w:rPr>
                <w:b/>
                <w:bCs/>
                <w:sz w:val="23"/>
                <w:szCs w:val="23"/>
              </w:rPr>
              <w:t xml:space="preserve">: Создание условий для </w:t>
            </w:r>
            <w:r>
              <w:rPr>
                <w:b/>
                <w:bCs/>
                <w:sz w:val="23"/>
                <w:szCs w:val="23"/>
              </w:rPr>
              <w:t xml:space="preserve">максимальной вовлеченности населения Печенгского муниципального округа в систематические занятия физической культурой и спортом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6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</w:t>
            </w:r>
            <w:r>
              <w:rPr>
                <w:b/>
                <w:sz w:val="23"/>
                <w:szCs w:val="23"/>
              </w:rPr>
              <w:t xml:space="preserve">м</w:t>
            </w:r>
            <w:r>
              <w:rPr>
                <w:b/>
                <w:sz w:val="23"/>
                <w:szCs w:val="23"/>
              </w:rPr>
              <w:t xml:space="preserve">ероприятие </w:t>
            </w:r>
            <w:r>
              <w:rPr>
                <w:b/>
                <w:sz w:val="23"/>
                <w:szCs w:val="23"/>
              </w:rPr>
              <w:t xml:space="preserve">1</w:t>
            </w:r>
            <w:r>
              <w:rPr>
                <w:b/>
                <w:sz w:val="23"/>
                <w:szCs w:val="23"/>
              </w:rPr>
              <w:t xml:space="preserve">. </w:t>
            </w:r>
            <w:r>
              <w:rPr>
                <w:b/>
                <w:sz w:val="23"/>
                <w:szCs w:val="23"/>
              </w:rPr>
              <w:t xml:space="preserve">Создание благоприятных условий для эффективного функционирования спортивных учреждений и объектов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172739,3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57096,2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57555,0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58088,1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36600,0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209339,3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69296,2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69755,0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70288,1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по оплате труда и начислени</w:t>
            </w:r>
            <w:r>
              <w:rPr>
                <w:sz w:val="22"/>
                <w:szCs w:val="22"/>
              </w:rPr>
              <w:t xml:space="preserve">ям</w:t>
            </w:r>
            <w:r>
              <w:rPr>
                <w:sz w:val="22"/>
                <w:szCs w:val="22"/>
              </w:rPr>
              <w:t xml:space="preserve"> на выплаты по оплате труда работникам муниципальных учреждений, в том числе: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70112,9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22760,5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23676,2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23676,2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12372,8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4016,6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4178,1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4178,1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82485,7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26777,1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27854,3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27854,3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</w:t>
            </w:r>
            <w:r>
              <w:rPr>
                <w:sz w:val="20"/>
                <w:szCs w:val="20"/>
              </w:rPr>
              <w:t xml:space="preserve">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sz w:val="20"/>
                <w:szCs w:val="20"/>
              </w:rPr>
              <w:t xml:space="preserve">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12768,8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4145,2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4311,8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4311,8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2253,3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731,5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760,9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760,9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15022,1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4876,7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5072,7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5072,7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Частичная компенсация дополнительных расходов на повышение оплаты труда работ</w:t>
            </w:r>
            <w:r>
              <w:rPr>
                <w:sz w:val="20"/>
                <w:szCs w:val="20"/>
              </w:rPr>
              <w:t xml:space="preserve">ников муниципальных учреждений 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вязи с доведением оплаты труда до минимального </w:t>
            </w:r>
            <w:r>
              <w:rPr>
                <w:sz w:val="20"/>
                <w:szCs w:val="20"/>
              </w:rPr>
              <w:t xml:space="preserve">размера оплаты труда</w:t>
            </w:r>
            <w:r>
              <w:rPr>
                <w:sz w:val="20"/>
                <w:szCs w:val="20"/>
              </w:rPr>
              <w:t xml:space="preserve">, установленного федеральным законом от 19.06.2000 № 82-ФЗ «О </w:t>
            </w:r>
            <w:r>
              <w:rPr>
                <w:sz w:val="20"/>
                <w:szCs w:val="20"/>
              </w:rPr>
              <w:t xml:space="preserve">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57344,1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18615,3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19364,4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19364,4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10119,5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3285,1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3417,2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3417,2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67463,6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21900,4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22781,6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22781,6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мероприятию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70112,9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22760,5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23676,2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23676,2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185112,1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61112,8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61733,1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62266,2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36600,0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291825,0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96073,3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97609,3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98142,4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2. Повышение качества предоставляемых услуг учреждениями физической культуры и спорта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</w:t>
            </w:r>
            <w:r>
              <w:rPr>
                <w:b/>
                <w:sz w:val="22"/>
                <w:szCs w:val="22"/>
              </w:rPr>
              <w:t xml:space="preserve">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</w:t>
            </w:r>
            <w:r>
              <w:rPr>
                <w:b/>
                <w:sz w:val="22"/>
                <w:szCs w:val="22"/>
              </w:rPr>
              <w:t xml:space="preserve">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мероприятию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</w:t>
            </w:r>
            <w:r>
              <w:rPr>
                <w:b/>
                <w:sz w:val="22"/>
                <w:szCs w:val="22"/>
              </w:rPr>
              <w:t xml:space="preserve">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</w:t>
            </w:r>
            <w:r>
              <w:rPr>
                <w:b/>
                <w:sz w:val="22"/>
                <w:szCs w:val="22"/>
              </w:rPr>
              <w:t xml:space="preserve">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</w:t>
            </w:r>
            <w:r>
              <w:rPr>
                <w:b/>
                <w:sz w:val="22"/>
                <w:szCs w:val="22"/>
              </w:rPr>
              <w:t xml:space="preserve">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</w:t>
            </w:r>
            <w:r>
              <w:rPr>
                <w:b/>
                <w:sz w:val="22"/>
                <w:szCs w:val="22"/>
              </w:rPr>
              <w:t xml:space="preserve">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71"/>
        </w:trPr>
        <w:tc>
          <w:tcPr>
            <w:gridSpan w:val="16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3. </w:t>
            </w:r>
            <w:r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 xml:space="preserve">Пропаганда здорового образа жизни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обеспечение участия спортсменов с ограниченными возможностями здоровья Печенгского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r>
        <w:br w:type="page" w:clear="all"/>
      </w:r>
      <w:r/>
    </w:p>
    <w:tbl>
      <w:tblPr>
        <w:tblW w:w="4731" w:type="pct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4"/>
        <w:gridCol w:w="4962"/>
        <w:gridCol w:w="1277"/>
        <w:gridCol w:w="1217"/>
        <w:gridCol w:w="1337"/>
        <w:gridCol w:w="1280"/>
        <w:gridCol w:w="1148"/>
        <w:gridCol w:w="1259"/>
        <w:gridCol w:w="1827"/>
      </w:tblGrid>
      <w:tr>
        <w:tblPrEx/>
        <w:trPr>
          <w:trHeight w:val="253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Реконструкция спортивного комплекса «Строитель» в г. Заполярный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МСУ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2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3"/>
        </w:trPr>
        <w:tc>
          <w:tcPr>
            <w:shd w:val="clear" w:color="auto" w:fill="auto"/>
            <w:tcW w:w="2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shd w:val="clear" w:color="auto" w:fill="auto"/>
            <w:tcW w:w="2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W w:w="2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мероприятию 3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69500,0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63500,0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</w:t>
            </w:r>
            <w:r>
              <w:rPr>
                <w:b/>
                <w:bCs/>
                <w:sz w:val="23"/>
                <w:szCs w:val="23"/>
              </w:rPr>
              <w:t xml:space="preserve">4</w:t>
            </w:r>
            <w:r>
              <w:rPr>
                <w:b/>
                <w:bCs/>
                <w:sz w:val="23"/>
                <w:szCs w:val="23"/>
              </w:rPr>
              <w:t xml:space="preserve">. </w:t>
            </w:r>
            <w:r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 xml:space="preserve">Развитие детско-юношеского спорта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участие обучающихся Печенгского муниципального округа в физкультурных и спортивных мероприятиях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sz w:val="22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    СОШ, ООШ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мероприятию 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3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п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83612,9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36260,5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23676,2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23676,2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205962,1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75062,8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65183,1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65716,2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51600,0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27200,0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371175,0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168523,3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101059,3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101592,4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ФБ - федеральный бюджет;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ОБ - областной бюджет;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МБ - местный бюджет;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ВБС - внебюджетные средства.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9639" w:right="-371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9639" w:right="-371"/>
        <w:jc w:val="right"/>
        <w:tabs>
          <w:tab w:val="left" w:pos="15026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371"/>
        <w:tabs>
          <w:tab w:val="left" w:pos="15026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9639" w:right="-371"/>
        <w:jc w:val="right"/>
        <w:tabs>
          <w:tab w:val="left" w:pos="15026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9639" w:right="-371"/>
        <w:jc w:val="right"/>
        <w:tabs>
          <w:tab w:val="left" w:pos="15026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9639" w:right="-371"/>
        <w:jc w:val="right"/>
        <w:tabs>
          <w:tab w:val="left" w:pos="15026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9639" w:right="-371"/>
        <w:jc w:val="right"/>
        <w:tabs>
          <w:tab w:val="left" w:pos="15026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9639" w:right="65"/>
        <w:jc w:val="right"/>
        <w:tabs>
          <w:tab w:val="left" w:pos="15026" w:leader="none"/>
        </w:tabs>
      </w:pPr>
      <w:r/>
      <w:r/>
    </w:p>
    <w:p>
      <w:pPr>
        <w:ind w:left="9639" w:right="65"/>
        <w:jc w:val="right"/>
        <w:tabs>
          <w:tab w:val="left" w:pos="15026" w:leader="none"/>
        </w:tabs>
      </w:pPr>
      <w:r>
        <w:t xml:space="preserve">Приложение</w:t>
      </w:r>
      <w:r>
        <w:t xml:space="preserve"> 2</w:t>
      </w:r>
      <w:r/>
    </w:p>
    <w:p>
      <w:pPr>
        <w:ind w:left="9639" w:right="65"/>
        <w:jc w:val="right"/>
      </w:pPr>
      <w:r>
        <w:t xml:space="preserve">к </w:t>
      </w:r>
      <w:r>
        <w:t xml:space="preserve">п</w:t>
      </w:r>
      <w:r>
        <w:t xml:space="preserve">рограмме</w:t>
      </w:r>
      <w:r>
        <w:t xml:space="preserve">  </w:t>
      </w:r>
      <w:r/>
    </w:p>
    <w:p>
      <w:pPr>
        <w:ind w:left="142" w:right="-371"/>
        <w:jc w:val="center"/>
      </w:pPr>
      <w:r>
        <w:rPr>
          <w:b/>
        </w:rPr>
        <w:t xml:space="preserve">ПЕРЕЧЕНЬ</w:t>
      </w:r>
      <w:r>
        <w:t xml:space="preserve"> </w:t>
      </w:r>
      <w:r/>
    </w:p>
    <w:p>
      <w:pPr>
        <w:ind w:left="142" w:right="-371"/>
        <w:jc w:val="center"/>
      </w:pPr>
      <w:r>
        <w:t xml:space="preserve">м</w:t>
      </w:r>
      <w:r>
        <w:t xml:space="preserve">ероприятий</w:t>
      </w:r>
      <w:r>
        <w:t xml:space="preserve"> программы</w:t>
      </w:r>
      <w:r>
        <w:t xml:space="preserve"> </w:t>
      </w:r>
      <w:r>
        <w:t xml:space="preserve">с показателями результативности выполнения мероприятий</w:t>
      </w:r>
      <w:r/>
    </w:p>
    <w:p>
      <w:pPr>
        <w:jc w:val="center"/>
        <w:rPr>
          <w:color w:val="0070c0"/>
          <w:sz w:val="20"/>
          <w:szCs w:val="20"/>
        </w:rPr>
        <w:outlineLvl w:val="1"/>
      </w:pP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p>
      <w:pPr>
        <w:jc w:val="center"/>
        <w:outlineLvl w:val="1"/>
      </w:pPr>
      <w:r/>
      <w:r/>
    </w:p>
    <w:tbl>
      <w:tblPr>
        <w:tblW w:w="20656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544"/>
        <w:gridCol w:w="1276"/>
        <w:gridCol w:w="3827"/>
        <w:gridCol w:w="992"/>
        <w:gridCol w:w="993"/>
        <w:gridCol w:w="992"/>
        <w:gridCol w:w="992"/>
        <w:gridCol w:w="1985"/>
        <w:gridCol w:w="5205"/>
      </w:tblGrid>
      <w:tr>
        <w:tblPrEx/>
        <w:trPr>
          <w:gridAfter w:val="1"/>
          <w:trHeight w:val="760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№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п</w:t>
            </w:r>
            <w:r>
              <w:rPr>
                <w:b w:val="0"/>
                <w:sz w:val="23"/>
                <w:szCs w:val="23"/>
              </w:rPr>
              <w:t xml:space="preserve">/п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Ц</w:t>
            </w:r>
            <w:r>
              <w:rPr>
                <w:b w:val="0"/>
                <w:sz w:val="23"/>
                <w:szCs w:val="23"/>
              </w:rPr>
              <w:t xml:space="preserve">ели, мероприятия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Срок исполнения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Наименование показателя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Ед.</w:t>
            </w:r>
            <w:r>
              <w:rPr>
                <w:b w:val="0"/>
                <w:sz w:val="23"/>
                <w:szCs w:val="23"/>
              </w:rPr>
              <w:t xml:space="preserve"> </w:t>
            </w:r>
            <w:r>
              <w:rPr>
                <w:b w:val="0"/>
                <w:sz w:val="23"/>
                <w:szCs w:val="23"/>
              </w:rPr>
              <w:t xml:space="preserve">изм.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Показатели результативности </w:t>
            </w:r>
            <w:r>
              <w:rPr>
                <w:b w:val="0"/>
                <w:sz w:val="23"/>
                <w:szCs w:val="23"/>
              </w:rPr>
              <w:t xml:space="preserve">в</w:t>
            </w:r>
            <w:r>
              <w:rPr>
                <w:b w:val="0"/>
                <w:sz w:val="23"/>
                <w:szCs w:val="23"/>
              </w:rPr>
              <w:t xml:space="preserve">ыполнения мероприятий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Исполнител</w:t>
            </w:r>
            <w:r>
              <w:rPr>
                <w:b w:val="0"/>
                <w:sz w:val="23"/>
                <w:szCs w:val="23"/>
              </w:rPr>
              <w:t xml:space="preserve">ь</w:t>
            </w:r>
            <w:r>
              <w:rPr>
                <w:b w:val="0"/>
                <w:sz w:val="23"/>
                <w:szCs w:val="23"/>
              </w:rPr>
              <w:t xml:space="preserve">, соисполнител</w:t>
            </w:r>
            <w:r>
              <w:rPr>
                <w:b w:val="0"/>
                <w:sz w:val="23"/>
                <w:szCs w:val="23"/>
              </w:rPr>
              <w:t xml:space="preserve">ь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</w:tr>
      <w:tr>
        <w:tblPrEx/>
        <w:trPr>
          <w:gridAfter w:val="1"/>
          <w:trHeight w:val="28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20</w:t>
            </w:r>
            <w:r>
              <w:rPr>
                <w:b w:val="0"/>
                <w:sz w:val="23"/>
                <w:szCs w:val="23"/>
              </w:rPr>
              <w:t xml:space="preserve">2</w:t>
            </w:r>
            <w:r>
              <w:rPr>
                <w:b w:val="0"/>
                <w:sz w:val="23"/>
                <w:szCs w:val="23"/>
              </w:rPr>
              <w:t xml:space="preserve">5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20</w:t>
            </w:r>
            <w:r>
              <w:rPr>
                <w:b w:val="0"/>
                <w:sz w:val="23"/>
                <w:szCs w:val="23"/>
              </w:rPr>
              <w:t xml:space="preserve">26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20</w:t>
            </w:r>
            <w:r>
              <w:rPr>
                <w:b w:val="0"/>
                <w:sz w:val="23"/>
                <w:szCs w:val="23"/>
              </w:rPr>
              <w:t xml:space="preserve">2</w:t>
            </w:r>
            <w:r>
              <w:rPr>
                <w:b w:val="0"/>
                <w:sz w:val="23"/>
                <w:szCs w:val="23"/>
              </w:rPr>
              <w:t xml:space="preserve">7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1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3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4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5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6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7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8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pStyle w:val="928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9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</w:tr>
      <w:tr>
        <w:tblPrEx/>
        <w:trPr>
          <w:gridAfter w:val="1"/>
          <w:trHeight w:val="319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</w:t>
            </w:r>
            <w:r>
              <w:rPr>
                <w:b/>
                <w:bCs/>
                <w:sz w:val="23"/>
                <w:szCs w:val="23"/>
              </w:rPr>
              <w:t xml:space="preserve">: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gridAfter w:val="1"/>
          <w:trHeight w:val="319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</w:t>
            </w:r>
            <w:r>
              <w:rPr>
                <w:b/>
                <w:sz w:val="23"/>
                <w:szCs w:val="23"/>
              </w:rPr>
              <w:t xml:space="preserve">м</w:t>
            </w:r>
            <w:r>
              <w:rPr>
                <w:b/>
                <w:sz w:val="23"/>
                <w:szCs w:val="23"/>
              </w:rPr>
              <w:t xml:space="preserve">ероприятие </w:t>
            </w:r>
            <w:r>
              <w:rPr>
                <w:b/>
                <w:sz w:val="23"/>
                <w:szCs w:val="23"/>
              </w:rPr>
              <w:t xml:space="preserve">1. </w:t>
            </w:r>
            <w:r>
              <w:rPr>
                <w:b/>
                <w:sz w:val="23"/>
                <w:szCs w:val="23"/>
              </w:rPr>
              <w:t xml:space="preserve">Создание благоприятных условий для эффективного функционирования спортивных учреждений и объектов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928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Выполнение муниципального задания учреждениями спорта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928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color w:val="000000"/>
                <w:sz w:val="22"/>
                <w:szCs w:val="22"/>
              </w:rPr>
              <w:t xml:space="preserve">Число посещений МБУ «СК «Металлург»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2"/>
                <w:szCs w:val="20"/>
                <w:lang w:eastAsia="en-US"/>
              </w:rPr>
            </w:pPr>
            <w:r>
              <w:rPr>
                <w:rFonts w:eastAsia="Calibri"/>
                <w:sz w:val="22"/>
                <w:szCs w:val="20"/>
                <w:lang w:eastAsia="en-US"/>
              </w:rPr>
              <w:t xml:space="preserve">43 764</w:t>
            </w:r>
            <w:r>
              <w:rPr>
                <w:rFonts w:eastAsia="Calibri"/>
                <w:sz w:val="22"/>
                <w:szCs w:val="20"/>
                <w:lang w:eastAsia="en-US"/>
              </w:rPr>
            </w:r>
            <w:r>
              <w:rPr>
                <w:rFonts w:eastAsia="Calibri"/>
                <w:sz w:val="22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44 760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44 760</w:t>
            </w:r>
            <w:r/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928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color w:val="000000"/>
                <w:sz w:val="22"/>
                <w:szCs w:val="22"/>
              </w:rPr>
              <w:t xml:space="preserve">Число посещений МБУ «СК «Дельфин»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2"/>
                <w:szCs w:val="20"/>
                <w:lang w:eastAsia="en-US"/>
              </w:rPr>
            </w:pPr>
            <w:r>
              <w:rPr>
                <w:rFonts w:eastAsia="Calibri"/>
                <w:sz w:val="22"/>
                <w:szCs w:val="20"/>
                <w:lang w:eastAsia="en-US"/>
              </w:rPr>
              <w:t xml:space="preserve">64 998</w:t>
            </w:r>
            <w:r>
              <w:rPr>
                <w:rFonts w:eastAsia="Calibri"/>
                <w:sz w:val="22"/>
                <w:szCs w:val="20"/>
                <w:lang w:eastAsia="en-US"/>
              </w:rPr>
            </w:r>
            <w:r>
              <w:rPr>
                <w:rFonts w:eastAsia="Calibri"/>
                <w:sz w:val="22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65 900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65 900</w:t>
            </w:r>
            <w:r/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населения регулярно занимающегося физической культурой и спортом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по оплате труда и начислен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ям</w:t>
            </w:r>
            <w:r>
              <w:rPr>
                <w:sz w:val="22"/>
                <w:szCs w:val="22"/>
              </w:rPr>
              <w:t xml:space="preserve"> на 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указов Президента Российской Федерации по оплате труда и начислени</w:t>
            </w:r>
            <w:r>
              <w:rPr>
                <w:sz w:val="22"/>
                <w:szCs w:val="22"/>
              </w:rPr>
              <w:t xml:space="preserve">ям</w:t>
            </w:r>
            <w:r>
              <w:rPr>
                <w:sz w:val="22"/>
                <w:szCs w:val="22"/>
              </w:rPr>
              <w:t xml:space="preserve"> на 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2. Повышение качества предоставляемых услуг учреждениями физической культуры и спорта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развития и укрепления материально-технической базы учреждений </w:t>
            </w:r>
            <w:r>
              <w:rPr>
                <w:sz w:val="22"/>
                <w:szCs w:val="22"/>
              </w:rPr>
              <w:t xml:space="preserve">физической </w:t>
            </w:r>
            <w:r>
              <w:rPr>
                <w:sz w:val="22"/>
                <w:szCs w:val="22"/>
              </w:rPr>
              <w:t xml:space="preserve">культуры</w:t>
            </w:r>
            <w:r>
              <w:rPr>
                <w:sz w:val="22"/>
                <w:szCs w:val="22"/>
              </w:rPr>
              <w:t xml:space="preserve">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ремонтных работ спортивных объектов учреждений </w:t>
            </w:r>
            <w:r>
              <w:rPr>
                <w:sz w:val="22"/>
                <w:szCs w:val="22"/>
              </w:rPr>
              <w:t xml:space="preserve">физической культуры и </w:t>
            </w:r>
            <w:r>
              <w:rPr>
                <w:sz w:val="22"/>
                <w:szCs w:val="22"/>
              </w:rPr>
              <w:t xml:space="preserve">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</w:t>
            </w:r>
            <w:r>
              <w:rPr>
                <w:b/>
                <w:bCs/>
                <w:sz w:val="22"/>
                <w:szCs w:val="22"/>
              </w:rPr>
              <w:t xml:space="preserve">ероприятие 3. </w:t>
            </w:r>
            <w:r>
              <w:rPr>
                <w:b/>
                <w:sz w:val="22"/>
                <w:szCs w:val="22"/>
              </w:rPr>
              <w:t xml:space="preserve"> </w:t>
            </w:r>
            <w:bookmarkStart w:id="0" w:name="_GoBack"/>
            <w:r/>
            <w:bookmarkEnd w:id="0"/>
            <w:r>
              <w:rPr>
                <w:b/>
                <w:sz w:val="22"/>
                <w:szCs w:val="22"/>
              </w:rPr>
              <w:t xml:space="preserve">Пропаганда здорового образа жизни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520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  <w:trHeight w:val="2147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 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</w:t>
            </w:r>
            <w:r>
              <w:rPr>
                <w:sz w:val="20"/>
                <w:szCs w:val="20"/>
              </w:rPr>
              <w:t xml:space="preserve">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98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обеспечение участия спортсменов с ограниченными возможностями здоровья Печенгского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Количество физкультурных и спортивных мероприятий для лиц с огран</w:t>
            </w:r>
            <w:r>
              <w:rPr>
                <w:sz w:val="22"/>
                <w:szCs w:val="20"/>
              </w:rPr>
              <w:t xml:space="preserve">иченными возможностями здоровья</w:t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</w:t>
            </w:r>
            <w:r>
              <w:rPr>
                <w:sz w:val="22"/>
                <w:szCs w:val="22"/>
              </w:rPr>
              <w:t xml:space="preserve">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</w:t>
            </w:r>
            <w:r>
              <w:rPr>
                <w:sz w:val="20"/>
                <w:szCs w:val="20"/>
              </w:rPr>
              <w:t xml:space="preserve">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98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Реконструкция спортивного комплекса «Строитель» в г. Заполярный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r>
              <w:rPr>
                <w:sz w:val="22"/>
                <w:szCs w:val="22"/>
              </w:rPr>
              <w:t xml:space="preserve">зданий</w:t>
            </w:r>
            <w:r>
              <w:rPr>
                <w:sz w:val="22"/>
                <w:szCs w:val="22"/>
              </w:rPr>
              <w:t xml:space="preserve"> в отношении которых проведена реконструкция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МСУ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</w:t>
            </w:r>
            <w:r>
              <w:rPr>
                <w:b/>
                <w:bCs/>
                <w:sz w:val="22"/>
                <w:szCs w:val="22"/>
              </w:rPr>
              <w:t xml:space="preserve">ероприятие 4. </w:t>
            </w:r>
            <w:r>
              <w:rPr>
                <w:b/>
                <w:sz w:val="22"/>
                <w:szCs w:val="22"/>
              </w:rPr>
              <w:t xml:space="preserve"> Развитие детско-юношеского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участие обучающихся Печенгского муниципального округа в физкультурных и спортивных мероприятиях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физкультурных и спортивных мероприятий различного уровня среди обучающихся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</w:t>
            </w:r>
            <w:r>
              <w:rPr>
                <w:sz w:val="20"/>
                <w:szCs w:val="20"/>
              </w:rPr>
              <w:t xml:space="preserve">л образования,              </w:t>
            </w:r>
            <w:r>
              <w:rPr>
                <w:sz w:val="20"/>
                <w:szCs w:val="20"/>
              </w:rPr>
              <w:t xml:space="preserve"> СОШ, ООШ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28"/>
        <w:jc w:val="right"/>
        <w:widowControl/>
        <w:rPr>
          <w:b w:val="0"/>
        </w:r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pPr>
        <w:pStyle w:val="928"/>
        <w:jc w:val="right"/>
        <w:widowControl/>
        <w:rPr>
          <w:b w:val="0"/>
        </w:r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pPr>
        <w:pStyle w:val="928"/>
        <w:jc w:val="right"/>
        <w:widowControl/>
        <w:rPr>
          <w:b w:val="0"/>
        </w:r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pPr>
        <w:pStyle w:val="928"/>
        <w:widowControl/>
        <w:rPr>
          <w:b w:val="0"/>
        </w:rPr>
        <w:sectPr>
          <w:headerReference w:type="default" r:id="rId10"/>
          <w:headerReference w:type="first" r:id="rId11"/>
          <w:footerReference w:type="default" r:id="rId12"/>
          <w:footnotePr/>
          <w:endnotePr/>
          <w:type w:val="nextPage"/>
          <w:pgSz w:w="16838" w:h="11906" w:orient="landscape"/>
          <w:pgMar w:top="284" w:right="822" w:bottom="709" w:left="357" w:header="709" w:footer="709" w:gutter="0"/>
          <w:cols w:num="1" w:sep="0" w:space="708" w:equalWidth="1"/>
          <w:docGrid w:linePitch="360"/>
          <w:titlePg/>
        </w:sect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2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  <w:fldChar w:fldCharType="begin"/>
    </w:r>
    <w:r>
      <w:rPr>
        <w:rStyle w:val="934"/>
      </w:rPr>
      <w:instrText xml:space="preserve">PAGE  </w:instrText>
    </w:r>
    <w:r>
      <w:rPr>
        <w:rStyle w:val="934"/>
      </w:rPr>
      <w:fldChar w:fldCharType="end"/>
    </w: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uto" w:vAnchor="text" w:hAnchor="margin" w:xAlign="center" w:y="1"/>
    </w:pPr>
    <w:r>
      <w:rPr>
        <w:rStyle w:val="934"/>
      </w:rPr>
      <w:fldChar w:fldCharType="begin"/>
    </w:r>
    <w:r>
      <w:rPr>
        <w:rStyle w:val="934"/>
      </w:rPr>
      <w:instrText xml:space="preserve">PAGE  </w:instrText>
    </w:r>
    <w:r>
      <w:rPr>
        <w:rStyle w:val="934"/>
      </w:rPr>
      <w:fldChar w:fldCharType="separate"/>
    </w:r>
    <w:r>
      <w:rPr>
        <w:rStyle w:val="934"/>
      </w:rPr>
      <w:t xml:space="preserve">9</w:t>
    </w:r>
    <w:r>
      <w:rPr>
        <w:rStyle w:val="934"/>
      </w:rPr>
      <w:fldChar w:fldCharType="end"/>
    </w: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</w:pPr>
    <w:r>
      <w:rPr>
        <w:rStyle w:val="934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31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18"/>
  </w:num>
  <w:num w:numId="5">
    <w:abstractNumId w:val="17"/>
  </w:num>
  <w:num w:numId="6">
    <w:abstractNumId w:val="15"/>
  </w:num>
  <w:num w:numId="7">
    <w:abstractNumId w:val="3"/>
  </w:num>
  <w:num w:numId="8">
    <w:abstractNumId w:val="11"/>
  </w:num>
  <w:num w:numId="9">
    <w:abstractNumId w:val="4"/>
  </w:num>
  <w:num w:numId="10">
    <w:abstractNumId w:val="19"/>
  </w:num>
  <w:num w:numId="11">
    <w:abstractNumId w:val="0"/>
  </w:num>
  <w:num w:numId="12">
    <w:abstractNumId w:val="6"/>
  </w:num>
  <w:num w:numId="13">
    <w:abstractNumId w:val="12"/>
  </w:num>
  <w:num w:numId="14">
    <w:abstractNumId w:val="8"/>
  </w:num>
  <w:num w:numId="15">
    <w:abstractNumId w:val="7"/>
  </w:num>
  <w:num w:numId="16">
    <w:abstractNumId w:val="1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0">
    <w:name w:val="Heading 1"/>
    <w:basedOn w:val="922"/>
    <w:next w:val="922"/>
    <w:link w:val="75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1">
    <w:name w:val="Heading 1 Char"/>
    <w:basedOn w:val="924"/>
    <w:link w:val="750"/>
    <w:uiPriority w:val="9"/>
    <w:rPr>
      <w:rFonts w:ascii="Arial" w:hAnsi="Arial" w:eastAsia="Arial" w:cs="Arial"/>
      <w:sz w:val="40"/>
      <w:szCs w:val="40"/>
    </w:rPr>
  </w:style>
  <w:style w:type="character" w:styleId="752">
    <w:name w:val="Heading 2 Char"/>
    <w:basedOn w:val="924"/>
    <w:link w:val="923"/>
    <w:uiPriority w:val="9"/>
    <w:rPr>
      <w:rFonts w:ascii="Arial" w:hAnsi="Arial" w:eastAsia="Arial" w:cs="Arial"/>
      <w:sz w:val="34"/>
    </w:rPr>
  </w:style>
  <w:style w:type="paragraph" w:styleId="753">
    <w:name w:val="Heading 3"/>
    <w:basedOn w:val="922"/>
    <w:next w:val="922"/>
    <w:link w:val="75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4">
    <w:name w:val="Heading 3 Char"/>
    <w:basedOn w:val="924"/>
    <w:link w:val="753"/>
    <w:uiPriority w:val="9"/>
    <w:rPr>
      <w:rFonts w:ascii="Arial" w:hAnsi="Arial" w:eastAsia="Arial" w:cs="Arial"/>
      <w:sz w:val="30"/>
      <w:szCs w:val="30"/>
    </w:rPr>
  </w:style>
  <w:style w:type="paragraph" w:styleId="755">
    <w:name w:val="Heading 4"/>
    <w:basedOn w:val="922"/>
    <w:next w:val="922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6">
    <w:name w:val="Heading 4 Char"/>
    <w:basedOn w:val="924"/>
    <w:link w:val="755"/>
    <w:uiPriority w:val="9"/>
    <w:rPr>
      <w:rFonts w:ascii="Arial" w:hAnsi="Arial" w:eastAsia="Arial" w:cs="Arial"/>
      <w:b/>
      <w:bCs/>
      <w:sz w:val="26"/>
      <w:szCs w:val="26"/>
    </w:rPr>
  </w:style>
  <w:style w:type="paragraph" w:styleId="757">
    <w:name w:val="Heading 5"/>
    <w:basedOn w:val="922"/>
    <w:next w:val="922"/>
    <w:link w:val="75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8">
    <w:name w:val="Heading 5 Char"/>
    <w:basedOn w:val="924"/>
    <w:link w:val="757"/>
    <w:uiPriority w:val="9"/>
    <w:rPr>
      <w:rFonts w:ascii="Arial" w:hAnsi="Arial" w:eastAsia="Arial" w:cs="Arial"/>
      <w:b/>
      <w:bCs/>
      <w:sz w:val="24"/>
      <w:szCs w:val="24"/>
    </w:rPr>
  </w:style>
  <w:style w:type="paragraph" w:styleId="759">
    <w:name w:val="Heading 6"/>
    <w:basedOn w:val="922"/>
    <w:next w:val="922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0">
    <w:name w:val="Heading 6 Char"/>
    <w:basedOn w:val="924"/>
    <w:link w:val="759"/>
    <w:uiPriority w:val="9"/>
    <w:rPr>
      <w:rFonts w:ascii="Arial" w:hAnsi="Arial" w:eastAsia="Arial" w:cs="Arial"/>
      <w:b/>
      <w:bCs/>
      <w:sz w:val="22"/>
      <w:szCs w:val="22"/>
    </w:rPr>
  </w:style>
  <w:style w:type="paragraph" w:styleId="761">
    <w:name w:val="Heading 7"/>
    <w:basedOn w:val="922"/>
    <w:next w:val="922"/>
    <w:link w:val="76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2">
    <w:name w:val="Heading 7 Char"/>
    <w:basedOn w:val="924"/>
    <w:link w:val="76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3">
    <w:name w:val="Heading 8"/>
    <w:basedOn w:val="922"/>
    <w:next w:val="922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4">
    <w:name w:val="Heading 8 Char"/>
    <w:basedOn w:val="924"/>
    <w:link w:val="763"/>
    <w:uiPriority w:val="9"/>
    <w:rPr>
      <w:rFonts w:ascii="Arial" w:hAnsi="Arial" w:eastAsia="Arial" w:cs="Arial"/>
      <w:i/>
      <w:iCs/>
      <w:sz w:val="22"/>
      <w:szCs w:val="22"/>
    </w:rPr>
  </w:style>
  <w:style w:type="paragraph" w:styleId="765">
    <w:name w:val="Heading 9"/>
    <w:basedOn w:val="922"/>
    <w:next w:val="922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>
    <w:name w:val="Heading 9 Char"/>
    <w:basedOn w:val="924"/>
    <w:link w:val="765"/>
    <w:uiPriority w:val="9"/>
    <w:rPr>
      <w:rFonts w:ascii="Arial" w:hAnsi="Arial" w:eastAsia="Arial" w:cs="Arial"/>
      <w:i/>
      <w:iCs/>
      <w:sz w:val="21"/>
      <w:szCs w:val="21"/>
    </w:rPr>
  </w:style>
  <w:style w:type="paragraph" w:styleId="767">
    <w:name w:val="List Paragraph"/>
    <w:basedOn w:val="922"/>
    <w:uiPriority w:val="34"/>
    <w:qFormat/>
    <w:pPr>
      <w:contextualSpacing/>
      <w:ind w:left="720"/>
    </w:pPr>
  </w:style>
  <w:style w:type="character" w:styleId="768">
    <w:name w:val="Title Char"/>
    <w:basedOn w:val="924"/>
    <w:link w:val="942"/>
    <w:uiPriority w:val="10"/>
    <w:rPr>
      <w:sz w:val="48"/>
      <w:szCs w:val="48"/>
    </w:rPr>
  </w:style>
  <w:style w:type="paragraph" w:styleId="769">
    <w:name w:val="Subtitle"/>
    <w:basedOn w:val="922"/>
    <w:next w:val="922"/>
    <w:link w:val="770"/>
    <w:uiPriority w:val="11"/>
    <w:qFormat/>
    <w:pPr>
      <w:spacing w:before="200" w:after="200"/>
    </w:pPr>
    <w:rPr>
      <w:sz w:val="24"/>
      <w:szCs w:val="24"/>
    </w:rPr>
  </w:style>
  <w:style w:type="character" w:styleId="770">
    <w:name w:val="Subtitle Char"/>
    <w:basedOn w:val="924"/>
    <w:link w:val="769"/>
    <w:uiPriority w:val="11"/>
    <w:rPr>
      <w:sz w:val="24"/>
      <w:szCs w:val="24"/>
    </w:rPr>
  </w:style>
  <w:style w:type="paragraph" w:styleId="771">
    <w:name w:val="Quote"/>
    <w:basedOn w:val="922"/>
    <w:next w:val="922"/>
    <w:link w:val="772"/>
    <w:uiPriority w:val="29"/>
    <w:qFormat/>
    <w:pPr>
      <w:ind w:left="720" w:right="720"/>
    </w:pPr>
    <w:rPr>
      <w:i/>
    </w:rPr>
  </w:style>
  <w:style w:type="character" w:styleId="772">
    <w:name w:val="Quote Char"/>
    <w:link w:val="771"/>
    <w:uiPriority w:val="29"/>
    <w:rPr>
      <w:i/>
    </w:rPr>
  </w:style>
  <w:style w:type="paragraph" w:styleId="773">
    <w:name w:val="Intense Quote"/>
    <w:basedOn w:val="922"/>
    <w:next w:val="922"/>
    <w:link w:val="77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4">
    <w:name w:val="Intense Quote Char"/>
    <w:link w:val="773"/>
    <w:uiPriority w:val="30"/>
    <w:rPr>
      <w:i/>
    </w:rPr>
  </w:style>
  <w:style w:type="character" w:styleId="775">
    <w:name w:val="Header Char"/>
    <w:basedOn w:val="924"/>
    <w:link w:val="935"/>
    <w:uiPriority w:val="99"/>
  </w:style>
  <w:style w:type="character" w:styleId="776">
    <w:name w:val="Footer Char"/>
    <w:basedOn w:val="924"/>
    <w:link w:val="932"/>
    <w:uiPriority w:val="99"/>
  </w:style>
  <w:style w:type="paragraph" w:styleId="777">
    <w:name w:val="Caption"/>
    <w:basedOn w:val="922"/>
    <w:next w:val="9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8">
    <w:name w:val="Caption Char"/>
    <w:basedOn w:val="777"/>
    <w:link w:val="932"/>
    <w:uiPriority w:val="99"/>
  </w:style>
  <w:style w:type="table" w:styleId="779">
    <w:name w:val="Table Grid Light"/>
    <w:basedOn w:val="9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>
    <w:name w:val="Plain Table 1"/>
    <w:basedOn w:val="9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>
    <w:name w:val="Plain Table 2"/>
    <w:basedOn w:val="9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>
    <w:name w:val="Plain Table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3">
    <w:name w:val="Plain Table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Plain Table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5">
    <w:name w:val="Grid Table 1 Light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4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7">
    <w:name w:val="Grid Table 4 - Accent 1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8">
    <w:name w:val="Grid Table 4 - Accent 2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Grid Table 4 - Accent 3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0">
    <w:name w:val="Grid Table 4 - Accent 4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Grid Table 4 - Accent 5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2">
    <w:name w:val="Grid Table 4 - Accent 6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3">
    <w:name w:val="Grid Table 5 Dark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7">
    <w:name w:val="Grid Table 5 Dark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0">
    <w:name w:val="Grid Table 6 Colorful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1">
    <w:name w:val="Grid Table 6 Colorful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2">
    <w:name w:val="Grid Table 6 Colorful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3">
    <w:name w:val="Grid Table 6 Colorful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4">
    <w:name w:val="Grid Table 6 Colorful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5">
    <w:name w:val="Grid Table 6 Colorful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6">
    <w:name w:val="Grid Table 6 Colorful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7">
    <w:name w:val="Grid Table 7 Colorful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2">
    <w:name w:val="List Table 2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3">
    <w:name w:val="List Table 2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4">
    <w:name w:val="List Table 2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5">
    <w:name w:val="List Table 2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6">
    <w:name w:val="List Table 2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7">
    <w:name w:val="List Table 2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8">
    <w:name w:val="List Table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5 Dark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6 Colorful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0">
    <w:name w:val="List Table 6 Colorful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1">
    <w:name w:val="List Table 6 Colorful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2">
    <w:name w:val="List Table 6 Colorful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3">
    <w:name w:val="List Table 6 Colorful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4">
    <w:name w:val="List Table 6 Colorful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5">
    <w:name w:val="List Table 6 Colorful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6">
    <w:name w:val="List Table 7 Colorful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7">
    <w:name w:val="List Table 7 Colorful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8">
    <w:name w:val="List Table 7 Colorful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9">
    <w:name w:val="List Table 7 Colorful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0">
    <w:name w:val="List Table 7 Colorful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1">
    <w:name w:val="List Table 7 Colorful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2">
    <w:name w:val="List Table 7 Colorful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3">
    <w:name w:val="Lined - Accent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Lined - Accent 1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Lined - Accent 2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Lined - Accent 3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Lined - Accent 4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Lined - Accent 5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Lined - Accent 6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 &amp; Lined - Accent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Bordered &amp; Lined - Accent 1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2">
    <w:name w:val="Bordered &amp; Lined - Accent 2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3">
    <w:name w:val="Bordered &amp; Lined - Accent 3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4">
    <w:name w:val="Bordered &amp; Lined - Accent 4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5">
    <w:name w:val="Bordered &amp; Lined - Accent 5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6">
    <w:name w:val="Bordered &amp; Lined - Accent 6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7">
    <w:name w:val="Bordered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8">
    <w:name w:val="Bordered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9">
    <w:name w:val="Bordered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0">
    <w:name w:val="Bordered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1">
    <w:name w:val="Bordered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2">
    <w:name w:val="Bordered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3">
    <w:name w:val="Bordered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04">
    <w:name w:val="Hyperlink"/>
    <w:uiPriority w:val="99"/>
    <w:unhideWhenUsed/>
    <w:rPr>
      <w:color w:val="0000ff" w:themeColor="hyperlink"/>
      <w:u w:val="single"/>
    </w:rPr>
  </w:style>
  <w:style w:type="paragraph" w:styleId="905">
    <w:name w:val="footnote text"/>
    <w:basedOn w:val="922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>
    <w:name w:val="Footnote Text Char"/>
    <w:link w:val="905"/>
    <w:uiPriority w:val="99"/>
    <w:rPr>
      <w:sz w:val="18"/>
    </w:rPr>
  </w:style>
  <w:style w:type="character" w:styleId="907">
    <w:name w:val="footnote reference"/>
    <w:basedOn w:val="924"/>
    <w:uiPriority w:val="99"/>
    <w:unhideWhenUsed/>
    <w:rPr>
      <w:vertAlign w:val="superscript"/>
    </w:rPr>
  </w:style>
  <w:style w:type="paragraph" w:styleId="908">
    <w:name w:val="endnote text"/>
    <w:basedOn w:val="922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>
    <w:name w:val="Endnote Text Char"/>
    <w:link w:val="908"/>
    <w:uiPriority w:val="99"/>
    <w:rPr>
      <w:sz w:val="20"/>
    </w:rPr>
  </w:style>
  <w:style w:type="character" w:styleId="910">
    <w:name w:val="endnote reference"/>
    <w:basedOn w:val="924"/>
    <w:uiPriority w:val="99"/>
    <w:semiHidden/>
    <w:unhideWhenUsed/>
    <w:rPr>
      <w:vertAlign w:val="superscript"/>
    </w:rPr>
  </w:style>
  <w:style w:type="paragraph" w:styleId="911">
    <w:name w:val="toc 1"/>
    <w:basedOn w:val="922"/>
    <w:next w:val="922"/>
    <w:uiPriority w:val="39"/>
    <w:unhideWhenUsed/>
    <w:pPr>
      <w:ind w:left="0" w:right="0" w:firstLine="0"/>
      <w:spacing w:after="57"/>
    </w:pPr>
  </w:style>
  <w:style w:type="paragraph" w:styleId="912">
    <w:name w:val="toc 2"/>
    <w:basedOn w:val="922"/>
    <w:next w:val="922"/>
    <w:uiPriority w:val="39"/>
    <w:unhideWhenUsed/>
    <w:pPr>
      <w:ind w:left="283" w:right="0" w:firstLine="0"/>
      <w:spacing w:after="57"/>
    </w:pPr>
  </w:style>
  <w:style w:type="paragraph" w:styleId="913">
    <w:name w:val="toc 3"/>
    <w:basedOn w:val="922"/>
    <w:next w:val="922"/>
    <w:uiPriority w:val="39"/>
    <w:unhideWhenUsed/>
    <w:pPr>
      <w:ind w:left="567" w:right="0" w:firstLine="0"/>
      <w:spacing w:after="57"/>
    </w:pPr>
  </w:style>
  <w:style w:type="paragraph" w:styleId="914">
    <w:name w:val="toc 4"/>
    <w:basedOn w:val="922"/>
    <w:next w:val="922"/>
    <w:uiPriority w:val="39"/>
    <w:unhideWhenUsed/>
    <w:pPr>
      <w:ind w:left="850" w:right="0" w:firstLine="0"/>
      <w:spacing w:after="57"/>
    </w:pPr>
  </w:style>
  <w:style w:type="paragraph" w:styleId="915">
    <w:name w:val="toc 5"/>
    <w:basedOn w:val="922"/>
    <w:next w:val="922"/>
    <w:uiPriority w:val="39"/>
    <w:unhideWhenUsed/>
    <w:pPr>
      <w:ind w:left="1134" w:right="0" w:firstLine="0"/>
      <w:spacing w:after="57"/>
    </w:pPr>
  </w:style>
  <w:style w:type="paragraph" w:styleId="916">
    <w:name w:val="toc 6"/>
    <w:basedOn w:val="922"/>
    <w:next w:val="922"/>
    <w:uiPriority w:val="39"/>
    <w:unhideWhenUsed/>
    <w:pPr>
      <w:ind w:left="1417" w:right="0" w:firstLine="0"/>
      <w:spacing w:after="57"/>
    </w:pPr>
  </w:style>
  <w:style w:type="paragraph" w:styleId="917">
    <w:name w:val="toc 7"/>
    <w:basedOn w:val="922"/>
    <w:next w:val="922"/>
    <w:uiPriority w:val="39"/>
    <w:unhideWhenUsed/>
    <w:pPr>
      <w:ind w:left="1701" w:right="0" w:firstLine="0"/>
      <w:spacing w:after="57"/>
    </w:pPr>
  </w:style>
  <w:style w:type="paragraph" w:styleId="918">
    <w:name w:val="toc 8"/>
    <w:basedOn w:val="922"/>
    <w:next w:val="922"/>
    <w:uiPriority w:val="39"/>
    <w:unhideWhenUsed/>
    <w:pPr>
      <w:ind w:left="1984" w:right="0" w:firstLine="0"/>
      <w:spacing w:after="57"/>
    </w:pPr>
  </w:style>
  <w:style w:type="paragraph" w:styleId="919">
    <w:name w:val="toc 9"/>
    <w:basedOn w:val="922"/>
    <w:next w:val="922"/>
    <w:uiPriority w:val="39"/>
    <w:unhideWhenUsed/>
    <w:pPr>
      <w:ind w:left="2268" w:right="0" w:firstLine="0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922"/>
    <w:next w:val="922"/>
    <w:uiPriority w:val="99"/>
    <w:unhideWhenUsed/>
    <w:pPr>
      <w:spacing w:after="0" w:afterAutospacing="0"/>
    </w:pPr>
  </w:style>
  <w:style w:type="paragraph" w:styleId="922" w:default="1">
    <w:name w:val="Normal"/>
    <w:qFormat/>
    <w:rPr>
      <w:sz w:val="24"/>
      <w:szCs w:val="24"/>
    </w:rPr>
  </w:style>
  <w:style w:type="paragraph" w:styleId="923">
    <w:name w:val="Heading 2"/>
    <w:basedOn w:val="922"/>
    <w:next w:val="922"/>
    <w:link w:val="927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character" w:styleId="924" w:default="1">
    <w:name w:val="Default Paragraph Font"/>
    <w:uiPriority w:val="1"/>
    <w:semiHidden/>
    <w:unhideWhenUsed/>
  </w:style>
  <w:style w:type="table" w:styleId="9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6" w:default="1">
    <w:name w:val="No List"/>
    <w:uiPriority w:val="99"/>
    <w:semiHidden/>
    <w:unhideWhenUsed/>
  </w:style>
  <w:style w:type="character" w:styleId="927" w:customStyle="1">
    <w:name w:val="Заголовок 2 Знак"/>
    <w:link w:val="923"/>
    <w:uiPriority w:val="99"/>
    <w:semiHidden/>
    <w:rPr>
      <w:rFonts w:cs="Times New Roman"/>
      <w:sz w:val="28"/>
      <w:szCs w:val="28"/>
      <w:lang w:val="ru-RU" w:eastAsia="ru-RU"/>
    </w:rPr>
  </w:style>
  <w:style w:type="paragraph" w:styleId="928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29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30">
    <w:name w:val="Body Text 3"/>
    <w:basedOn w:val="922"/>
    <w:link w:val="931"/>
    <w:uiPriority w:val="99"/>
    <w:pPr>
      <w:spacing w:after="120"/>
    </w:pPr>
    <w:rPr>
      <w:sz w:val="16"/>
      <w:szCs w:val="16"/>
    </w:rPr>
  </w:style>
  <w:style w:type="character" w:styleId="931" w:customStyle="1">
    <w:name w:val="Основной текст 3 Знак"/>
    <w:link w:val="930"/>
    <w:uiPriority w:val="99"/>
    <w:semiHidden/>
    <w:rPr>
      <w:rFonts w:cs="Times New Roman"/>
      <w:sz w:val="16"/>
      <w:szCs w:val="16"/>
    </w:rPr>
  </w:style>
  <w:style w:type="paragraph" w:styleId="932">
    <w:name w:val="Footer"/>
    <w:basedOn w:val="922"/>
    <w:link w:val="933"/>
    <w:uiPriority w:val="99"/>
    <w:pPr>
      <w:tabs>
        <w:tab w:val="center" w:pos="4677" w:leader="none"/>
        <w:tab w:val="right" w:pos="9355" w:leader="none"/>
      </w:tabs>
    </w:pPr>
  </w:style>
  <w:style w:type="character" w:styleId="933" w:customStyle="1">
    <w:name w:val="Нижний колонтитул Знак"/>
    <w:link w:val="932"/>
    <w:uiPriority w:val="99"/>
    <w:semiHidden/>
    <w:rPr>
      <w:rFonts w:cs="Times New Roman"/>
      <w:sz w:val="24"/>
      <w:szCs w:val="24"/>
    </w:rPr>
  </w:style>
  <w:style w:type="character" w:styleId="934">
    <w:name w:val="page number"/>
    <w:uiPriority w:val="99"/>
    <w:rPr>
      <w:rFonts w:cs="Times New Roman"/>
    </w:rPr>
  </w:style>
  <w:style w:type="paragraph" w:styleId="935">
    <w:name w:val="Header"/>
    <w:basedOn w:val="922"/>
    <w:link w:val="936"/>
    <w:uiPriority w:val="99"/>
    <w:pPr>
      <w:tabs>
        <w:tab w:val="center" w:pos="4677" w:leader="none"/>
        <w:tab w:val="right" w:pos="9355" w:leader="none"/>
      </w:tabs>
    </w:pPr>
  </w:style>
  <w:style w:type="character" w:styleId="936" w:customStyle="1">
    <w:name w:val="Верхний колонтитул Знак"/>
    <w:link w:val="935"/>
    <w:uiPriority w:val="99"/>
    <w:semiHidden/>
    <w:rPr>
      <w:rFonts w:cs="Times New Roman"/>
      <w:sz w:val="24"/>
      <w:szCs w:val="24"/>
    </w:rPr>
  </w:style>
  <w:style w:type="paragraph" w:styleId="93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8">
    <w:name w:val="Balloon Text"/>
    <w:basedOn w:val="922"/>
    <w:link w:val="939"/>
    <w:uiPriority w:val="99"/>
    <w:semiHidden/>
    <w:rPr>
      <w:rFonts w:ascii="Tahoma" w:hAnsi="Tahoma" w:cs="Tahoma"/>
      <w:sz w:val="16"/>
      <w:szCs w:val="16"/>
    </w:rPr>
  </w:style>
  <w:style w:type="character" w:styleId="939" w:customStyle="1">
    <w:name w:val="Текст выноски Знак"/>
    <w:link w:val="938"/>
    <w:uiPriority w:val="99"/>
    <w:semiHidden/>
    <w:rPr>
      <w:rFonts w:ascii="Tahoma" w:hAnsi="Tahoma" w:cs="Tahoma"/>
      <w:sz w:val="16"/>
      <w:szCs w:val="16"/>
    </w:rPr>
  </w:style>
  <w:style w:type="paragraph" w:styleId="940">
    <w:name w:val="Body Text Indent"/>
    <w:basedOn w:val="922"/>
    <w:link w:val="941"/>
    <w:uiPriority w:val="99"/>
    <w:semiHidden/>
    <w:pPr>
      <w:ind w:left="283"/>
      <w:spacing w:after="120"/>
    </w:pPr>
  </w:style>
  <w:style w:type="character" w:styleId="941" w:customStyle="1">
    <w:name w:val="Основной текст с отступом Знак"/>
    <w:link w:val="940"/>
    <w:uiPriority w:val="99"/>
    <w:semiHidden/>
    <w:rPr>
      <w:rFonts w:cs="Times New Roman"/>
      <w:sz w:val="24"/>
    </w:rPr>
  </w:style>
  <w:style w:type="paragraph" w:styleId="942">
    <w:name w:val="Title"/>
    <w:basedOn w:val="922"/>
    <w:link w:val="943"/>
    <w:uiPriority w:val="99"/>
    <w:qFormat/>
    <w:pPr>
      <w:jc w:val="center"/>
    </w:pPr>
    <w:rPr>
      <w:caps/>
    </w:rPr>
  </w:style>
  <w:style w:type="character" w:styleId="943" w:customStyle="1">
    <w:name w:val="Название Знак"/>
    <w:link w:val="942"/>
    <w:uiPriority w:val="99"/>
    <w:rPr>
      <w:rFonts w:cs="Times New Roman"/>
      <w:caps/>
      <w:sz w:val="24"/>
      <w:szCs w:val="24"/>
      <w:lang w:val="ru-RU" w:eastAsia="ru-RU"/>
    </w:rPr>
  </w:style>
  <w:style w:type="paragraph" w:styleId="944" w:customStyle="1">
    <w:name w:val="Знак1"/>
    <w:basedOn w:val="922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45">
    <w:name w:val="Table Grid"/>
    <w:basedOn w:val="92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6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47" w:customStyle="1">
    <w:name w:val="Знак Знак Знак Знак Знак Знак Знак Знак Знак Знак"/>
    <w:basedOn w:val="9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48">
    <w:name w:val="Emphasis"/>
    <w:qFormat/>
    <w:rPr>
      <w:i/>
      <w:iCs/>
    </w:rPr>
  </w:style>
  <w:style w:type="paragraph" w:styleId="94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41E52-2C12-4066-A496-59A826FAB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7</cp:revision>
  <dcterms:created xsi:type="dcterms:W3CDTF">2024-11-05T06:29:00Z</dcterms:created>
  <dcterms:modified xsi:type="dcterms:W3CDTF">2024-11-08T08:08:52Z</dcterms:modified>
</cp:coreProperties>
</file>